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02B17" w14:textId="4869A8BD" w:rsidR="00D66C2C" w:rsidRDefault="00901C93" w:rsidP="00826AF0">
      <w:pPr>
        <w:jc w:val="center"/>
        <w:rPr>
          <w:rFonts w:ascii="宋体" w:eastAsia="宋体" w:hAnsi="宋体" w:hint="eastAsia"/>
          <w:sz w:val="28"/>
          <w:szCs w:val="28"/>
        </w:rPr>
      </w:pPr>
      <w:r w:rsidRPr="00826AF0">
        <w:rPr>
          <w:rFonts w:ascii="宋体" w:eastAsia="宋体" w:hAnsi="宋体" w:hint="eastAsia"/>
          <w:sz w:val="28"/>
          <w:szCs w:val="28"/>
        </w:rPr>
        <w:t>非小细胞肺癌EGFR-TKI</w:t>
      </w:r>
      <w:r w:rsidR="00826AF0" w:rsidRPr="00826AF0">
        <w:rPr>
          <w:rFonts w:ascii="宋体" w:eastAsia="宋体" w:hAnsi="宋体" w:hint="eastAsia"/>
          <w:sz w:val="28"/>
          <w:szCs w:val="28"/>
        </w:rPr>
        <w:t>获得性</w:t>
      </w:r>
      <w:r w:rsidRPr="00826AF0">
        <w:rPr>
          <w:rFonts w:ascii="宋体" w:eastAsia="宋体" w:hAnsi="宋体" w:hint="eastAsia"/>
          <w:sz w:val="28"/>
          <w:szCs w:val="28"/>
        </w:rPr>
        <w:t>耐药机制及临床研究进展</w:t>
      </w:r>
    </w:p>
    <w:p w14:paraId="1376EE21" w14:textId="1EA153E9" w:rsidR="00826AF0" w:rsidRDefault="003003F7" w:rsidP="00826AF0">
      <w:pPr>
        <w:spacing w:line="360" w:lineRule="auto"/>
        <w:jc w:val="center"/>
        <w:rPr>
          <w:rFonts w:ascii="Times New Roman" w:eastAsia="宋体" w:hAnsi="Times New Roman"/>
          <w:szCs w:val="21"/>
        </w:rPr>
      </w:pPr>
      <w:r w:rsidRPr="003003F7">
        <w:rPr>
          <w:rFonts w:ascii="Times New Roman" w:eastAsia="宋体" w:hAnsi="Times New Roman" w:hint="eastAsia"/>
          <w:szCs w:val="21"/>
        </w:rPr>
        <w:t>张睿琳</w:t>
      </w:r>
      <w:r w:rsidR="00510359" w:rsidRPr="00510359">
        <w:rPr>
          <w:rFonts w:ascii="宋体" w:eastAsia="宋体" w:hAnsi="宋体" w:hint="eastAsia"/>
          <w:szCs w:val="21"/>
          <w:vertAlign w:val="superscript"/>
        </w:rPr>
        <w:t>1</w:t>
      </w:r>
      <w:r w:rsidR="00C42F2C">
        <w:rPr>
          <w:rFonts w:ascii="宋体" w:eastAsia="宋体" w:hAnsi="宋体" w:hint="eastAsia"/>
          <w:szCs w:val="21"/>
          <w:vertAlign w:val="superscript"/>
        </w:rPr>
        <w:t>,</w:t>
      </w:r>
      <w:r w:rsidR="00510359" w:rsidRPr="00510359">
        <w:rPr>
          <w:rFonts w:ascii="宋体" w:eastAsia="宋体" w:hAnsi="宋体" w:hint="eastAsia"/>
          <w:szCs w:val="21"/>
          <w:vertAlign w:val="superscript"/>
        </w:rPr>
        <w:t>2</w:t>
      </w:r>
      <w:r w:rsidR="00C42F2C">
        <w:rPr>
          <w:rFonts w:ascii="宋体" w:eastAsia="宋体" w:hAnsi="宋体" w:hint="eastAsia"/>
          <w:szCs w:val="21"/>
          <w:vertAlign w:val="superscript"/>
        </w:rPr>
        <w:t>,</w:t>
      </w:r>
      <w:r w:rsidR="00510359" w:rsidRPr="00510359">
        <w:rPr>
          <w:rFonts w:ascii="宋体" w:eastAsia="宋体" w:hAnsi="宋体" w:hint="eastAsia"/>
          <w:szCs w:val="21"/>
          <w:vertAlign w:val="superscript"/>
        </w:rPr>
        <w:t>3</w:t>
      </w:r>
      <w:r w:rsidR="006577EA" w:rsidRPr="00510359">
        <w:rPr>
          <w:rFonts w:ascii="宋体" w:eastAsia="宋体" w:hAnsi="宋体" w:hint="eastAsia"/>
          <w:szCs w:val="21"/>
        </w:rPr>
        <w:t xml:space="preserve"> </w:t>
      </w:r>
      <w:r w:rsidR="00826AF0">
        <w:rPr>
          <w:rFonts w:ascii="Times New Roman" w:eastAsia="宋体" w:hAnsi="Times New Roman" w:hint="eastAsia"/>
          <w:szCs w:val="21"/>
        </w:rPr>
        <w:t>王孟超</w:t>
      </w:r>
      <w:r w:rsidR="00510359" w:rsidRPr="00510359">
        <w:rPr>
          <w:rFonts w:ascii="宋体" w:eastAsia="宋体" w:hAnsi="宋体" w:hint="eastAsia"/>
          <w:szCs w:val="21"/>
          <w:vertAlign w:val="superscript"/>
        </w:rPr>
        <w:t>1</w:t>
      </w:r>
      <w:r w:rsidR="00C42F2C">
        <w:rPr>
          <w:rFonts w:ascii="宋体" w:eastAsia="宋体" w:hAnsi="宋体" w:hint="eastAsia"/>
          <w:szCs w:val="21"/>
          <w:vertAlign w:val="superscript"/>
        </w:rPr>
        <w:t>,</w:t>
      </w:r>
      <w:r w:rsidR="00510359" w:rsidRPr="00510359">
        <w:rPr>
          <w:rFonts w:ascii="宋体" w:eastAsia="宋体" w:hAnsi="宋体" w:hint="eastAsia"/>
          <w:szCs w:val="21"/>
          <w:vertAlign w:val="superscript"/>
        </w:rPr>
        <w:t>2</w:t>
      </w:r>
      <w:r w:rsidR="00180085" w:rsidRPr="00510359">
        <w:rPr>
          <w:rFonts w:ascii="宋体" w:eastAsia="宋体" w:hAnsi="宋体" w:hint="eastAsia"/>
          <w:szCs w:val="21"/>
        </w:rPr>
        <w:t xml:space="preserve"> </w:t>
      </w:r>
      <w:r w:rsidR="00180085">
        <w:rPr>
          <w:rFonts w:ascii="Times New Roman" w:eastAsia="宋体" w:hAnsi="Times New Roman" w:hint="eastAsia"/>
          <w:szCs w:val="21"/>
        </w:rPr>
        <w:t>王超然</w:t>
      </w:r>
      <w:r w:rsidR="00510359" w:rsidRPr="00510359">
        <w:rPr>
          <w:rFonts w:ascii="宋体" w:eastAsia="宋体" w:hAnsi="宋体" w:hint="eastAsia"/>
          <w:szCs w:val="21"/>
          <w:vertAlign w:val="superscript"/>
        </w:rPr>
        <w:t>1</w:t>
      </w:r>
      <w:r w:rsidR="00C42F2C">
        <w:rPr>
          <w:rFonts w:ascii="宋体" w:eastAsia="宋体" w:hAnsi="宋体" w:hint="eastAsia"/>
          <w:szCs w:val="21"/>
          <w:vertAlign w:val="superscript"/>
        </w:rPr>
        <w:t>,</w:t>
      </w:r>
      <w:r w:rsidR="00510359" w:rsidRPr="00510359">
        <w:rPr>
          <w:rFonts w:ascii="宋体" w:eastAsia="宋体" w:hAnsi="宋体" w:hint="eastAsia"/>
          <w:szCs w:val="21"/>
          <w:vertAlign w:val="superscript"/>
        </w:rPr>
        <w:t>2</w:t>
      </w:r>
      <w:r w:rsidR="00826AF0" w:rsidRPr="00510359">
        <w:rPr>
          <w:rFonts w:ascii="宋体" w:eastAsia="宋体" w:hAnsi="宋体" w:hint="eastAsia"/>
          <w:szCs w:val="21"/>
          <w:vertAlign w:val="superscript"/>
        </w:rPr>
        <w:t xml:space="preserve"> </w:t>
      </w:r>
      <w:r w:rsidR="00D6206D" w:rsidRPr="00510359">
        <w:rPr>
          <w:rFonts w:ascii="宋体" w:eastAsia="宋体" w:hAnsi="宋体" w:hint="eastAsia"/>
          <w:szCs w:val="21"/>
          <w:vertAlign w:val="superscript"/>
        </w:rPr>
        <w:t xml:space="preserve"> </w:t>
      </w:r>
      <w:r w:rsidR="00826AF0">
        <w:rPr>
          <w:rFonts w:ascii="Times New Roman" w:eastAsia="宋体" w:hAnsi="Times New Roman" w:hint="eastAsia"/>
          <w:szCs w:val="21"/>
        </w:rPr>
        <w:t>陈立伟</w:t>
      </w:r>
      <w:r w:rsidR="006D6F37">
        <w:rPr>
          <w:rFonts w:hint="eastAsia"/>
          <w:vertAlign w:val="superscript"/>
        </w:rPr>
        <w:t>1,2</w:t>
      </w:r>
      <w:r w:rsidR="00826AF0">
        <w:rPr>
          <w:rFonts w:ascii="Times New Roman" w:eastAsia="宋体" w:hAnsi="Times New Roman" w:hint="eastAsia"/>
          <w:szCs w:val="21"/>
        </w:rPr>
        <w:t xml:space="preserve"> </w:t>
      </w:r>
    </w:p>
    <w:p w14:paraId="08CA7F57" w14:textId="5789CD6D" w:rsidR="00826AF0" w:rsidRPr="00FC451C" w:rsidRDefault="003C3F3F" w:rsidP="00FC451C">
      <w:pPr>
        <w:spacing w:line="360" w:lineRule="auto"/>
        <w:jc w:val="center"/>
        <w:rPr>
          <w:rFonts w:ascii="Times New Roman" w:eastAsia="宋体" w:hAnsi="Times New Roman"/>
          <w:szCs w:val="21"/>
        </w:rPr>
      </w:pPr>
      <w:r>
        <w:rPr>
          <w:rFonts w:ascii="Times New Roman" w:eastAsia="宋体" w:hAnsi="Times New Roman" w:hint="eastAsia"/>
          <w:szCs w:val="21"/>
        </w:rPr>
        <w:t>1</w:t>
      </w:r>
      <w:r w:rsidR="00826AF0">
        <w:rPr>
          <w:rFonts w:ascii="Times New Roman" w:eastAsia="宋体" w:hAnsi="Times New Roman" w:hint="eastAsia"/>
          <w:szCs w:val="21"/>
        </w:rPr>
        <w:t>天津中医药大学第一附属医院，</w:t>
      </w:r>
      <w:r w:rsidR="00826AF0" w:rsidRPr="00456050">
        <w:rPr>
          <w:rFonts w:ascii="Times New Roman" w:eastAsia="宋体" w:hAnsi="Times New Roman" w:hint="eastAsia"/>
          <w:szCs w:val="21"/>
        </w:rPr>
        <w:t>天津</w:t>
      </w:r>
      <w:r w:rsidR="00826AF0">
        <w:rPr>
          <w:rFonts w:ascii="Times New Roman" w:eastAsia="宋体" w:hAnsi="Times New Roman" w:hint="eastAsia"/>
          <w:szCs w:val="21"/>
        </w:rPr>
        <w:t>300381</w:t>
      </w:r>
      <w:r w:rsidR="007D008F">
        <w:rPr>
          <w:rFonts w:ascii="Times New Roman" w:eastAsia="宋体" w:hAnsi="Times New Roman" w:hint="eastAsia"/>
          <w:szCs w:val="21"/>
        </w:rPr>
        <w:t>；</w:t>
      </w:r>
      <w:r w:rsidR="00E46BAF">
        <w:rPr>
          <w:rFonts w:ascii="Times New Roman" w:eastAsia="宋体" w:hAnsi="Times New Roman" w:hint="eastAsia"/>
          <w:szCs w:val="21"/>
        </w:rPr>
        <w:t>2</w:t>
      </w:r>
      <w:r w:rsidR="00E46BAF" w:rsidRPr="00E46BAF">
        <w:rPr>
          <w:rFonts w:ascii="Times New Roman" w:eastAsia="宋体" w:hAnsi="Times New Roman" w:hint="eastAsia"/>
          <w:szCs w:val="21"/>
        </w:rPr>
        <w:t>中</w:t>
      </w:r>
      <w:r w:rsidR="009617A7">
        <w:rPr>
          <w:rFonts w:ascii="Times New Roman" w:eastAsia="宋体" w:hAnsi="Times New Roman" w:hint="eastAsia"/>
          <w:szCs w:val="21"/>
        </w:rPr>
        <w:t>医</w:t>
      </w:r>
      <w:r w:rsidR="00E46BAF" w:rsidRPr="00E46BAF">
        <w:rPr>
          <w:rFonts w:ascii="Times New Roman" w:eastAsia="宋体" w:hAnsi="Times New Roman" w:hint="eastAsia"/>
          <w:szCs w:val="21"/>
        </w:rPr>
        <w:t>国家临床医学研究中心</w:t>
      </w:r>
      <w:r w:rsidR="00E46BAF">
        <w:rPr>
          <w:rFonts w:ascii="Times New Roman" w:eastAsia="宋体" w:hAnsi="Times New Roman" w:hint="eastAsia"/>
          <w:szCs w:val="21"/>
        </w:rPr>
        <w:t>，</w:t>
      </w:r>
      <w:r w:rsidR="00E46BAF" w:rsidRPr="00456050">
        <w:rPr>
          <w:rFonts w:ascii="Times New Roman" w:eastAsia="宋体" w:hAnsi="Times New Roman" w:hint="eastAsia"/>
          <w:szCs w:val="21"/>
        </w:rPr>
        <w:t>天津</w:t>
      </w:r>
      <w:r w:rsidR="00E46BAF">
        <w:rPr>
          <w:rFonts w:ascii="Times New Roman" w:eastAsia="宋体" w:hAnsi="Times New Roman" w:hint="eastAsia"/>
          <w:szCs w:val="21"/>
        </w:rPr>
        <w:t>300381</w:t>
      </w:r>
      <w:r w:rsidR="00E46BAF">
        <w:rPr>
          <w:rFonts w:ascii="Times New Roman" w:eastAsia="宋体" w:hAnsi="Times New Roman" w:hint="eastAsia"/>
          <w:szCs w:val="21"/>
        </w:rPr>
        <w:t>；</w:t>
      </w:r>
      <w:r w:rsidR="00E46BAF">
        <w:rPr>
          <w:rFonts w:ascii="Times New Roman" w:eastAsia="宋体" w:hAnsi="Times New Roman" w:cs="Times New Roman" w:hint="eastAsia"/>
          <w:szCs w:val="21"/>
        </w:rPr>
        <w:t>3</w:t>
      </w:r>
      <w:r w:rsidR="00826AF0" w:rsidRPr="003C3F3F">
        <w:rPr>
          <w:rFonts w:ascii="Times New Roman" w:eastAsia="宋体" w:hAnsi="Times New Roman" w:cs="Times New Roman"/>
          <w:szCs w:val="21"/>
        </w:rPr>
        <w:t>天</w:t>
      </w:r>
      <w:r w:rsidR="00826AF0" w:rsidRPr="00456050">
        <w:rPr>
          <w:rFonts w:ascii="Times New Roman" w:eastAsia="宋体" w:hAnsi="Times New Roman" w:hint="eastAsia"/>
          <w:szCs w:val="21"/>
        </w:rPr>
        <w:t>津中医药大学，天津</w:t>
      </w:r>
      <w:r w:rsidR="00826AF0">
        <w:rPr>
          <w:rFonts w:ascii="Times New Roman" w:eastAsia="宋体" w:hAnsi="Times New Roman" w:hint="eastAsia"/>
          <w:szCs w:val="21"/>
        </w:rPr>
        <w:t>301617</w:t>
      </w:r>
    </w:p>
    <w:p w14:paraId="68DBCFE6" w14:textId="0610CF9B" w:rsidR="00C82584" w:rsidRPr="00452144" w:rsidRDefault="00826AF0" w:rsidP="00452144">
      <w:pPr>
        <w:spacing w:line="360" w:lineRule="auto"/>
        <w:jc w:val="left"/>
        <w:rPr>
          <w:rFonts w:ascii="宋体" w:eastAsia="宋体" w:hAnsi="宋体" w:hint="eastAsia"/>
          <w:b/>
          <w:bCs/>
          <w:szCs w:val="21"/>
        </w:rPr>
      </w:pPr>
      <w:r w:rsidRPr="00826AF0">
        <w:rPr>
          <w:rFonts w:ascii="宋体" w:eastAsia="宋体" w:hAnsi="宋体" w:hint="eastAsia"/>
          <w:b/>
          <w:bCs/>
          <w:szCs w:val="21"/>
        </w:rPr>
        <w:t>摘要</w:t>
      </w:r>
      <w:r w:rsidR="00452144">
        <w:rPr>
          <w:rFonts w:ascii="宋体" w:eastAsia="宋体" w:hAnsi="宋体" w:hint="eastAsia"/>
          <w:b/>
          <w:bCs/>
          <w:szCs w:val="21"/>
        </w:rPr>
        <w:t>：</w:t>
      </w:r>
      <w:r w:rsidR="00C82584" w:rsidRPr="00C82584">
        <w:rPr>
          <w:rFonts w:ascii="宋体" w:eastAsia="宋体" w:hAnsi="宋体" w:hint="eastAsia"/>
          <w:szCs w:val="21"/>
        </w:rPr>
        <w:t>非小细胞肺癌是肺癌中最常见的病理类型，</w:t>
      </w:r>
      <w:r w:rsidR="00524E96" w:rsidRPr="00524E96">
        <w:rPr>
          <w:rFonts w:ascii="Times New Roman" w:eastAsia="宋体" w:hAnsi="Times New Roman" w:cs="Times New Roman" w:hint="eastAsia"/>
          <w:szCs w:val="21"/>
        </w:rPr>
        <w:t>表皮生长因子受体</w:t>
      </w:r>
      <w:r w:rsidR="00524E96">
        <w:rPr>
          <w:rFonts w:hint="eastAsia"/>
        </w:rPr>
        <w:t>（</w:t>
      </w:r>
      <w:r w:rsidR="00524E96" w:rsidRPr="00524E96">
        <w:rPr>
          <w:rFonts w:ascii="Times New Roman" w:eastAsia="宋体" w:hAnsi="Times New Roman" w:cs="Times New Roman" w:hint="eastAsia"/>
          <w:szCs w:val="21"/>
        </w:rPr>
        <w:t>epidermal growth factor receptor</w:t>
      </w:r>
      <w:r w:rsidR="00524E96" w:rsidRPr="00524E96">
        <w:rPr>
          <w:rFonts w:ascii="Times New Roman" w:eastAsia="宋体" w:hAnsi="Times New Roman" w:cs="Times New Roman" w:hint="eastAsia"/>
          <w:szCs w:val="21"/>
        </w:rPr>
        <w:t>，</w:t>
      </w:r>
      <w:r w:rsidR="00524E96" w:rsidRPr="00E203CA">
        <w:rPr>
          <w:rFonts w:ascii="Times New Roman" w:eastAsia="宋体" w:hAnsi="Times New Roman" w:cs="Times New Roman" w:hint="eastAsia"/>
          <w:i/>
          <w:iCs/>
          <w:szCs w:val="21"/>
        </w:rPr>
        <w:t>EGFR</w:t>
      </w:r>
      <w:r w:rsidR="00524E96" w:rsidRPr="00524E96">
        <w:rPr>
          <w:rFonts w:ascii="Times New Roman" w:eastAsia="宋体" w:hAnsi="Times New Roman" w:cs="Times New Roman" w:hint="eastAsia"/>
          <w:szCs w:val="21"/>
        </w:rPr>
        <w:t>）</w:t>
      </w:r>
      <w:r w:rsidR="00C82584" w:rsidRPr="00C82584">
        <w:rPr>
          <w:rFonts w:ascii="宋体" w:eastAsia="宋体" w:hAnsi="宋体" w:hint="eastAsia"/>
          <w:szCs w:val="21"/>
        </w:rPr>
        <w:t>突变是其重要驱动事件之一。</w:t>
      </w:r>
      <w:r w:rsidR="00524E96" w:rsidRPr="00524E96">
        <w:rPr>
          <w:rFonts w:ascii="Times New Roman" w:eastAsia="宋体" w:hAnsi="Times New Roman" w:cs="Times New Roman" w:hint="eastAsia"/>
          <w:szCs w:val="21"/>
        </w:rPr>
        <w:t>表皮生长因子受体</w:t>
      </w:r>
      <w:r w:rsidR="00C82584" w:rsidRPr="00C82584">
        <w:rPr>
          <w:rFonts w:ascii="宋体" w:eastAsia="宋体" w:hAnsi="宋体" w:hint="eastAsia"/>
          <w:szCs w:val="21"/>
        </w:rPr>
        <w:t>酪氨酸激酶抑制剂</w:t>
      </w:r>
      <w:r w:rsidR="00524E96" w:rsidRPr="00524E96">
        <w:rPr>
          <w:rFonts w:ascii="宋体" w:eastAsia="宋体" w:hAnsi="宋体" w:hint="eastAsia"/>
          <w:szCs w:val="21"/>
        </w:rPr>
        <w:t>（</w:t>
      </w:r>
      <w:r w:rsidR="00524E96" w:rsidRPr="00524E96">
        <w:rPr>
          <w:rFonts w:ascii="Times New Roman" w:eastAsia="宋体" w:hAnsi="Times New Roman" w:cs="Times New Roman"/>
          <w:szCs w:val="21"/>
        </w:rPr>
        <w:t>epidermal growth factor receptor tyrosine kinase inhibitor</w:t>
      </w:r>
      <w:r w:rsidR="00524E96" w:rsidRPr="00524E96">
        <w:rPr>
          <w:rFonts w:ascii="Times New Roman" w:eastAsia="宋体" w:hAnsi="Times New Roman" w:cs="Times New Roman"/>
          <w:szCs w:val="21"/>
        </w:rPr>
        <w:t>，</w:t>
      </w:r>
      <w:r w:rsidR="00524E96" w:rsidRPr="00524E96">
        <w:rPr>
          <w:rFonts w:ascii="Times New Roman" w:eastAsia="宋体" w:hAnsi="Times New Roman" w:cs="Times New Roman"/>
          <w:szCs w:val="21"/>
        </w:rPr>
        <w:t>EGFR-TKI</w:t>
      </w:r>
      <w:r w:rsidR="00524E96" w:rsidRPr="00524E96">
        <w:rPr>
          <w:rFonts w:ascii="宋体" w:eastAsia="宋体" w:hAnsi="宋体" w:hint="eastAsia"/>
          <w:szCs w:val="21"/>
        </w:rPr>
        <w:t>）</w:t>
      </w:r>
      <w:r w:rsidR="00C82584" w:rsidRPr="00C82584">
        <w:rPr>
          <w:rFonts w:ascii="宋体" w:eastAsia="宋体" w:hAnsi="宋体" w:hint="eastAsia"/>
          <w:szCs w:val="21"/>
        </w:rPr>
        <w:t>的应用显著改善了</w:t>
      </w:r>
      <w:r w:rsidR="00C82584" w:rsidRPr="008D12C3">
        <w:rPr>
          <w:rFonts w:ascii="Times New Roman" w:eastAsia="宋体" w:hAnsi="Times New Roman" w:cs="Times New Roman"/>
          <w:i/>
          <w:iCs/>
          <w:szCs w:val="21"/>
        </w:rPr>
        <w:t>EGFR</w:t>
      </w:r>
      <w:r w:rsidR="00C82584" w:rsidRPr="00C82584">
        <w:rPr>
          <w:rFonts w:ascii="宋体" w:eastAsia="宋体" w:hAnsi="宋体" w:hint="eastAsia"/>
          <w:szCs w:val="21"/>
        </w:rPr>
        <w:t>突变型晚期非小细胞肺癌患者的生存获益，但多数患者在持续治疗后仍不可避免地出现获得性耐药，限制了靶向治疗的长期疗效。</w:t>
      </w:r>
      <w:r w:rsidR="00452144" w:rsidRPr="00452144">
        <w:rPr>
          <w:rFonts w:ascii="Times New Roman" w:eastAsia="宋体" w:hAnsi="Times New Roman" w:cs="Times New Roman"/>
          <w:szCs w:val="21"/>
        </w:rPr>
        <w:t>EGFR-TKI</w:t>
      </w:r>
      <w:r w:rsidR="00452144" w:rsidRPr="00452144">
        <w:rPr>
          <w:rFonts w:ascii="Times New Roman" w:eastAsia="宋体" w:hAnsi="Times New Roman" w:cs="Times New Roman"/>
          <w:szCs w:val="21"/>
        </w:rPr>
        <w:t>获得性耐药机制具有显著异质性，主要涉及</w:t>
      </w:r>
      <w:r w:rsidR="00452144" w:rsidRPr="008D12C3">
        <w:rPr>
          <w:rFonts w:ascii="Times New Roman" w:eastAsia="宋体" w:hAnsi="Times New Roman" w:cs="Times New Roman"/>
          <w:i/>
          <w:iCs/>
          <w:szCs w:val="21"/>
        </w:rPr>
        <w:t>EGFR</w:t>
      </w:r>
      <w:r w:rsidR="00452144" w:rsidRPr="00452144">
        <w:rPr>
          <w:rFonts w:ascii="Times New Roman" w:eastAsia="宋体" w:hAnsi="Times New Roman" w:cs="Times New Roman"/>
          <w:szCs w:val="21"/>
        </w:rPr>
        <w:t>二次突变、旁路</w:t>
      </w:r>
      <w:r w:rsidR="00694765">
        <w:rPr>
          <w:rFonts w:ascii="Times New Roman" w:eastAsia="宋体" w:hAnsi="Times New Roman" w:cs="Times New Roman" w:hint="eastAsia"/>
          <w:szCs w:val="21"/>
        </w:rPr>
        <w:t>信号</w:t>
      </w:r>
      <w:r w:rsidR="00452144" w:rsidRPr="00452144">
        <w:rPr>
          <w:rFonts w:ascii="Times New Roman" w:eastAsia="宋体" w:hAnsi="Times New Roman" w:cs="Times New Roman"/>
          <w:szCs w:val="21"/>
        </w:rPr>
        <w:t>激活、融合基因获得、</w:t>
      </w:r>
      <w:r w:rsidR="00694765">
        <w:rPr>
          <w:rFonts w:ascii="Times New Roman" w:eastAsia="宋体" w:hAnsi="Times New Roman" w:cs="Times New Roman" w:hint="eastAsia"/>
          <w:szCs w:val="21"/>
        </w:rPr>
        <w:t>下游信号</w:t>
      </w:r>
      <w:r w:rsidR="00452144" w:rsidRPr="00452144">
        <w:rPr>
          <w:rFonts w:ascii="Times New Roman" w:eastAsia="宋体" w:hAnsi="Times New Roman" w:cs="Times New Roman"/>
          <w:szCs w:val="21"/>
        </w:rPr>
        <w:t>通路异常，以及表型或组织学转化</w:t>
      </w:r>
      <w:r w:rsidR="00C15FDD">
        <w:rPr>
          <w:rFonts w:ascii="Times New Roman" w:eastAsia="宋体" w:hAnsi="Times New Roman" w:cs="Times New Roman" w:hint="eastAsia"/>
          <w:szCs w:val="21"/>
        </w:rPr>
        <w:t>等，</w:t>
      </w:r>
      <w:r w:rsidR="00C15FDD" w:rsidRPr="00C15FDD">
        <w:rPr>
          <w:rFonts w:ascii="Times New Roman" w:eastAsia="宋体" w:hAnsi="Times New Roman" w:cs="Times New Roman" w:hint="eastAsia"/>
          <w:szCs w:val="21"/>
        </w:rPr>
        <w:t>仍有部分</w:t>
      </w:r>
      <w:r w:rsidR="00487339">
        <w:rPr>
          <w:rFonts w:ascii="Times New Roman" w:eastAsia="宋体" w:hAnsi="Times New Roman" w:cs="Times New Roman" w:hint="eastAsia"/>
          <w:szCs w:val="21"/>
        </w:rPr>
        <w:t>患者在</w:t>
      </w:r>
      <w:r w:rsidR="00C15FDD" w:rsidRPr="00C15FDD">
        <w:rPr>
          <w:rFonts w:ascii="Times New Roman" w:eastAsia="宋体" w:hAnsi="Times New Roman" w:cs="Times New Roman" w:hint="eastAsia"/>
          <w:szCs w:val="21"/>
        </w:rPr>
        <w:t>现有检测条件下无法明确具体</w:t>
      </w:r>
      <w:r w:rsidR="00B44722">
        <w:rPr>
          <w:rFonts w:ascii="Times New Roman" w:eastAsia="宋体" w:hAnsi="Times New Roman" w:cs="Times New Roman" w:hint="eastAsia"/>
          <w:szCs w:val="21"/>
        </w:rPr>
        <w:t>的</w:t>
      </w:r>
      <w:r w:rsidR="00C15FDD" w:rsidRPr="00C15FDD">
        <w:rPr>
          <w:rFonts w:ascii="Times New Roman" w:eastAsia="宋体" w:hAnsi="Times New Roman" w:cs="Times New Roman" w:hint="eastAsia"/>
          <w:szCs w:val="21"/>
        </w:rPr>
        <w:t>耐药机制。</w:t>
      </w:r>
      <w:r w:rsidR="00C82584" w:rsidRPr="00C82584">
        <w:rPr>
          <w:rFonts w:ascii="宋体" w:eastAsia="宋体" w:hAnsi="宋体" w:hint="eastAsia"/>
          <w:szCs w:val="21"/>
        </w:rPr>
        <w:t>本文围绕</w:t>
      </w:r>
      <w:r w:rsidR="00C82584" w:rsidRPr="00C82584">
        <w:rPr>
          <w:rFonts w:ascii="Times New Roman" w:eastAsia="宋体" w:hAnsi="Times New Roman" w:cs="Times New Roman"/>
          <w:szCs w:val="21"/>
        </w:rPr>
        <w:t>EGFR-TKI</w:t>
      </w:r>
      <w:r w:rsidR="00C82584" w:rsidRPr="00C82584">
        <w:rPr>
          <w:rFonts w:ascii="宋体" w:eastAsia="宋体" w:hAnsi="宋体" w:hint="eastAsia"/>
          <w:szCs w:val="21"/>
        </w:rPr>
        <w:t>获得性耐药的主要分子机制及相应临床研究进展进行综述</w:t>
      </w:r>
      <w:r w:rsidR="00C82584" w:rsidRPr="00B67147">
        <w:rPr>
          <w:rFonts w:ascii="宋体" w:eastAsia="宋体" w:hAnsi="宋体" w:hint="eastAsia"/>
          <w:szCs w:val="21"/>
        </w:rPr>
        <w:t>。</w:t>
      </w:r>
    </w:p>
    <w:p w14:paraId="1626F83C" w14:textId="6711C5AF" w:rsidR="007869AD" w:rsidRDefault="00826AF0" w:rsidP="00826AF0">
      <w:pPr>
        <w:spacing w:line="360" w:lineRule="auto"/>
        <w:jc w:val="left"/>
        <w:rPr>
          <w:rFonts w:ascii="宋体" w:eastAsia="宋体" w:hAnsi="宋体" w:hint="eastAsia"/>
          <w:b/>
          <w:bCs/>
          <w:szCs w:val="21"/>
        </w:rPr>
      </w:pPr>
      <w:r w:rsidRPr="00826AF0">
        <w:rPr>
          <w:rFonts w:ascii="宋体" w:eastAsia="宋体" w:hAnsi="宋体" w:hint="eastAsia"/>
          <w:b/>
          <w:bCs/>
          <w:szCs w:val="21"/>
        </w:rPr>
        <w:t>关键词</w:t>
      </w:r>
      <w:r w:rsidR="00C82584">
        <w:rPr>
          <w:rFonts w:ascii="宋体" w:eastAsia="宋体" w:hAnsi="宋体" w:hint="eastAsia"/>
          <w:b/>
          <w:bCs/>
          <w:szCs w:val="21"/>
        </w:rPr>
        <w:t>：</w:t>
      </w:r>
      <w:r w:rsidR="00C82584" w:rsidRPr="00C82584">
        <w:rPr>
          <w:rFonts w:ascii="宋体" w:eastAsia="宋体" w:hAnsi="宋体" w:hint="eastAsia"/>
          <w:szCs w:val="21"/>
        </w:rPr>
        <w:t>非小细胞肺癌；表皮生长因子受体；酪氨酸激酶抑制剂；获得性耐药；靶向治疗</w:t>
      </w:r>
      <w:r w:rsidR="009F7F30">
        <w:rPr>
          <w:rFonts w:ascii="宋体" w:eastAsia="宋体" w:hAnsi="宋体" w:hint="eastAsia"/>
          <w:b/>
          <w:bCs/>
          <w:szCs w:val="21"/>
        </w:rPr>
        <w:t xml:space="preserve"> </w:t>
      </w:r>
    </w:p>
    <w:p w14:paraId="2068B8AF" w14:textId="2AA9BAC4" w:rsidR="005C1193" w:rsidRDefault="00446B08" w:rsidP="00446B08">
      <w:pPr>
        <w:spacing w:line="360" w:lineRule="auto"/>
        <w:jc w:val="center"/>
        <w:rPr>
          <w:rFonts w:ascii="Times New Roman" w:eastAsia="宋体" w:hAnsi="Times New Roman" w:cs="Times New Roman"/>
          <w:b/>
          <w:bCs/>
          <w:sz w:val="28"/>
          <w:szCs w:val="28"/>
        </w:rPr>
      </w:pPr>
      <w:r w:rsidRPr="00446B08">
        <w:rPr>
          <w:rFonts w:ascii="Times New Roman" w:eastAsia="宋体" w:hAnsi="Times New Roman" w:cs="Times New Roman"/>
          <w:b/>
          <w:bCs/>
          <w:sz w:val="28"/>
          <w:szCs w:val="28"/>
        </w:rPr>
        <w:t>Acquired Resistance Mechanisms to EGFR-TKIs in Non-Small Cell Lung Cancer and Advances in Clinical Research</w:t>
      </w:r>
    </w:p>
    <w:p w14:paraId="69E5C672" w14:textId="7A322650" w:rsidR="00DB1E45" w:rsidRDefault="00DB1E45" w:rsidP="00DB1E45">
      <w:pPr>
        <w:spacing w:line="360" w:lineRule="auto"/>
        <w:jc w:val="center"/>
        <w:rPr>
          <w:rFonts w:ascii="Times New Roman" w:eastAsia="宋体" w:hAnsi="Times New Roman" w:cs="Times New Roman"/>
          <w:szCs w:val="21"/>
        </w:rPr>
      </w:pPr>
      <w:r w:rsidRPr="00DB1E45">
        <w:rPr>
          <w:rFonts w:ascii="Times New Roman" w:eastAsia="宋体" w:hAnsi="Times New Roman" w:cs="Times New Roman" w:hint="eastAsia"/>
          <w:szCs w:val="21"/>
        </w:rPr>
        <w:t xml:space="preserve">Zhang Ruilin  Wang Mengchao  Wang </w:t>
      </w:r>
      <w:r w:rsidR="00D7397B">
        <w:rPr>
          <w:rFonts w:ascii="Times New Roman" w:eastAsia="宋体" w:hAnsi="Times New Roman" w:cs="Times New Roman" w:hint="eastAsia"/>
          <w:szCs w:val="21"/>
        </w:rPr>
        <w:t>C</w:t>
      </w:r>
      <w:r w:rsidRPr="00DB1E45">
        <w:rPr>
          <w:rFonts w:ascii="Times New Roman" w:eastAsia="宋体" w:hAnsi="Times New Roman" w:cs="Times New Roman" w:hint="eastAsia"/>
          <w:szCs w:val="21"/>
        </w:rPr>
        <w:t xml:space="preserve">haoran  Chen Liwei  </w:t>
      </w:r>
    </w:p>
    <w:p w14:paraId="66762A85" w14:textId="77019189" w:rsidR="003C3F3F" w:rsidRPr="00DB1E45" w:rsidRDefault="003C3F3F" w:rsidP="003C3F3F">
      <w:pPr>
        <w:spacing w:line="360" w:lineRule="auto"/>
        <w:jc w:val="center"/>
        <w:rPr>
          <w:rFonts w:ascii="Times New Roman" w:eastAsia="宋体" w:hAnsi="Times New Roman" w:cs="Times New Roman"/>
          <w:szCs w:val="21"/>
        </w:rPr>
      </w:pPr>
      <w:r w:rsidRPr="003C3F3F">
        <w:rPr>
          <w:rFonts w:ascii="Times New Roman" w:eastAsia="宋体" w:hAnsi="Times New Roman" w:cs="Times New Roman" w:hint="eastAsia"/>
          <w:szCs w:val="21"/>
        </w:rPr>
        <w:t>1 First Teaching Hospital of Tianjin University of Traditional</w:t>
      </w:r>
      <w:r>
        <w:rPr>
          <w:rFonts w:ascii="Times New Roman" w:eastAsia="宋体" w:hAnsi="Times New Roman" w:cs="Times New Roman" w:hint="eastAsia"/>
          <w:szCs w:val="21"/>
        </w:rPr>
        <w:t xml:space="preserve"> </w:t>
      </w:r>
      <w:r w:rsidRPr="003C3F3F">
        <w:rPr>
          <w:rFonts w:ascii="Times New Roman" w:eastAsia="宋体" w:hAnsi="Times New Roman" w:cs="Times New Roman" w:hint="eastAsia"/>
          <w:szCs w:val="21"/>
        </w:rPr>
        <w:t>Chinese Medicine</w:t>
      </w:r>
      <w:r>
        <w:rPr>
          <w:rFonts w:ascii="Times New Roman" w:eastAsia="宋体" w:hAnsi="Times New Roman" w:cs="Times New Roman" w:hint="eastAsia"/>
          <w:szCs w:val="21"/>
        </w:rPr>
        <w:t xml:space="preserve">, </w:t>
      </w:r>
      <w:r w:rsidRPr="003C3F3F">
        <w:rPr>
          <w:rFonts w:ascii="Times New Roman" w:eastAsia="宋体" w:hAnsi="Times New Roman" w:cs="Times New Roman" w:hint="eastAsia"/>
          <w:szCs w:val="21"/>
        </w:rPr>
        <w:t>Tianjin 300381,</w:t>
      </w:r>
      <w:r w:rsidR="007D3FE6">
        <w:rPr>
          <w:rFonts w:ascii="Times New Roman" w:eastAsia="宋体" w:hAnsi="Times New Roman" w:cs="Times New Roman" w:hint="eastAsia"/>
          <w:szCs w:val="21"/>
        </w:rPr>
        <w:t xml:space="preserve"> </w:t>
      </w:r>
      <w:r w:rsidRPr="003C3F3F">
        <w:rPr>
          <w:rFonts w:ascii="Times New Roman" w:eastAsia="宋体" w:hAnsi="Times New Roman" w:cs="Times New Roman" w:hint="eastAsia"/>
          <w:szCs w:val="21"/>
        </w:rPr>
        <w:t>China;</w:t>
      </w:r>
      <w:r w:rsidR="00694B6E" w:rsidRPr="00694B6E">
        <w:rPr>
          <w:rFonts w:hint="eastAsia"/>
        </w:rPr>
        <w:t xml:space="preserve"> </w:t>
      </w:r>
      <w:r w:rsidR="00694B6E" w:rsidRPr="00694B6E">
        <w:rPr>
          <w:rFonts w:ascii="Times New Roman" w:eastAsia="宋体" w:hAnsi="Times New Roman" w:cs="Times New Roman" w:hint="eastAsia"/>
          <w:szCs w:val="21"/>
        </w:rPr>
        <w:t>2</w:t>
      </w:r>
      <w:r w:rsidR="00694B6E">
        <w:rPr>
          <w:rFonts w:ascii="Times New Roman" w:eastAsia="宋体" w:hAnsi="Times New Roman" w:cs="Times New Roman" w:hint="eastAsia"/>
          <w:szCs w:val="21"/>
        </w:rPr>
        <w:t xml:space="preserve"> </w:t>
      </w:r>
      <w:r w:rsidR="00694B6E" w:rsidRPr="00694B6E">
        <w:rPr>
          <w:rFonts w:ascii="Times New Roman" w:eastAsia="宋体" w:hAnsi="Times New Roman" w:cs="Times New Roman" w:hint="eastAsia"/>
          <w:szCs w:val="21"/>
        </w:rPr>
        <w:t>National Clinical Research Center for Chinese Medicine</w:t>
      </w:r>
      <w:r w:rsidR="00694B6E">
        <w:rPr>
          <w:rFonts w:ascii="Times New Roman" w:eastAsia="宋体" w:hAnsi="Times New Roman" w:cs="Times New Roman" w:hint="eastAsia"/>
          <w:szCs w:val="21"/>
        </w:rPr>
        <w:t xml:space="preserve">, </w:t>
      </w:r>
      <w:r w:rsidR="00694B6E" w:rsidRPr="003C3F3F">
        <w:rPr>
          <w:rFonts w:ascii="Times New Roman" w:eastAsia="宋体" w:hAnsi="Times New Roman" w:cs="Times New Roman" w:hint="eastAsia"/>
          <w:szCs w:val="21"/>
        </w:rPr>
        <w:t>Tianjin 300381,</w:t>
      </w:r>
      <w:r w:rsidR="007D3FE6">
        <w:rPr>
          <w:rFonts w:ascii="Times New Roman" w:eastAsia="宋体" w:hAnsi="Times New Roman" w:cs="Times New Roman" w:hint="eastAsia"/>
          <w:szCs w:val="21"/>
        </w:rPr>
        <w:t xml:space="preserve"> </w:t>
      </w:r>
      <w:r w:rsidR="00694B6E" w:rsidRPr="003C3F3F">
        <w:rPr>
          <w:rFonts w:ascii="Times New Roman" w:eastAsia="宋体" w:hAnsi="Times New Roman" w:cs="Times New Roman" w:hint="eastAsia"/>
          <w:szCs w:val="21"/>
        </w:rPr>
        <w:t>China</w:t>
      </w:r>
      <w:r w:rsidR="00694B6E">
        <w:rPr>
          <w:rFonts w:ascii="Times New Roman" w:eastAsia="宋体" w:hAnsi="Times New Roman" w:cs="Times New Roman" w:hint="eastAsia"/>
          <w:szCs w:val="21"/>
        </w:rPr>
        <w:t>;</w:t>
      </w:r>
      <w:r>
        <w:rPr>
          <w:rFonts w:ascii="Times New Roman" w:eastAsia="宋体" w:hAnsi="Times New Roman" w:cs="Times New Roman" w:hint="eastAsia"/>
          <w:szCs w:val="21"/>
        </w:rPr>
        <w:t xml:space="preserve"> </w:t>
      </w:r>
      <w:r w:rsidR="00694B6E">
        <w:rPr>
          <w:rFonts w:ascii="Times New Roman" w:eastAsia="宋体" w:hAnsi="Times New Roman" w:cs="Times New Roman" w:hint="eastAsia"/>
          <w:szCs w:val="21"/>
        </w:rPr>
        <w:t>3</w:t>
      </w:r>
      <w:r>
        <w:rPr>
          <w:rFonts w:ascii="Times New Roman" w:eastAsia="宋体" w:hAnsi="Times New Roman" w:cs="Times New Roman" w:hint="eastAsia"/>
          <w:szCs w:val="21"/>
        </w:rPr>
        <w:t xml:space="preserve"> </w:t>
      </w:r>
      <w:r w:rsidRPr="003C3F3F">
        <w:rPr>
          <w:rFonts w:ascii="Times New Roman" w:eastAsia="宋体" w:hAnsi="Times New Roman" w:cs="Times New Roman" w:hint="eastAsia"/>
          <w:szCs w:val="21"/>
        </w:rPr>
        <w:t>Tianjin University of Traditional Chinese Medicine,</w:t>
      </w:r>
      <w:r>
        <w:rPr>
          <w:rFonts w:ascii="Times New Roman" w:eastAsia="宋体" w:hAnsi="Times New Roman" w:cs="Times New Roman" w:hint="eastAsia"/>
          <w:szCs w:val="21"/>
        </w:rPr>
        <w:t xml:space="preserve"> </w:t>
      </w:r>
      <w:r w:rsidRPr="003C3F3F">
        <w:rPr>
          <w:rFonts w:ascii="Times New Roman" w:eastAsia="宋体" w:hAnsi="Times New Roman" w:cs="Times New Roman" w:hint="eastAsia"/>
          <w:szCs w:val="21"/>
        </w:rPr>
        <w:t>Tianjin</w:t>
      </w:r>
      <w:r>
        <w:rPr>
          <w:rFonts w:ascii="Times New Roman" w:eastAsia="宋体" w:hAnsi="Times New Roman" w:cs="Times New Roman" w:hint="eastAsia"/>
          <w:szCs w:val="21"/>
        </w:rPr>
        <w:t xml:space="preserve"> </w:t>
      </w:r>
      <w:r w:rsidRPr="003C3F3F">
        <w:rPr>
          <w:rFonts w:ascii="Times New Roman" w:eastAsia="宋体" w:hAnsi="Times New Roman" w:cs="Times New Roman" w:hint="eastAsia"/>
          <w:szCs w:val="21"/>
        </w:rPr>
        <w:t>301617,</w:t>
      </w:r>
      <w:r w:rsidR="007D3FE6">
        <w:rPr>
          <w:rFonts w:ascii="Times New Roman" w:eastAsia="宋体" w:hAnsi="Times New Roman" w:cs="Times New Roman" w:hint="eastAsia"/>
          <w:szCs w:val="21"/>
        </w:rPr>
        <w:t xml:space="preserve"> </w:t>
      </w:r>
      <w:r w:rsidRPr="003C3F3F">
        <w:rPr>
          <w:rFonts w:ascii="Times New Roman" w:eastAsia="宋体" w:hAnsi="Times New Roman" w:cs="Times New Roman" w:hint="eastAsia"/>
          <w:szCs w:val="21"/>
        </w:rPr>
        <w:t>China</w:t>
      </w:r>
    </w:p>
    <w:p w14:paraId="2E972C0D" w14:textId="34164EF7" w:rsidR="00536FE9" w:rsidRDefault="00446B08" w:rsidP="00446B08">
      <w:pPr>
        <w:spacing w:line="360" w:lineRule="auto"/>
        <w:jc w:val="left"/>
        <w:rPr>
          <w:rFonts w:ascii="Times New Roman" w:eastAsia="宋体" w:hAnsi="Times New Roman" w:cs="Times New Roman"/>
          <w:szCs w:val="21"/>
        </w:rPr>
      </w:pPr>
      <w:r w:rsidRPr="00446B08">
        <w:rPr>
          <w:rFonts w:ascii="Times New Roman" w:eastAsia="宋体" w:hAnsi="Times New Roman" w:cs="Times New Roman" w:hint="eastAsia"/>
          <w:b/>
          <w:bCs/>
          <w:szCs w:val="21"/>
        </w:rPr>
        <w:t>Abstract:</w:t>
      </w:r>
      <w:r w:rsidR="006577EA" w:rsidRPr="006577EA">
        <w:rPr>
          <w:rFonts w:hint="eastAsia"/>
        </w:rPr>
        <w:t xml:space="preserve"> </w:t>
      </w:r>
      <w:r w:rsidR="006577EA" w:rsidRPr="006577EA">
        <w:rPr>
          <w:rFonts w:ascii="Times New Roman" w:eastAsia="宋体" w:hAnsi="Times New Roman" w:cs="Times New Roman" w:hint="eastAsia"/>
          <w:szCs w:val="21"/>
        </w:rPr>
        <w:t xml:space="preserve">Non-small cell lung cancer (NSCLC) is the most common histological subtype of lung cancer, and epidermal growth factor receptor </w:t>
      </w:r>
      <w:r w:rsidR="006577EA" w:rsidRPr="006577EA">
        <w:rPr>
          <w:rFonts w:ascii="Times New Roman" w:eastAsia="宋体" w:hAnsi="Times New Roman" w:cs="Times New Roman" w:hint="eastAsia"/>
          <w:i/>
          <w:iCs/>
          <w:szCs w:val="21"/>
        </w:rPr>
        <w:t>(EGFR</w:t>
      </w:r>
      <w:r w:rsidR="006577EA" w:rsidRPr="006577EA">
        <w:rPr>
          <w:rFonts w:ascii="Times New Roman" w:eastAsia="宋体" w:hAnsi="Times New Roman" w:cs="Times New Roman" w:hint="eastAsia"/>
          <w:szCs w:val="21"/>
        </w:rPr>
        <w:t>) mutations represent an important oncogenic driver. The use of epidermal growth factor receptor tyrosine kinase inhibitors (EGFR-TKIs) has significantly improved survival outcomes in patients with advanced</w:t>
      </w:r>
      <w:r w:rsidR="006577EA" w:rsidRPr="006577EA">
        <w:rPr>
          <w:rFonts w:ascii="Times New Roman" w:eastAsia="宋体" w:hAnsi="Times New Roman" w:cs="Times New Roman" w:hint="eastAsia"/>
          <w:i/>
          <w:iCs/>
          <w:szCs w:val="21"/>
        </w:rPr>
        <w:t xml:space="preserve"> EGFR</w:t>
      </w:r>
      <w:r w:rsidR="006577EA" w:rsidRPr="006577EA">
        <w:rPr>
          <w:rFonts w:ascii="Times New Roman" w:eastAsia="宋体" w:hAnsi="Times New Roman" w:cs="Times New Roman" w:hint="eastAsia"/>
          <w:szCs w:val="21"/>
        </w:rPr>
        <w:t>-mutant NSCLC; however, most patients inevitably develop acquired resistance during continued treatment, limiting the long-term efficacy of targeted therapy. The mechanisms of acquired resistance to EGFR-TKIs are highly heterogeneous and mainly include secondary</w:t>
      </w:r>
      <w:r w:rsidR="006577EA" w:rsidRPr="006577EA">
        <w:rPr>
          <w:rFonts w:ascii="Times New Roman" w:eastAsia="宋体" w:hAnsi="Times New Roman" w:cs="Times New Roman" w:hint="eastAsia"/>
          <w:i/>
          <w:iCs/>
          <w:szCs w:val="21"/>
        </w:rPr>
        <w:t xml:space="preserve"> EGFR</w:t>
      </w:r>
      <w:r w:rsidR="006577EA" w:rsidRPr="006577EA">
        <w:rPr>
          <w:rFonts w:ascii="Times New Roman" w:eastAsia="宋体" w:hAnsi="Times New Roman" w:cs="Times New Roman" w:hint="eastAsia"/>
          <w:szCs w:val="21"/>
        </w:rPr>
        <w:t xml:space="preserve"> mutations, activation of bypass signaling pathways, acquisition of gene fusions, abnormalities in downstream signaling pathways, and phenotypic or histological transformation; in some patients, the specific resistance mechanism remains unidentified with currently available testing methods. This review summarizes the major </w:t>
      </w:r>
      <w:r w:rsidR="006577EA" w:rsidRPr="006577EA">
        <w:rPr>
          <w:rFonts w:ascii="Times New Roman" w:eastAsia="宋体" w:hAnsi="Times New Roman" w:cs="Times New Roman" w:hint="eastAsia"/>
          <w:szCs w:val="21"/>
        </w:rPr>
        <w:lastRenderedPageBreak/>
        <w:t>molecular mechanisms of acquired resistance to EGFR-TKIs and the corresponding advances in clinical research.</w:t>
      </w:r>
    </w:p>
    <w:p w14:paraId="77840991" w14:textId="23DAC15E" w:rsidR="00446B08" w:rsidRPr="00446B08" w:rsidRDefault="00446B08" w:rsidP="00446B08">
      <w:pPr>
        <w:spacing w:line="360" w:lineRule="auto"/>
        <w:jc w:val="left"/>
        <w:rPr>
          <w:rFonts w:ascii="Times New Roman" w:eastAsia="宋体" w:hAnsi="Times New Roman" w:cs="Times New Roman"/>
          <w:szCs w:val="21"/>
        </w:rPr>
      </w:pPr>
      <w:r w:rsidRPr="00446B08">
        <w:rPr>
          <w:rFonts w:ascii="Times New Roman" w:eastAsia="宋体" w:hAnsi="Times New Roman" w:cs="Times New Roman" w:hint="eastAsia"/>
          <w:b/>
          <w:bCs/>
          <w:szCs w:val="21"/>
        </w:rPr>
        <w:t>Keywords:</w:t>
      </w:r>
      <w:r w:rsidRPr="00446B08">
        <w:rPr>
          <w:rFonts w:ascii="Times New Roman" w:eastAsia="宋体" w:hAnsi="Times New Roman" w:cs="Times New Roman" w:hint="eastAsia"/>
          <w:szCs w:val="21"/>
        </w:rPr>
        <w:t xml:space="preserve"> non-small cell lung cancer; epidermal growth factor receptor</w:t>
      </w:r>
      <w:r w:rsidR="009F7F30">
        <w:rPr>
          <w:rFonts w:ascii="Times New Roman" w:eastAsia="宋体" w:hAnsi="Times New Roman" w:cs="Times New Roman" w:hint="eastAsia"/>
          <w:szCs w:val="21"/>
        </w:rPr>
        <w:t>;</w:t>
      </w:r>
      <w:r w:rsidR="00584988">
        <w:rPr>
          <w:rFonts w:ascii="Times New Roman" w:eastAsia="宋体" w:hAnsi="Times New Roman" w:cs="Times New Roman" w:hint="eastAsia"/>
          <w:szCs w:val="21"/>
        </w:rPr>
        <w:t xml:space="preserve"> </w:t>
      </w:r>
      <w:r w:rsidRPr="00446B08">
        <w:rPr>
          <w:rFonts w:ascii="Times New Roman" w:eastAsia="宋体" w:hAnsi="Times New Roman" w:cs="Times New Roman" w:hint="eastAsia"/>
          <w:szCs w:val="21"/>
        </w:rPr>
        <w:t>tyrosine kinase inhibitor; acquired resistance; targeted therapy</w:t>
      </w:r>
    </w:p>
    <w:p w14:paraId="7AAAE107" w14:textId="5FF61D76" w:rsidR="0005371C" w:rsidRPr="00C82584" w:rsidRDefault="0082768B" w:rsidP="005C1193">
      <w:pPr>
        <w:spacing w:line="360" w:lineRule="auto"/>
        <w:ind w:firstLineChars="200" w:firstLine="420"/>
        <w:jc w:val="left"/>
        <w:rPr>
          <w:rFonts w:ascii="Times New Roman" w:eastAsia="宋体" w:hAnsi="Times New Roman" w:cs="Times New Roman"/>
          <w:szCs w:val="21"/>
        </w:rPr>
      </w:pPr>
      <w:r w:rsidRPr="0082768B">
        <w:rPr>
          <w:rFonts w:ascii="Times New Roman" w:eastAsia="宋体" w:hAnsi="Times New Roman" w:cs="Times New Roman"/>
          <w:szCs w:val="21"/>
        </w:rPr>
        <w:t>肺癌是全球癌症相关死亡的主要原因之一，非小细胞肺癌</w:t>
      </w:r>
      <w:r w:rsidR="004C7C70" w:rsidRPr="004C7C70">
        <w:rPr>
          <w:rFonts w:ascii="Times New Roman" w:eastAsia="宋体" w:hAnsi="Times New Roman" w:cs="Times New Roman" w:hint="eastAsia"/>
          <w:szCs w:val="21"/>
        </w:rPr>
        <w:t>（</w:t>
      </w:r>
      <w:r w:rsidR="004C7C70" w:rsidRPr="004C7C70">
        <w:rPr>
          <w:rFonts w:ascii="Times New Roman" w:eastAsia="宋体" w:hAnsi="Times New Roman" w:cs="Times New Roman" w:hint="eastAsia"/>
          <w:szCs w:val="21"/>
        </w:rPr>
        <w:t>non-small cell lung cancer</w:t>
      </w:r>
      <w:r w:rsidR="004C7C70" w:rsidRPr="004C7C70">
        <w:rPr>
          <w:rFonts w:ascii="Times New Roman" w:eastAsia="宋体" w:hAnsi="Times New Roman" w:cs="Times New Roman" w:hint="eastAsia"/>
          <w:szCs w:val="21"/>
        </w:rPr>
        <w:t>，</w:t>
      </w:r>
      <w:r w:rsidR="004C7C70" w:rsidRPr="004C7C70">
        <w:rPr>
          <w:rFonts w:ascii="Times New Roman" w:eastAsia="宋体" w:hAnsi="Times New Roman" w:cs="Times New Roman" w:hint="eastAsia"/>
          <w:szCs w:val="21"/>
        </w:rPr>
        <w:t>NSCLC</w:t>
      </w:r>
      <w:r w:rsidR="004C7C70" w:rsidRPr="004C7C70">
        <w:rPr>
          <w:rFonts w:ascii="Times New Roman" w:eastAsia="宋体" w:hAnsi="Times New Roman" w:cs="Times New Roman" w:hint="eastAsia"/>
          <w:szCs w:val="21"/>
        </w:rPr>
        <w:t>）</w:t>
      </w:r>
      <w:r w:rsidRPr="0082768B">
        <w:rPr>
          <w:rFonts w:ascii="Times New Roman" w:eastAsia="宋体" w:hAnsi="Times New Roman" w:cs="Times New Roman"/>
          <w:szCs w:val="21"/>
        </w:rPr>
        <w:t>约占肺癌的</w:t>
      </w:r>
      <w:r w:rsidRPr="0082768B">
        <w:rPr>
          <w:rFonts w:ascii="Times New Roman" w:eastAsia="宋体" w:hAnsi="Times New Roman" w:cs="Times New Roman"/>
          <w:szCs w:val="21"/>
        </w:rPr>
        <w:t>85%</w:t>
      </w:r>
      <w:r w:rsidR="004C7C70">
        <w:rPr>
          <w:rFonts w:ascii="Times New Roman" w:eastAsia="宋体" w:hAnsi="Times New Roman" w:cs="Times New Roman" w:hint="eastAsia"/>
          <w:szCs w:val="21"/>
        </w:rPr>
        <w:t>，</w:t>
      </w:r>
      <w:r w:rsidR="004C7C70" w:rsidRPr="004C7C70">
        <w:rPr>
          <w:rFonts w:ascii="Times New Roman" w:eastAsia="宋体" w:hAnsi="Times New Roman" w:cs="Times New Roman" w:hint="eastAsia"/>
          <w:szCs w:val="21"/>
        </w:rPr>
        <w:t>其中表皮生长因子受体（</w:t>
      </w:r>
      <w:r w:rsidR="004C7C70" w:rsidRPr="004C7C70">
        <w:rPr>
          <w:rFonts w:ascii="Times New Roman" w:eastAsia="宋体" w:hAnsi="Times New Roman" w:cs="Times New Roman" w:hint="eastAsia"/>
          <w:szCs w:val="21"/>
        </w:rPr>
        <w:t>epidermal growth factor receptor</w:t>
      </w:r>
      <w:r w:rsidR="004C7C70" w:rsidRPr="004C7C70">
        <w:rPr>
          <w:rFonts w:ascii="Times New Roman" w:eastAsia="宋体" w:hAnsi="Times New Roman" w:cs="Times New Roman" w:hint="eastAsia"/>
          <w:szCs w:val="21"/>
        </w:rPr>
        <w:t>，</w:t>
      </w:r>
      <w:r w:rsidR="004C7C70" w:rsidRPr="00E203CA">
        <w:rPr>
          <w:rFonts w:ascii="Times New Roman" w:eastAsia="宋体" w:hAnsi="Times New Roman" w:cs="Times New Roman" w:hint="eastAsia"/>
          <w:i/>
          <w:iCs/>
          <w:szCs w:val="21"/>
        </w:rPr>
        <w:t>EGFR</w:t>
      </w:r>
      <w:r w:rsidR="004C7C70" w:rsidRPr="004C7C70">
        <w:rPr>
          <w:rFonts w:ascii="Times New Roman" w:eastAsia="宋体" w:hAnsi="Times New Roman" w:cs="Times New Roman" w:hint="eastAsia"/>
          <w:szCs w:val="21"/>
        </w:rPr>
        <w:t>）突变是重要的驱动事件之一</w:t>
      </w:r>
      <w:r w:rsidR="00C5280A" w:rsidRPr="00C82584">
        <w:rPr>
          <w:rFonts w:ascii="Times New Roman" w:eastAsia="宋体" w:hAnsi="Times New Roman" w:cs="Times New Roman"/>
          <w:szCs w:val="21"/>
        </w:rPr>
        <w:fldChar w:fldCharType="begin"/>
      </w:r>
      <w:r w:rsidR="009509DB" w:rsidRPr="00C82584">
        <w:rPr>
          <w:rFonts w:ascii="Times New Roman" w:eastAsia="宋体" w:hAnsi="Times New Roman" w:cs="Times New Roman"/>
          <w:szCs w:val="21"/>
        </w:rPr>
        <w:instrText xml:space="preserve"> ADDIN ZOTERO_ITEM CSL_CITATION {"citationID":"rIeBbO4l","properties":{"formattedCitation":"\\super [1]\\nosupersub{}","plainCitation":"[1]","noteIndex":0},"citationItems":[{"id":688,"uris":["http://zotero.org/users/14719789/items/IWM4J3ZL"],"itemData":{"id":688,"type":"article-journal","collection-title":"Lung Cancer: Part I","container-title":"Clinics in Chest Medicine","DOI":"10.1016/j.ccm.2019.10.001","ISSN":"0272-5231","issue":"1","journalAbbreviation":"Clinics in Chest Medicine","note":"TLDR: Disease prevention is focused on smoking avoidance and cessation, and future work should focus on smoking cessation campaigns and better understanding disease development and treatment strategies in nonsmokers.","page":"1-24","source":"ScienceDirect","title":"Lung Cancer 2020: Epidemiology, Etiology, and Prevention","title-short":"Lung Cancer 2020","volume":"41","author":[{"family":"Bade","given":"Brett C."},{"family":"Dela Cruz","given":"Charles S."}],"issued":{"date-parts":[["2020",3,1]]}}}],"schema":"https://github.com/citation-style-language/schema/raw/master/csl-citation.json"} </w:instrText>
      </w:r>
      <w:r w:rsidR="00C5280A" w:rsidRPr="00C82584">
        <w:rPr>
          <w:rFonts w:ascii="Times New Roman" w:eastAsia="宋体" w:hAnsi="Times New Roman" w:cs="Times New Roman"/>
          <w:szCs w:val="21"/>
        </w:rPr>
        <w:fldChar w:fldCharType="separate"/>
      </w:r>
      <w:r w:rsidR="00A23D31" w:rsidRPr="00A23D31">
        <w:rPr>
          <w:rFonts w:ascii="Times New Roman" w:hAnsi="Times New Roman" w:cs="Times New Roman"/>
          <w:kern w:val="0"/>
          <w:vertAlign w:val="superscript"/>
        </w:rPr>
        <w:t>[1]</w:t>
      </w:r>
      <w:r w:rsidR="00C5280A" w:rsidRPr="00C82584">
        <w:rPr>
          <w:rFonts w:ascii="Times New Roman" w:eastAsia="宋体" w:hAnsi="Times New Roman" w:cs="Times New Roman"/>
          <w:szCs w:val="21"/>
        </w:rPr>
        <w:fldChar w:fldCharType="end"/>
      </w:r>
      <w:r w:rsidR="004C7C70">
        <w:rPr>
          <w:rFonts w:ascii="Times New Roman" w:eastAsia="宋体" w:hAnsi="Times New Roman" w:cs="Times New Roman" w:hint="eastAsia"/>
          <w:szCs w:val="21"/>
        </w:rPr>
        <w:t>。</w:t>
      </w:r>
      <w:r w:rsidR="004C7C70" w:rsidRPr="004C7C70">
        <w:rPr>
          <w:rFonts w:ascii="Times New Roman" w:eastAsia="宋体" w:hAnsi="Times New Roman" w:cs="Times New Roman" w:hint="eastAsia"/>
          <w:szCs w:val="21"/>
        </w:rPr>
        <w:t>在晚期</w:t>
      </w:r>
      <w:r w:rsidR="004C7C70" w:rsidRPr="004C7C70">
        <w:rPr>
          <w:rFonts w:ascii="Times New Roman" w:eastAsia="宋体" w:hAnsi="Times New Roman" w:cs="Times New Roman" w:hint="eastAsia"/>
          <w:szCs w:val="21"/>
        </w:rPr>
        <w:t>NSCLC</w:t>
      </w:r>
      <w:r w:rsidR="004C7C70" w:rsidRPr="004C7C70">
        <w:rPr>
          <w:rFonts w:ascii="Times New Roman" w:eastAsia="宋体" w:hAnsi="Times New Roman" w:cs="Times New Roman" w:hint="eastAsia"/>
          <w:szCs w:val="21"/>
        </w:rPr>
        <w:t>中，</w:t>
      </w:r>
      <w:r w:rsidR="004C7C70" w:rsidRPr="008D12C3">
        <w:rPr>
          <w:rFonts w:ascii="Times New Roman" w:eastAsia="宋体" w:hAnsi="Times New Roman" w:cs="Times New Roman" w:hint="eastAsia"/>
          <w:i/>
          <w:iCs/>
          <w:szCs w:val="21"/>
        </w:rPr>
        <w:t>EGFR</w:t>
      </w:r>
      <w:r w:rsidR="004C7C70" w:rsidRPr="004C7C70">
        <w:rPr>
          <w:rFonts w:ascii="Times New Roman" w:eastAsia="宋体" w:hAnsi="Times New Roman" w:cs="Times New Roman" w:hint="eastAsia"/>
          <w:szCs w:val="21"/>
        </w:rPr>
        <w:t>突变</w:t>
      </w:r>
      <w:r w:rsidR="00D978C1">
        <w:rPr>
          <w:rFonts w:ascii="Times New Roman" w:eastAsia="宋体" w:hAnsi="Times New Roman" w:cs="Times New Roman" w:hint="eastAsia"/>
          <w:szCs w:val="21"/>
        </w:rPr>
        <w:t>在</w:t>
      </w:r>
      <w:r w:rsidR="004C7C70" w:rsidRPr="004C7C70">
        <w:rPr>
          <w:rFonts w:ascii="Times New Roman" w:eastAsia="宋体" w:hAnsi="Times New Roman" w:cs="Times New Roman" w:hint="eastAsia"/>
          <w:szCs w:val="21"/>
        </w:rPr>
        <w:t>亚洲人群中检出率相对较高，外显子</w:t>
      </w:r>
      <w:r w:rsidR="004C7C70" w:rsidRPr="004C7C70">
        <w:rPr>
          <w:rFonts w:ascii="Times New Roman" w:eastAsia="宋体" w:hAnsi="Times New Roman" w:cs="Times New Roman" w:hint="eastAsia"/>
          <w:szCs w:val="21"/>
        </w:rPr>
        <w:t>19</w:t>
      </w:r>
      <w:r w:rsidR="004C7C70" w:rsidRPr="004C7C70">
        <w:rPr>
          <w:rFonts w:ascii="Times New Roman" w:eastAsia="宋体" w:hAnsi="Times New Roman" w:cs="Times New Roman" w:hint="eastAsia"/>
          <w:szCs w:val="21"/>
        </w:rPr>
        <w:t>缺失和</w:t>
      </w:r>
      <w:r w:rsidR="004C7C70" w:rsidRPr="00524E96">
        <w:rPr>
          <w:rFonts w:ascii="Times New Roman" w:eastAsia="宋体" w:hAnsi="Times New Roman" w:cs="Times New Roman" w:hint="eastAsia"/>
          <w:i/>
          <w:iCs/>
          <w:szCs w:val="21"/>
        </w:rPr>
        <w:t>L858R</w:t>
      </w:r>
      <w:r w:rsidR="004C7C70" w:rsidRPr="004C7C70">
        <w:rPr>
          <w:rFonts w:ascii="Times New Roman" w:eastAsia="宋体" w:hAnsi="Times New Roman" w:cs="Times New Roman" w:hint="eastAsia"/>
          <w:szCs w:val="21"/>
        </w:rPr>
        <w:t>点突变最常见</w:t>
      </w:r>
      <w:r w:rsidR="009509DB" w:rsidRPr="00C82584">
        <w:rPr>
          <w:rFonts w:ascii="Times New Roman" w:eastAsia="宋体" w:hAnsi="Times New Roman" w:cs="Times New Roman"/>
          <w:szCs w:val="21"/>
        </w:rPr>
        <w:fldChar w:fldCharType="begin"/>
      </w:r>
      <w:r>
        <w:rPr>
          <w:rFonts w:ascii="Times New Roman" w:eastAsia="宋体" w:hAnsi="Times New Roman" w:cs="Times New Roman"/>
          <w:szCs w:val="21"/>
        </w:rPr>
        <w:instrText xml:space="preserve"> ADDIN ZOTERO_ITEM CSL_CITATION {"citationID":"bg4LqNC1","properties":{"formattedCitation":"\\super [2]\\nosupersub{}","plainCitation":"[2]","noteIndex":0},"citationItems":[{"id":696,"uris":["http://zotero.org/users/14719789/items/RS5HPDYU"],"itemData":{"id":696,"type":"article-journal","container-title":"Cancer Pathogenesis and Therapy","DOI":"10.1016/j.cpt.2024.09.005","ISSN":"2097-2563","issue":"3","journalAbbreviation":"Cancer Pathog Ther","page":"181-182","PMID":"40458307","PMCID":"PMC12126726","source":"PubMed Central","title":"New advances in lung cancer treatment: Efficacy, safety, and future research directions","title-short":"New advances in lung cancer treatment","volume":"3","author":[{"family":"Li","given":"Yintao"},{"family":"Xue","given":"Jianxin"},{"family":"Zhang","given":"Li"}],"issued":{"date-parts":[["2024",9,21]]}}}],"schema":"https://github.com/citation-style-language/schema/raw/master/csl-citation.json"} </w:instrText>
      </w:r>
      <w:r w:rsidR="009509DB" w:rsidRPr="00C82584">
        <w:rPr>
          <w:rFonts w:ascii="Times New Roman" w:eastAsia="宋体" w:hAnsi="Times New Roman" w:cs="Times New Roman"/>
          <w:szCs w:val="21"/>
        </w:rPr>
        <w:fldChar w:fldCharType="separate"/>
      </w:r>
      <w:r w:rsidR="00A23D31" w:rsidRPr="00A23D31">
        <w:rPr>
          <w:rFonts w:ascii="Times New Roman" w:hAnsi="Times New Roman" w:cs="Times New Roman"/>
          <w:kern w:val="0"/>
          <w:vertAlign w:val="superscript"/>
        </w:rPr>
        <w:t>[2]</w:t>
      </w:r>
      <w:r w:rsidR="009509DB" w:rsidRPr="00C82584">
        <w:rPr>
          <w:rFonts w:ascii="Times New Roman" w:eastAsia="宋体" w:hAnsi="Times New Roman" w:cs="Times New Roman"/>
          <w:szCs w:val="21"/>
        </w:rPr>
        <w:fldChar w:fldCharType="end"/>
      </w:r>
      <w:r w:rsidR="009509DB" w:rsidRPr="00C82584">
        <w:rPr>
          <w:rFonts w:ascii="Times New Roman" w:eastAsia="宋体" w:hAnsi="Times New Roman" w:cs="Times New Roman"/>
          <w:szCs w:val="21"/>
        </w:rPr>
        <w:t>。</w:t>
      </w:r>
      <w:r w:rsidR="00C81833" w:rsidRPr="00C81833">
        <w:rPr>
          <w:rFonts w:ascii="Times New Roman" w:eastAsia="宋体" w:hAnsi="Times New Roman" w:cs="Times New Roman" w:hint="eastAsia"/>
          <w:szCs w:val="21"/>
        </w:rPr>
        <w:t>EGFR-TKI</w:t>
      </w:r>
      <w:r w:rsidR="00C81833" w:rsidRPr="00C81833">
        <w:rPr>
          <w:rFonts w:ascii="Times New Roman" w:eastAsia="宋体" w:hAnsi="Times New Roman" w:cs="Times New Roman" w:hint="eastAsia"/>
          <w:szCs w:val="21"/>
        </w:rPr>
        <w:t>通过抑制</w:t>
      </w:r>
      <w:r w:rsidR="00C81833" w:rsidRPr="00C81833">
        <w:rPr>
          <w:rFonts w:ascii="Times New Roman" w:eastAsia="宋体" w:hAnsi="Times New Roman" w:cs="Times New Roman" w:hint="eastAsia"/>
          <w:szCs w:val="21"/>
        </w:rPr>
        <w:t>EGFR</w:t>
      </w:r>
      <w:r w:rsidR="00C81833" w:rsidRPr="00C81833">
        <w:rPr>
          <w:rFonts w:ascii="Times New Roman" w:eastAsia="宋体" w:hAnsi="Times New Roman" w:cs="Times New Roman" w:hint="eastAsia"/>
          <w:szCs w:val="21"/>
        </w:rPr>
        <w:t>酪氨酸激酶活性及其下游增殖、存活信号，显著改善了</w:t>
      </w:r>
      <w:r w:rsidR="00C81833" w:rsidRPr="008D12C3">
        <w:rPr>
          <w:rFonts w:ascii="Times New Roman" w:eastAsia="宋体" w:hAnsi="Times New Roman" w:cs="Times New Roman" w:hint="eastAsia"/>
          <w:i/>
          <w:iCs/>
          <w:szCs w:val="21"/>
        </w:rPr>
        <w:t>EGFR</w:t>
      </w:r>
      <w:r w:rsidR="00C81833" w:rsidRPr="00C81833">
        <w:rPr>
          <w:rFonts w:ascii="Times New Roman" w:eastAsia="宋体" w:hAnsi="Times New Roman" w:cs="Times New Roman" w:hint="eastAsia"/>
          <w:szCs w:val="21"/>
        </w:rPr>
        <w:t>突变型晚期</w:t>
      </w:r>
      <w:r w:rsidR="00C81833" w:rsidRPr="00C81833">
        <w:rPr>
          <w:rFonts w:ascii="Times New Roman" w:eastAsia="宋体" w:hAnsi="Times New Roman" w:cs="Times New Roman" w:hint="eastAsia"/>
          <w:szCs w:val="21"/>
        </w:rPr>
        <w:t>NSCLC</w:t>
      </w:r>
      <w:r w:rsidR="00C81833" w:rsidRPr="00C81833">
        <w:rPr>
          <w:rFonts w:ascii="Times New Roman" w:eastAsia="宋体" w:hAnsi="Times New Roman" w:cs="Times New Roman" w:hint="eastAsia"/>
          <w:szCs w:val="21"/>
        </w:rPr>
        <w:t>患者的疾病控制和生存获益</w:t>
      </w:r>
      <w:r w:rsidR="00B7500F" w:rsidRPr="00C82584">
        <w:rPr>
          <w:rFonts w:ascii="Times New Roman" w:eastAsia="宋体" w:hAnsi="Times New Roman" w:cs="Times New Roman"/>
          <w:szCs w:val="21"/>
        </w:rPr>
        <w:fldChar w:fldCharType="begin"/>
      </w:r>
      <w:r>
        <w:rPr>
          <w:rFonts w:ascii="Times New Roman" w:eastAsia="宋体" w:hAnsi="Times New Roman" w:cs="Times New Roman"/>
          <w:szCs w:val="21"/>
        </w:rPr>
        <w:instrText xml:space="preserve"> ADDIN ZOTERO_ITEM CSL_CITATION {"citationID":"N0JrcsYa","properties":{"formattedCitation":"\\super [3]\\nosupersub{}","plainCitation":"[3]","noteIndex":0},"citationItems":[{"id":698,"uris":["http://zotero.org/users/14719789/items/AU6A4JXF"],"itemData":{"id":698,"type":"article-journal","abstract":"Epidermal growth factor receptor (EGFR) actively involves in modulation of various cancer progression related mechanisms including angiogenesis, differentiation and migration. Therefore, targeting EGFR has surfaced as a prominent approach for the treatment of several types of cancers, including non-small cell lung cancer (NSCLC), pancreatic cancer, glioblastoma. Various first, second and third generation of EGFR tyrosine kinase inhibitors (EGFR-TKIs) have demonstrated effectiveness as an anti-cancer therapeutics. However, rapid development of drug resistance and mutations still remains a major challenge for the EGFR-TKIs therapy. Overcoming from intrinsic and acquired resistance caused by EGFR mutations warrants the further exploration of alternative strategies and discovery of novel inhibitors. In this review, we delve into the breakthrough discoveries have been made in previous 20 years, and discuss the currently ongoing efforts aimed to circumvent the chemo-resistance. We also highlight the new challenges, limitations and future directions for the development of improved therapeutic approaches such as fourth-generation EGFR-TKIs, peptides, nanobodies, PROTACs etc.","container-title":"Biochimica et Biophysica Acta (BBA) - Reviews on Cancer","DOI":"10.1016/j.bbcan.2023.188967","ISSN":"0304-419X","issue":"6","journalAbbreviation":"Biochimica et Biophysica Acta (BBA) - Reviews on Cancer","note":"TLDR: The breakthrough discoveries have been made in previous 20 years, and the currently ongoing efforts aimed to circumvent the chemo-resistance are discussed, as well as the new challenges, limitations and future directions for the development of improved therapeutic approaches.","page":"188967","source":"ScienceDirect","title":"20 years since the approval of first EGFR-TKI, gefitinib: Insight and foresight","title-short":"20 years since the approval of first EGFR-TKI, gefitinib","volume":"1878","author":[{"family":"Singh","given":"Satyam"},{"family":"Sadhukhan","given":"Sushabhan"},{"family":"Sonawane","given":"Avinash"}],"issued":{"date-parts":[["2023",11,1]]}}}],"schema":"https://github.com/citation-style-language/schema/raw/master/csl-citation.json"} </w:instrText>
      </w:r>
      <w:r w:rsidR="00B7500F" w:rsidRPr="00C82584">
        <w:rPr>
          <w:rFonts w:ascii="Times New Roman" w:eastAsia="宋体" w:hAnsi="Times New Roman" w:cs="Times New Roman"/>
          <w:szCs w:val="21"/>
        </w:rPr>
        <w:fldChar w:fldCharType="separate"/>
      </w:r>
      <w:r w:rsidR="00A23D31" w:rsidRPr="00A23D31">
        <w:rPr>
          <w:rFonts w:ascii="Times New Roman" w:hAnsi="Times New Roman" w:cs="Times New Roman"/>
          <w:kern w:val="0"/>
          <w:vertAlign w:val="superscript"/>
        </w:rPr>
        <w:t>[3]</w:t>
      </w:r>
      <w:r w:rsidR="00B7500F" w:rsidRPr="00C82584">
        <w:rPr>
          <w:rFonts w:ascii="Times New Roman" w:eastAsia="宋体" w:hAnsi="Times New Roman" w:cs="Times New Roman"/>
          <w:szCs w:val="21"/>
        </w:rPr>
        <w:fldChar w:fldCharType="end"/>
      </w:r>
      <w:r w:rsidR="00DE2B68" w:rsidRPr="00C82584">
        <w:rPr>
          <w:rFonts w:ascii="Times New Roman" w:eastAsia="宋体" w:hAnsi="Times New Roman" w:cs="Times New Roman"/>
          <w:szCs w:val="21"/>
        </w:rPr>
        <w:t>。</w:t>
      </w:r>
      <w:r w:rsidR="00C81833" w:rsidRPr="00C81833">
        <w:rPr>
          <w:rFonts w:ascii="Times New Roman" w:eastAsia="宋体" w:hAnsi="Times New Roman" w:cs="Times New Roman" w:hint="eastAsia"/>
          <w:szCs w:val="21"/>
        </w:rPr>
        <w:t>随着第三代</w:t>
      </w:r>
      <w:r w:rsidR="00C81833" w:rsidRPr="00C81833">
        <w:rPr>
          <w:rFonts w:ascii="Times New Roman" w:eastAsia="宋体" w:hAnsi="Times New Roman" w:cs="Times New Roman" w:hint="eastAsia"/>
          <w:szCs w:val="21"/>
        </w:rPr>
        <w:t>EGFR-TKI</w:t>
      </w:r>
      <w:r w:rsidR="00C81833" w:rsidRPr="00C81833">
        <w:rPr>
          <w:rFonts w:ascii="Times New Roman" w:eastAsia="宋体" w:hAnsi="Times New Roman" w:cs="Times New Roman" w:hint="eastAsia"/>
          <w:szCs w:val="21"/>
        </w:rPr>
        <w:t>在一线及后线治疗中的广泛应用，</w:t>
      </w:r>
      <w:r w:rsidR="001D3715" w:rsidRPr="001D3715">
        <w:rPr>
          <w:rFonts w:ascii="Times New Roman" w:eastAsia="宋体" w:hAnsi="Times New Roman" w:cs="Times New Roman" w:hint="eastAsia"/>
          <w:szCs w:val="21"/>
        </w:rPr>
        <w:t>临床关注点已由初始缓解转向进展后如何识别主导耐药机制、选择后续治疗并开展动态监测。</w:t>
      </w:r>
    </w:p>
    <w:p w14:paraId="58DB1F48" w14:textId="5243D0BC" w:rsidR="0052600E" w:rsidRDefault="007A4271" w:rsidP="005C1193">
      <w:pPr>
        <w:spacing w:line="360" w:lineRule="auto"/>
        <w:ind w:firstLineChars="200" w:firstLine="420"/>
        <w:jc w:val="left"/>
        <w:rPr>
          <w:rFonts w:ascii="宋体" w:eastAsia="宋体" w:hAnsi="宋体" w:hint="eastAsia"/>
          <w:szCs w:val="21"/>
        </w:rPr>
      </w:pPr>
      <w:r w:rsidRPr="007A4271">
        <w:rPr>
          <w:rFonts w:ascii="Times New Roman" w:eastAsia="宋体" w:hAnsi="Times New Roman" w:cs="Times New Roman" w:hint="eastAsia"/>
          <w:szCs w:val="21"/>
        </w:rPr>
        <w:t>不同代际</w:t>
      </w:r>
      <w:r w:rsidRPr="007A4271">
        <w:rPr>
          <w:rFonts w:ascii="Times New Roman" w:eastAsia="宋体" w:hAnsi="Times New Roman" w:cs="Times New Roman" w:hint="eastAsia"/>
          <w:szCs w:val="21"/>
        </w:rPr>
        <w:t>EGFR-TKI</w:t>
      </w:r>
      <w:r w:rsidRPr="007A4271">
        <w:rPr>
          <w:rFonts w:ascii="Times New Roman" w:eastAsia="宋体" w:hAnsi="Times New Roman" w:cs="Times New Roman" w:hint="eastAsia"/>
          <w:szCs w:val="21"/>
        </w:rPr>
        <w:t>形成的耐药谱并不相同。一代、二代药物治疗后，</w:t>
      </w:r>
      <w:r w:rsidRPr="008D12C3">
        <w:rPr>
          <w:rFonts w:ascii="Times New Roman" w:eastAsia="宋体" w:hAnsi="Times New Roman" w:cs="Times New Roman" w:hint="eastAsia"/>
          <w:i/>
          <w:iCs/>
          <w:szCs w:val="21"/>
        </w:rPr>
        <w:t>EGFR T790M</w:t>
      </w:r>
      <w:r w:rsidRPr="007A4271">
        <w:rPr>
          <w:rFonts w:ascii="Times New Roman" w:eastAsia="宋体" w:hAnsi="Times New Roman" w:cs="Times New Roman" w:hint="eastAsia"/>
          <w:szCs w:val="21"/>
        </w:rPr>
        <w:t>突变曾是最具代表性的获得性耐药机制；三代</w:t>
      </w:r>
      <w:r w:rsidRPr="007A4271">
        <w:rPr>
          <w:rFonts w:ascii="Times New Roman" w:eastAsia="宋体" w:hAnsi="Times New Roman" w:cs="Times New Roman" w:hint="eastAsia"/>
          <w:szCs w:val="21"/>
        </w:rPr>
        <w:t>EGFR-TKI</w:t>
      </w:r>
      <w:r w:rsidRPr="007A4271">
        <w:rPr>
          <w:rFonts w:ascii="Times New Roman" w:eastAsia="宋体" w:hAnsi="Times New Roman" w:cs="Times New Roman" w:hint="eastAsia"/>
          <w:szCs w:val="21"/>
        </w:rPr>
        <w:t>尤其是奥希替尼一线应用后，</w:t>
      </w:r>
      <w:r w:rsidR="00524E96" w:rsidRPr="00524E96">
        <w:rPr>
          <w:rFonts w:ascii="Times New Roman" w:eastAsia="宋体" w:hAnsi="Times New Roman" w:cs="Times New Roman" w:hint="eastAsia"/>
          <w:szCs w:val="21"/>
        </w:rPr>
        <w:t>间质</w:t>
      </w:r>
      <w:r w:rsidR="00524E96" w:rsidRPr="00524E96">
        <w:rPr>
          <w:rFonts w:ascii="Times New Roman" w:eastAsia="宋体" w:hAnsi="Times New Roman" w:cs="Times New Roman" w:hint="eastAsia"/>
          <w:szCs w:val="21"/>
        </w:rPr>
        <w:t>-</w:t>
      </w:r>
      <w:r w:rsidR="00524E96" w:rsidRPr="00524E96">
        <w:rPr>
          <w:rFonts w:ascii="Times New Roman" w:eastAsia="宋体" w:hAnsi="Times New Roman" w:cs="Times New Roman" w:hint="eastAsia"/>
          <w:szCs w:val="21"/>
        </w:rPr>
        <w:t>上皮转化因子（</w:t>
      </w:r>
      <w:r w:rsidR="00524E96" w:rsidRPr="00524E96">
        <w:rPr>
          <w:rFonts w:ascii="Times New Roman" w:eastAsia="宋体" w:hAnsi="Times New Roman" w:cs="Times New Roman" w:hint="eastAsia"/>
          <w:szCs w:val="21"/>
        </w:rPr>
        <w:t>mesenchymal-epithelial transition factor</w:t>
      </w:r>
      <w:r w:rsidR="00524E96" w:rsidRPr="00524E96">
        <w:rPr>
          <w:rFonts w:ascii="Times New Roman" w:eastAsia="宋体" w:hAnsi="Times New Roman" w:cs="Times New Roman" w:hint="eastAsia"/>
          <w:szCs w:val="21"/>
        </w:rPr>
        <w:t>，</w:t>
      </w:r>
      <w:r w:rsidR="00524E96" w:rsidRPr="00E203CA">
        <w:rPr>
          <w:rFonts w:ascii="Times New Roman" w:eastAsia="宋体" w:hAnsi="Times New Roman" w:cs="Times New Roman" w:hint="eastAsia"/>
          <w:i/>
          <w:iCs/>
          <w:szCs w:val="21"/>
        </w:rPr>
        <w:t>MET</w:t>
      </w:r>
      <w:r w:rsidR="00524E96" w:rsidRPr="00524E96">
        <w:rPr>
          <w:rFonts w:ascii="Times New Roman" w:eastAsia="宋体" w:hAnsi="Times New Roman" w:cs="Times New Roman" w:hint="eastAsia"/>
          <w:szCs w:val="21"/>
        </w:rPr>
        <w:t>）</w:t>
      </w:r>
      <w:r w:rsidRPr="007A4271">
        <w:rPr>
          <w:rFonts w:ascii="Times New Roman" w:eastAsia="宋体" w:hAnsi="Times New Roman" w:cs="Times New Roman" w:hint="eastAsia"/>
          <w:szCs w:val="21"/>
        </w:rPr>
        <w:t>扩增、</w:t>
      </w:r>
      <w:r w:rsidRPr="008D12C3">
        <w:rPr>
          <w:rFonts w:ascii="Times New Roman" w:eastAsia="宋体" w:hAnsi="Times New Roman" w:cs="Times New Roman" w:hint="eastAsia"/>
          <w:i/>
          <w:iCs/>
          <w:szCs w:val="21"/>
        </w:rPr>
        <w:t>EGFR C797S</w:t>
      </w:r>
      <w:r w:rsidRPr="007A4271">
        <w:rPr>
          <w:rFonts w:ascii="Times New Roman" w:eastAsia="宋体" w:hAnsi="Times New Roman" w:cs="Times New Roman" w:hint="eastAsia"/>
          <w:szCs w:val="21"/>
        </w:rPr>
        <w:t>突变、</w:t>
      </w:r>
      <w:r w:rsidR="00524E96" w:rsidRPr="00524E96">
        <w:rPr>
          <w:rFonts w:ascii="Times New Roman" w:eastAsia="宋体" w:hAnsi="Times New Roman" w:cs="Times New Roman" w:hint="eastAsia"/>
          <w:szCs w:val="21"/>
        </w:rPr>
        <w:t>人表皮生长因子受体</w:t>
      </w:r>
      <w:r w:rsidR="00524E96" w:rsidRPr="00524E96">
        <w:rPr>
          <w:rFonts w:ascii="Times New Roman" w:eastAsia="宋体" w:hAnsi="Times New Roman" w:cs="Times New Roman" w:hint="eastAsia"/>
          <w:szCs w:val="21"/>
        </w:rPr>
        <w:t>2</w:t>
      </w:r>
      <w:r w:rsidR="00524E96" w:rsidRPr="00524E96">
        <w:rPr>
          <w:rFonts w:ascii="Times New Roman" w:eastAsia="宋体" w:hAnsi="Times New Roman" w:cs="Times New Roman" w:hint="eastAsia"/>
          <w:szCs w:val="21"/>
        </w:rPr>
        <w:t>（</w:t>
      </w:r>
      <w:r w:rsidR="00524E96" w:rsidRPr="00524E96">
        <w:rPr>
          <w:rFonts w:ascii="Times New Roman" w:eastAsia="宋体" w:hAnsi="Times New Roman" w:cs="Times New Roman" w:hint="eastAsia"/>
          <w:szCs w:val="21"/>
        </w:rPr>
        <w:t>human epidermal growth factor receptor 2</w:t>
      </w:r>
      <w:r w:rsidR="00524E96" w:rsidRPr="00524E96">
        <w:rPr>
          <w:rFonts w:ascii="Times New Roman" w:eastAsia="宋体" w:hAnsi="Times New Roman" w:cs="Times New Roman" w:hint="eastAsia"/>
          <w:szCs w:val="21"/>
        </w:rPr>
        <w:t>，</w:t>
      </w:r>
      <w:r w:rsidR="00524E96" w:rsidRPr="00E203CA">
        <w:rPr>
          <w:rFonts w:ascii="Times New Roman" w:eastAsia="宋体" w:hAnsi="Times New Roman" w:cs="Times New Roman" w:hint="eastAsia"/>
          <w:i/>
          <w:iCs/>
          <w:szCs w:val="21"/>
        </w:rPr>
        <w:t>HER2</w:t>
      </w:r>
      <w:r w:rsidR="00524E96" w:rsidRPr="00524E96">
        <w:rPr>
          <w:rFonts w:ascii="Times New Roman" w:eastAsia="宋体" w:hAnsi="Times New Roman" w:cs="Times New Roman" w:hint="eastAsia"/>
          <w:szCs w:val="21"/>
        </w:rPr>
        <w:t>）</w:t>
      </w:r>
      <w:r w:rsidRPr="007A4271">
        <w:rPr>
          <w:rFonts w:ascii="Times New Roman" w:eastAsia="宋体" w:hAnsi="Times New Roman" w:cs="Times New Roman" w:hint="eastAsia"/>
          <w:szCs w:val="21"/>
        </w:rPr>
        <w:t>扩增、融合基因获得及组织学转化等机制的重要性相对增加</w:t>
      </w:r>
      <w:r w:rsidR="006D152F" w:rsidRPr="00C82584">
        <w:rPr>
          <w:rFonts w:ascii="Times New Roman" w:eastAsia="宋体" w:hAnsi="Times New Roman" w:cs="Times New Roman"/>
          <w:szCs w:val="21"/>
        </w:rPr>
        <w:fldChar w:fldCharType="begin"/>
      </w:r>
      <w:r w:rsidR="0082768B">
        <w:rPr>
          <w:rFonts w:ascii="Times New Roman" w:eastAsia="宋体" w:hAnsi="Times New Roman" w:cs="Times New Roman"/>
          <w:szCs w:val="21"/>
        </w:rPr>
        <w:instrText xml:space="preserve"> ADDIN ZOTERO_ITEM CSL_CITATION {"citationID":"40LSKczD","properties":{"formattedCitation":"\\super [4]\\nosupersub{}","plainCitation":"[4]","noteIndex":0},"citationItems":[{"id":700,"uris":["http://zotero.org/users/14719789/items/9C9ECT38"],"itemData":{"id":700,"type":"article-journal","abstract":"Epidermal growth factor receptor (EGFR) is a receptor tyrosine kinase widely expressed in many cancers such as non-small cell lung cancer (NSCLC), pancreatic cancer, breast cancer, and head and neck cancer. Mutations such as L858R in exon 21, exon 19 truncation (Del19), exon 20 insertions, and others are responsible for aberrant activation of EGFR in NSCLC. First-generation EGFR tyrosine kinase inhibitors (TKIs) such as gefitinib and erlotinib have clinical benefits for EGFR-sensitive (L858R and Del19) NSCLC patients. However, after 10-12 months of treatment with these inhibitors, a secondary T790M mutation at the gatekeeper position in the kinase domain of EGFR was identified, which limited the clinical benefits. Second-generation EGFR irreversible inhibitors (afatinib and dacomitinib) were developed to overcome this T790M mutation. However, their lack of selectivity toward wild-type EGFR compromised their clinical benefits due to serious adverse events. Recently developed third-generation irreversible EGFR TKIs (osimertinib and lazertinib) are selective toward driving mutations and the T790M mutation, while sparing wildtype EGFR activity. The latest studies have concluded that their efficacy was also compromised by additional acquired mutations, including C797S, the key residue cysteine that forms covalent bonds with irreversible inhibitors. Because second- and thirdgeneration EGFR TKIs are irreversible inhibitors, they are not effective against C797S containing EGFR triple mutations (Del19/T790M/C797S and L858R/T790M/C797S). Therefore, there is an urgent unmet medical need to develop next-generation EGFR TKIs that selectively inhibit EGFR triple mutations via a non-irreversible mechanism.","container-title":"Biomolecules &amp; Therapeutics","DOI":"10.4062/biomolther.2021.047","ISSN":"1976-9148","issue":"1","journalAbbreviation":"Biomol Ther (Seoul)","language":"eng","note":"TLDR: There is an urgent unmet medical need to develop next-generation EGFR TKIs that selectively inhibit EGFR triple mutations via a non-irreversible mechanism.","page":"19-27","PMID":"34074804","PMCID":"PMC8724843","source":"PubMed","title":"Chronicles of EGFR Tyrosine Kinase Inhibitors: Targeting EGFR C797S Containing Triple Mutations","title-short":"Chronicles of EGFR Tyrosine Kinase Inhibitors","volume":"30","author":[{"family":"Duggirala","given":"Krishna Babu"},{"family":"Lee","given":"Yujin"},{"family":"Lee","given":"Kwangho"}],"issued":{"date-parts":[["2022",1,1]]}}}],"schema":"https://github.com/citation-style-language/schema/raw/master/csl-citation.json"} </w:instrText>
      </w:r>
      <w:r w:rsidR="006D152F" w:rsidRPr="00C82584">
        <w:rPr>
          <w:rFonts w:ascii="Times New Roman" w:eastAsia="宋体" w:hAnsi="Times New Roman" w:cs="Times New Roman"/>
          <w:szCs w:val="21"/>
        </w:rPr>
        <w:fldChar w:fldCharType="separate"/>
      </w:r>
      <w:r w:rsidR="00A23D31" w:rsidRPr="00A23D31">
        <w:rPr>
          <w:rFonts w:ascii="Times New Roman" w:hAnsi="Times New Roman" w:cs="Times New Roman"/>
          <w:kern w:val="0"/>
          <w:vertAlign w:val="superscript"/>
        </w:rPr>
        <w:t>[4]</w:t>
      </w:r>
      <w:r w:rsidR="006D152F" w:rsidRPr="00C82584">
        <w:rPr>
          <w:rFonts w:ascii="Times New Roman" w:eastAsia="宋体" w:hAnsi="Times New Roman" w:cs="Times New Roman"/>
          <w:szCs w:val="21"/>
        </w:rPr>
        <w:fldChar w:fldCharType="end"/>
      </w:r>
      <w:r w:rsidR="002375BA" w:rsidRPr="00C82584">
        <w:rPr>
          <w:rFonts w:ascii="Times New Roman" w:eastAsia="宋体" w:hAnsi="Times New Roman" w:cs="Times New Roman"/>
          <w:szCs w:val="21"/>
        </w:rPr>
        <w:t>。</w:t>
      </w:r>
      <w:r w:rsidR="000172E5" w:rsidRPr="000172E5">
        <w:rPr>
          <w:rFonts w:ascii="Times New Roman" w:eastAsia="宋体" w:hAnsi="Times New Roman" w:cs="Times New Roman"/>
          <w:szCs w:val="21"/>
        </w:rPr>
        <w:t>因此，</w:t>
      </w:r>
      <w:r w:rsidR="000172E5" w:rsidRPr="000172E5">
        <w:rPr>
          <w:rFonts w:ascii="Times New Roman" w:eastAsia="宋体" w:hAnsi="Times New Roman" w:cs="Times New Roman"/>
          <w:szCs w:val="21"/>
        </w:rPr>
        <w:t>EGFR-TKI</w:t>
      </w:r>
      <w:r w:rsidR="000172E5" w:rsidRPr="000172E5">
        <w:rPr>
          <w:rFonts w:ascii="Times New Roman" w:eastAsia="宋体" w:hAnsi="Times New Roman" w:cs="Times New Roman"/>
          <w:szCs w:val="21"/>
        </w:rPr>
        <w:t>获得性耐药研究还需结合既往治疗顺序、疾病进展模式及检测方式，进一步分析耐药机制的动态演变、时空异质性及其对后续治疗决策的影响。</w:t>
      </w:r>
    </w:p>
    <w:p w14:paraId="062CA44F" w14:textId="2DC4BA9D" w:rsidR="00E00550" w:rsidRPr="007715E1" w:rsidRDefault="006641DC" w:rsidP="007715E1">
      <w:pPr>
        <w:spacing w:line="360" w:lineRule="auto"/>
        <w:jc w:val="left"/>
        <w:rPr>
          <w:rFonts w:ascii="Times New Roman" w:eastAsia="宋体" w:hAnsi="Times New Roman" w:cs="Times New Roman"/>
          <w:szCs w:val="21"/>
        </w:rPr>
      </w:pPr>
      <w:r>
        <w:rPr>
          <w:rFonts w:ascii="宋体" w:eastAsia="宋体" w:hAnsi="宋体" w:hint="eastAsia"/>
          <w:szCs w:val="21"/>
        </w:rPr>
        <w:t>1.</w:t>
      </w:r>
      <w:r w:rsidR="00E00550" w:rsidRPr="007715E1">
        <w:rPr>
          <w:rFonts w:ascii="Times New Roman" w:eastAsia="宋体" w:hAnsi="Times New Roman" w:cs="Times New Roman"/>
          <w:szCs w:val="21"/>
        </w:rPr>
        <w:t>EGFR-TKI</w:t>
      </w:r>
      <w:r w:rsidR="004C16D1" w:rsidRPr="007715E1">
        <w:rPr>
          <w:rFonts w:ascii="Times New Roman" w:eastAsia="宋体" w:hAnsi="Times New Roman" w:cs="Times New Roman" w:hint="eastAsia"/>
          <w:szCs w:val="21"/>
        </w:rPr>
        <w:t>获得性耐药概述</w:t>
      </w:r>
    </w:p>
    <w:p w14:paraId="7F6911C9" w14:textId="65A705A3" w:rsidR="00C40830" w:rsidRDefault="004D0BB5" w:rsidP="00C40830">
      <w:pPr>
        <w:spacing w:line="360" w:lineRule="auto"/>
        <w:ind w:firstLineChars="200" w:firstLine="420"/>
        <w:jc w:val="left"/>
        <w:rPr>
          <w:rFonts w:ascii="Times New Roman" w:eastAsia="宋体" w:hAnsi="Times New Roman" w:cs="Times New Roman"/>
          <w:kern w:val="0"/>
          <w:szCs w:val="21"/>
        </w:rPr>
      </w:pPr>
      <w:r w:rsidRPr="004D0BB5">
        <w:rPr>
          <w:rFonts w:ascii="Times New Roman" w:eastAsia="宋体" w:hAnsi="Times New Roman" w:cs="Times New Roman" w:hint="eastAsia"/>
          <w:szCs w:val="21"/>
        </w:rPr>
        <w:t>EGFR-TKI</w:t>
      </w:r>
      <w:r w:rsidRPr="004D0BB5">
        <w:rPr>
          <w:rFonts w:ascii="Times New Roman" w:eastAsia="宋体" w:hAnsi="Times New Roman" w:cs="Times New Roman" w:hint="eastAsia"/>
          <w:szCs w:val="21"/>
        </w:rPr>
        <w:t>获得性耐药是指患者接受</w:t>
      </w:r>
      <w:r w:rsidRPr="004D0BB5">
        <w:rPr>
          <w:rFonts w:ascii="Times New Roman" w:eastAsia="宋体" w:hAnsi="Times New Roman" w:cs="Times New Roman" w:hint="eastAsia"/>
          <w:szCs w:val="21"/>
        </w:rPr>
        <w:t>EGFR-TKI</w:t>
      </w:r>
      <w:r w:rsidRPr="004D0BB5">
        <w:rPr>
          <w:rFonts w:ascii="Times New Roman" w:eastAsia="宋体" w:hAnsi="Times New Roman" w:cs="Times New Roman" w:hint="eastAsia"/>
          <w:szCs w:val="21"/>
        </w:rPr>
        <w:t>治疗后获得明确的初始临床获益，随后在持续治疗过程中发生疾病进展</w:t>
      </w:r>
      <w:r w:rsidR="003E3A85" w:rsidRPr="00B6427E">
        <w:rPr>
          <w:rFonts w:ascii="Times New Roman" w:eastAsia="宋体" w:hAnsi="Times New Roman" w:cs="Times New Roman"/>
          <w:szCs w:val="21"/>
        </w:rPr>
        <w:fldChar w:fldCharType="begin"/>
      </w:r>
      <w:r w:rsidR="00B6427E" w:rsidRPr="00B6427E">
        <w:rPr>
          <w:rFonts w:ascii="Times New Roman" w:eastAsia="宋体" w:hAnsi="Times New Roman" w:cs="Times New Roman"/>
          <w:szCs w:val="21"/>
        </w:rPr>
        <w:instrText xml:space="preserve"> ADDIN ZOTERO_ITEM CSL_CITATION {"citationID":"bCrVivjO","properties":{"formattedCitation":"\\super [5]\\nosupersub{}","plainCitation":"[5]","noteIndex":0},"citationItems":[{"id":706,"uris":["http://zotero.org/users/14719789/items/34NHZYA5"],"itemData":{"id":706,"type":"article-journal","abstract":"Osimertinib is an irreversible, third-generation epidermal growth factor receptor (EGFR) tyrosine kinase inhibitor that is highly selective for EGFR-activating mutations as well as the EGFR T790M mutation in patients with advanced non-small cell lung cancer (NSCLC) with EGFR oncogene addiction. Despite the documented efficacy of osimertinib in first- and second-line settings, patients inevitably develop resistance, with no further clear-cut therapeutic options to date other than chemotherapy and locally ablative therapy for selected individuals. On account of the high degree of tumour heterogeneity and adaptive cellular signalling pathways in NSCLC, the acquired osimertinib resistance is highly heterogeneous, encompassing EGFR-dependent as well as EGFR-independent mechanisms. Furthermore, data from repeat plasma genotyping analyses have highlighted differences in the frequency and preponderance of resistance mechanisms when osimertinib is administered in a front-line versus second-line setting, underlying the discrepancies in selection pressure and clonal evolution. This review summarises the molecular mechanisms of resistance to osimertinib in patients with advanced EGFR-mutated NSCLC, including MET/HER2 amplification, activation of the RAS–mitogen-activated protein kinase (MAPK) or RAS–phosphatidylinositol 3-kinase (PI3K) pathways, novel fusion events and histological/phenotypic transformation, as well as discussing the current evidence regarding potential new approaches to counteract osimertinib resistance.","container-title":"British Journal of Cancer","DOI":"10.1038/s41416-019-0573-8","ISSN":"1532-1827","issue":"9","journalAbbreviation":"Br J Cancer","language":"en","license":"2019 The Author(s), under exclusive licence to Cancer Research UK","page":"725-737","publisher":"Nature Publishing Group","source":"www.nature.com","title":"Resistance mechanisms to osimertinib in EGFR-mutated non-small cell lung cancer","volume":"121","author":[{"family":"Leonetti","given":"Alessandro"},{"family":"Sharma","given":"Sugandhi"},{"family":"Minari","given":"Roberta"},{"family":"Perego","given":"Paola"},{"family":"Giovannetti","given":"Elisa"},{"family":"Tiseo","given":"Marcello"}],"issued":{"date-parts":[["2019",10]]}}}],"schema":"https://github.com/citation-style-language/schema/raw/master/csl-citation.json"} </w:instrText>
      </w:r>
      <w:r w:rsidR="003E3A85" w:rsidRPr="00B6427E">
        <w:rPr>
          <w:rFonts w:ascii="Times New Roman" w:eastAsia="宋体" w:hAnsi="Times New Roman" w:cs="Times New Roman"/>
          <w:szCs w:val="21"/>
        </w:rPr>
        <w:fldChar w:fldCharType="separate"/>
      </w:r>
      <w:r w:rsidR="00A23D31" w:rsidRPr="00A23D31">
        <w:rPr>
          <w:rFonts w:ascii="Times New Roman" w:hAnsi="Times New Roman" w:cs="Times New Roman"/>
          <w:kern w:val="0"/>
          <w:vertAlign w:val="superscript"/>
        </w:rPr>
        <w:t>[5]</w:t>
      </w:r>
      <w:r w:rsidR="003E3A85" w:rsidRPr="00B6427E">
        <w:rPr>
          <w:rFonts w:ascii="Times New Roman" w:eastAsia="宋体" w:hAnsi="Times New Roman" w:cs="Times New Roman"/>
          <w:szCs w:val="21"/>
        </w:rPr>
        <w:fldChar w:fldCharType="end"/>
      </w:r>
      <w:r w:rsidR="005C2BA7" w:rsidRPr="00B6427E">
        <w:rPr>
          <w:rFonts w:ascii="Times New Roman" w:eastAsia="宋体" w:hAnsi="Times New Roman" w:cs="Times New Roman"/>
          <w:szCs w:val="21"/>
        </w:rPr>
        <w:t>。</w:t>
      </w:r>
      <w:r w:rsidRPr="004D0BB5">
        <w:rPr>
          <w:rFonts w:ascii="Times New Roman" w:eastAsia="宋体" w:hAnsi="Times New Roman" w:cs="Times New Roman" w:hint="eastAsia"/>
          <w:szCs w:val="21"/>
        </w:rPr>
        <w:t>经典临床定义认为，初始临床获益包括依据实体瘤疗效评价标准获得完全缓解或部分缓解，或获得持续时间≥</w:t>
      </w:r>
      <w:r w:rsidRPr="004D0BB5">
        <w:rPr>
          <w:rFonts w:ascii="Times New Roman" w:eastAsia="宋体" w:hAnsi="Times New Roman" w:cs="Times New Roman" w:hint="eastAsia"/>
          <w:szCs w:val="21"/>
        </w:rPr>
        <w:t>6</w:t>
      </w:r>
      <w:r w:rsidRPr="004D0BB5">
        <w:rPr>
          <w:rFonts w:ascii="Times New Roman" w:eastAsia="宋体" w:hAnsi="Times New Roman" w:cs="Times New Roman" w:hint="eastAsia"/>
          <w:szCs w:val="21"/>
        </w:rPr>
        <w:t>个月的疾病稳定</w:t>
      </w:r>
      <w:r>
        <w:rPr>
          <w:rFonts w:ascii="Times New Roman" w:eastAsia="宋体" w:hAnsi="Times New Roman" w:cs="Times New Roman" w:hint="eastAsia"/>
          <w:szCs w:val="21"/>
        </w:rPr>
        <w:t>，</w:t>
      </w:r>
      <w:r w:rsidRPr="004D0BB5">
        <w:rPr>
          <w:rFonts w:ascii="Times New Roman" w:eastAsia="宋体" w:hAnsi="Times New Roman" w:cs="Times New Roman" w:hint="eastAsia"/>
          <w:szCs w:val="21"/>
        </w:rPr>
        <w:t>此后在持续</w:t>
      </w:r>
      <w:r w:rsidRPr="004D0BB5">
        <w:rPr>
          <w:rFonts w:ascii="Times New Roman" w:eastAsia="宋体" w:hAnsi="Times New Roman" w:cs="Times New Roman" w:hint="eastAsia"/>
          <w:szCs w:val="21"/>
        </w:rPr>
        <w:t>EGFR-TKI</w:t>
      </w:r>
      <w:r w:rsidRPr="004D0BB5">
        <w:rPr>
          <w:rFonts w:ascii="Times New Roman" w:eastAsia="宋体" w:hAnsi="Times New Roman" w:cs="Times New Roman" w:hint="eastAsia"/>
          <w:szCs w:val="21"/>
        </w:rPr>
        <w:t>治疗期间出现疾病进展，可考虑为获得性耐药</w:t>
      </w:r>
      <w:r w:rsidR="00B525CC">
        <w:rPr>
          <w:rFonts w:ascii="Times New Roman" w:eastAsia="宋体" w:hAnsi="Times New Roman" w:cs="Times New Roman"/>
          <w:szCs w:val="21"/>
        </w:rPr>
        <w:fldChar w:fldCharType="begin"/>
      </w:r>
      <w:r w:rsidR="00B525CC">
        <w:rPr>
          <w:rFonts w:ascii="Times New Roman" w:eastAsia="宋体" w:hAnsi="Times New Roman" w:cs="Times New Roman"/>
          <w:szCs w:val="21"/>
        </w:rPr>
        <w:instrText xml:space="preserve"> ADDIN ZOTERO_ITEM CSL_CITATION {"citationID":"IP8GQYha","properties":{"unsorted":false,"formattedCitation":"\\super [6]\\nosupersub{}","plainCitation":"[6]","noteIndex":0},"citationItems":[{"id":904,"uris":["http://zotero.org/users/14719789/items/3LIY63IM"],"itemData":{"id":904,"type":"article-journal","abstract":"Ten percent of North American patients with non-small-cell lung cancer have tumors with somatic mutations in the gene for the epidermal growth factor receptor (EGFR). Approximately 70% of patients whose lung cancers harbor somatic mutations in exons encoding the tyrosine kinase domain of EGFR experience significant tumor regressions when treated with the EGFR tyrosine kinase inhibitors (TKIs) gefitinib or erlotinib. However, the overwhelming majority of these patients inevitably acquire resistance to either drug. Currently, the clinical definition of such secondary or acquired resistance is not clear. We propose the following criteria be used to define more precisely acquired resistance to EGFR TKIs. All patients should have the following criteria: previous treatment with a single-agent EGFR TKI (eg, gefitinib or erlotinib); either or both of the following: a tumor that harbors an EGFR mutation known to be associated with drug sensitivity or objective clinical benefit from treatment with an EGFR TKI; systemic progression of disease (Response Evaluation Criteria in Solid Tumors [RECIST] or WHO) while on continuous treatment with gefitinib or erlotinib within the last 30 days; and no intervening systemic therapy between cessation of gefitinib or erlotinib and initiation of new therapy. The relatively simple definition proposed here will lead to a more uniform approach to investigating the problem of acquired resistance to EGFR TKIs in this unique patient population. These guidelines should minimize reporting of false-positive and false-negative activity in these clinical trials and would facilitate the identification of agents that truly overcome acquired resistance to gefitinib and erlotinib.","container-title":"Journal of Clinical Oncology: Official Journal of the American Society of Clinical Oncology","DOI":"10.1200/JCO.2009.24.7049","ISSN":"1527-7755","issue":"2","journalAbbreviation":"J Clin Oncol","language":"eng","page":"357-360","PMID":"19949011","PMCID":"PMC3870288","source":"PubMed","title":"Clinical definition of acquired resistance to epidermal growth factor receptor tyrosine kinase inhibitors in non-small-cell lung cancer","volume":"28","author":[{"family":"Jackman","given":"David"},{"family":"Pao","given":"William"},{"family":"Riely","given":"Gregory J."},{"family":"Engelman","given":"Jeffrey A."},{"family":"Kris","given":"Mark G."},{"family":"Jänne","given":"Pasi A."},{"family":"Lynch","given":"Thomas"},{"family":"Johnson","given":"Bruce E."},{"family":"Miller","given":"Vincent A."}],"issued":{"date-parts":[["2010",1,10]]}}}],"schema":"https://github.com/citation-style-language/schema/raw/master/csl-citation.json"} </w:instrText>
      </w:r>
      <w:r w:rsidR="00B525CC">
        <w:rPr>
          <w:rFonts w:ascii="Times New Roman" w:eastAsia="宋体" w:hAnsi="Times New Roman" w:cs="Times New Roman"/>
          <w:szCs w:val="21"/>
        </w:rPr>
        <w:fldChar w:fldCharType="separate"/>
      </w:r>
      <w:r w:rsidR="00B525CC" w:rsidRPr="00B525CC">
        <w:rPr>
          <w:rFonts w:ascii="Times New Roman" w:hAnsi="Times New Roman" w:cs="Times New Roman"/>
          <w:kern w:val="0"/>
          <w:vertAlign w:val="superscript"/>
        </w:rPr>
        <w:t>[6]</w:t>
      </w:r>
      <w:r w:rsidR="00B525CC">
        <w:rPr>
          <w:rFonts w:ascii="Times New Roman" w:eastAsia="宋体" w:hAnsi="Times New Roman" w:cs="Times New Roman"/>
          <w:szCs w:val="21"/>
        </w:rPr>
        <w:fldChar w:fldCharType="end"/>
      </w:r>
      <w:r>
        <w:rPr>
          <w:rFonts w:ascii="Times New Roman" w:eastAsia="宋体" w:hAnsi="Times New Roman" w:cs="Times New Roman" w:hint="eastAsia"/>
          <w:szCs w:val="21"/>
        </w:rPr>
        <w:t>。</w:t>
      </w:r>
      <w:r w:rsidR="00B6427E" w:rsidRPr="00B6427E">
        <w:rPr>
          <w:rFonts w:ascii="Times New Roman" w:eastAsia="宋体" w:hAnsi="Times New Roman" w:cs="Times New Roman"/>
          <w:szCs w:val="21"/>
        </w:rPr>
        <w:t>其分子机制可分为</w:t>
      </w:r>
      <w:r w:rsidR="00B6427E" w:rsidRPr="00B6427E">
        <w:rPr>
          <w:rFonts w:ascii="Times New Roman" w:eastAsia="宋体" w:hAnsi="Times New Roman" w:cs="Times New Roman"/>
          <w:szCs w:val="21"/>
        </w:rPr>
        <w:t>EGFR</w:t>
      </w:r>
      <w:r w:rsidR="00B6427E" w:rsidRPr="00B6427E">
        <w:rPr>
          <w:rFonts w:ascii="Times New Roman" w:eastAsia="宋体" w:hAnsi="Times New Roman" w:cs="Times New Roman"/>
          <w:szCs w:val="21"/>
        </w:rPr>
        <w:t>依赖型和</w:t>
      </w:r>
      <w:r w:rsidR="00B6427E" w:rsidRPr="00B6427E">
        <w:rPr>
          <w:rFonts w:ascii="Times New Roman" w:eastAsia="宋体" w:hAnsi="Times New Roman" w:cs="Times New Roman"/>
          <w:szCs w:val="21"/>
        </w:rPr>
        <w:t>EGFR</w:t>
      </w:r>
      <w:r w:rsidR="00B6427E" w:rsidRPr="00B6427E">
        <w:rPr>
          <w:rFonts w:ascii="Times New Roman" w:eastAsia="宋体" w:hAnsi="Times New Roman" w:cs="Times New Roman"/>
          <w:szCs w:val="21"/>
        </w:rPr>
        <w:t>非依赖型</w:t>
      </w:r>
      <w:r w:rsidR="00B6427E" w:rsidRPr="009863B9">
        <w:rPr>
          <w:rFonts w:ascii="Times New Roman" w:eastAsia="宋体" w:hAnsi="Times New Roman" w:cs="Times New Roman"/>
          <w:szCs w:val="21"/>
        </w:rPr>
        <w:t>两类</w:t>
      </w:r>
      <w:r w:rsidR="009863B9">
        <w:rPr>
          <w:rFonts w:ascii="Times New Roman" w:eastAsia="宋体" w:hAnsi="Times New Roman" w:cs="Times New Roman"/>
          <w:szCs w:val="21"/>
          <w:highlight w:val="yellow"/>
        </w:rPr>
        <w:fldChar w:fldCharType="begin"/>
      </w:r>
      <w:r w:rsidR="00B525CC">
        <w:rPr>
          <w:rFonts w:ascii="Times New Roman" w:eastAsia="宋体" w:hAnsi="Times New Roman" w:cs="Times New Roman"/>
          <w:szCs w:val="21"/>
          <w:highlight w:val="yellow"/>
        </w:rPr>
        <w:instrText xml:space="preserve"> ADDIN ZOTERO_ITEM CSL_CITATION {"citationID":"LVUdgL4e","properties":{"formattedCitation":"\\super [7]\\nosupersub{}","plainCitation":"[7]","noteIndex":0},"citationItems":[{"id":716,"uris":["http://zotero.org/users/14719789/items/ZV7W5RVD"],"itemData":{"id":716,"type":"article-journal","container-title":"Annals of Oncology","DOI":"10.1016/j.annonc.2022.02.003","ISSN":"0923-7534, 1569-8041","issue":"5","journalAbbreviation":"Annals of Oncology","language":"English","note":"TLDR: The European Society for Medical Oncology held a virtual consensus-building process on EGFR mutant non-small cell lung cancer (NSCLC) in 2021 and developed recommendations on topics that are not covered in detail in the current ESMO Clinical Practice Guideline.","page":"466-487","PMID":"35176458","publisher":"Elsevier","source":"www.annalsofoncology.org","title":"ESMO expert consensus statements on the management of EGFR mutant non-small-cell lung cancer","volume":"33","author":[{"family":"Passaro","given":"A."},{"family":"Leighl","given":"N."},{"family":"Blackhall","given":"F."},{"family":"Popat","given":"S."},{"family":"Kerr","given":"K."},{"family":"Ahn","given":"M. J."},{"family":"Arcila","given":"M. E."},{"family":"Arrieta","given":"O."},{"family":"Planchard","given":"D."},{"family":"Marinis","given":"F.","dropping-particle":"de"},{"family":"Dingemans","given":"A. M."},{"family":"Dziadziuszko","given":"R."},{"family":"Faivre-Finn","given":"C."},{"family":"Feldman","given":"J."},{"family":"Felip","given":"E."},{"family":"Curigliano","given":"G."},{"family":"Herbst","given":"R."},{"family":"Jänne","given":"P. A."},{"family":"John","given":"T."},{"family":"Mitsudomi","given":"T."},{"family":"Mok","given":"T."},{"family":"Normanno","given":"N."},{"family":"Paz-Ares","given":"L."},{"family":"Ramalingam","given":"S."},{"family":"Sequist","given":"L."},{"family":"Vansteenkiste","given":"J."},{"family":"Wistuba","given":"I. I."},{"family":"Wolf","given":"J."},{"family":"Wu","given":"Y. L."},{"family":"Yang","given":"S. R."},{"family":"Yang","given":"J. C. H."},{"family":"Yatabe","given":"Y."},{"family":"Pentheroudakis","given":"G."},{"family":"Peters","given":"S."}],"issued":{"date-parts":[["2022",5,1]]}}}],"schema":"https://github.com/citation-style-language/schema/raw/master/csl-citation.json"} </w:instrText>
      </w:r>
      <w:r w:rsidR="009863B9">
        <w:rPr>
          <w:rFonts w:ascii="Times New Roman" w:eastAsia="宋体" w:hAnsi="Times New Roman" w:cs="Times New Roman"/>
          <w:szCs w:val="21"/>
          <w:highlight w:val="yellow"/>
        </w:rPr>
        <w:fldChar w:fldCharType="separate"/>
      </w:r>
      <w:r w:rsidR="00B525CC" w:rsidRPr="00B525CC">
        <w:rPr>
          <w:rFonts w:ascii="Times New Roman" w:hAnsi="Times New Roman" w:cs="Times New Roman"/>
          <w:kern w:val="0"/>
          <w:vertAlign w:val="superscript"/>
        </w:rPr>
        <w:t>[7]</w:t>
      </w:r>
      <w:r w:rsidR="009863B9">
        <w:rPr>
          <w:rFonts w:ascii="Times New Roman" w:eastAsia="宋体" w:hAnsi="Times New Roman" w:cs="Times New Roman"/>
          <w:szCs w:val="21"/>
          <w:highlight w:val="yellow"/>
        </w:rPr>
        <w:fldChar w:fldCharType="end"/>
      </w:r>
      <w:r w:rsidR="00B6427E" w:rsidRPr="00B6427E">
        <w:rPr>
          <w:rFonts w:ascii="Times New Roman" w:eastAsia="宋体" w:hAnsi="Times New Roman" w:cs="Times New Roman"/>
          <w:szCs w:val="21"/>
        </w:rPr>
        <w:t>，</w:t>
      </w:r>
      <w:r w:rsidR="00C40830" w:rsidRPr="00C40830">
        <w:rPr>
          <w:rFonts w:ascii="Times New Roman" w:eastAsia="宋体" w:hAnsi="Times New Roman" w:cs="Times New Roman" w:hint="eastAsia"/>
          <w:szCs w:val="21"/>
        </w:rPr>
        <w:t>前者主要包括</w:t>
      </w:r>
      <w:r w:rsidR="00C40830" w:rsidRPr="00E203CA">
        <w:rPr>
          <w:rFonts w:ascii="Times New Roman" w:eastAsia="宋体" w:hAnsi="Times New Roman" w:cs="Times New Roman" w:hint="eastAsia"/>
          <w:szCs w:val="21"/>
        </w:rPr>
        <w:t>T790M</w:t>
      </w:r>
      <w:r w:rsidR="00C40830" w:rsidRPr="00E203CA">
        <w:rPr>
          <w:rFonts w:ascii="Times New Roman" w:eastAsia="宋体" w:hAnsi="Times New Roman" w:cs="Times New Roman" w:hint="eastAsia"/>
          <w:szCs w:val="21"/>
        </w:rPr>
        <w:t>、</w:t>
      </w:r>
      <w:r w:rsidR="00C40830" w:rsidRPr="00E203CA">
        <w:rPr>
          <w:rFonts w:ascii="Times New Roman" w:eastAsia="宋体" w:hAnsi="Times New Roman" w:cs="Times New Roman" w:hint="eastAsia"/>
          <w:szCs w:val="21"/>
        </w:rPr>
        <w:t>C797S</w:t>
      </w:r>
      <w:r w:rsidR="00C40830" w:rsidRPr="00C40830">
        <w:rPr>
          <w:rFonts w:ascii="Times New Roman" w:eastAsia="宋体" w:hAnsi="Times New Roman" w:cs="Times New Roman" w:hint="eastAsia"/>
          <w:szCs w:val="21"/>
        </w:rPr>
        <w:t>及其他</w:t>
      </w:r>
      <w:r w:rsidR="00C40830" w:rsidRPr="008D12C3">
        <w:rPr>
          <w:rFonts w:ascii="Times New Roman" w:eastAsia="宋体" w:hAnsi="Times New Roman" w:cs="Times New Roman" w:hint="eastAsia"/>
          <w:i/>
          <w:iCs/>
          <w:szCs w:val="21"/>
        </w:rPr>
        <w:t>EGFR</w:t>
      </w:r>
      <w:r w:rsidR="00C40830" w:rsidRPr="00C40830">
        <w:rPr>
          <w:rFonts w:ascii="Times New Roman" w:eastAsia="宋体" w:hAnsi="Times New Roman" w:cs="Times New Roman" w:hint="eastAsia"/>
          <w:szCs w:val="21"/>
        </w:rPr>
        <w:t>二次位点突变等靶内改变</w:t>
      </w:r>
      <w:r w:rsidR="00B6427E" w:rsidRPr="00B6427E">
        <w:rPr>
          <w:rFonts w:ascii="Times New Roman" w:eastAsia="宋体" w:hAnsi="Times New Roman" w:cs="Times New Roman"/>
          <w:szCs w:val="21"/>
        </w:rPr>
        <w:fldChar w:fldCharType="begin"/>
      </w:r>
      <w:r w:rsidR="00B525CC">
        <w:rPr>
          <w:rFonts w:ascii="Times New Roman" w:eastAsia="宋体" w:hAnsi="Times New Roman" w:cs="Times New Roman"/>
          <w:szCs w:val="21"/>
        </w:rPr>
        <w:instrText xml:space="preserve"> ADDIN ZOTERO_ITEM CSL_CITATION {"citationID":"YtHFkMz9","properties":{"formattedCitation":"\\super [8]\\nosupersub{}","plainCitation":"[8]","noteIndex":0},"citationItems":[{"id":714,"uris":["http://zotero.org/users/14719789/items/E7ES6J9G"],"itemData":{"id":714,"type":"article-journal","abstract":"Osimertinib, an epidermal growth factor receptor tyrosine kinase inhibitor (EGFR-TKI), potently and selectively inhibits EGFR-TKI-sensitizing and EGFR T790M resistance mutations. In the Phase III FLAURA study (NCT02296125), first-line osimertinib improved outcomes vs comparator EGFR-TKIs in EGFRm advanced non-small cell lung cancer. This analysis identifies acquired resistance mechanisms to first-line osimertinib. Next-generation sequencing assesses circulating-tumor DNA from paired plasma samples (baseline and disease progression/treatment discontinuation) in patients with baseline EGFRm. No EGFR T790M-mediated acquired resistance are observed; most frequent resistance mechanisms are MET amplification (n = 17; 16%) and EGFR C797S mutations (n = 7; 6%). Future research investigating non-genetic acquired resistance mechanisms is warranted.","container-title":"Nature Communications","DOI":"10.1038/s41467-023-35961-y","ISSN":"2041-1723","issue":"1","journalAbbreviation":"Nat Commun","language":"en","license":"2023 The Author(s)","note":"TLDR: By next-generation sequencing of circulating tumor DNA, the authors assess candidate mechanisms of acquired resistance to first-line osimertinib in patients from the FLAURA trial, finding no EGFR T790M-mediated acquired resistance.","page":"1070","publisher":"Nature Publishing Group","source":"www.nature.com","title":"Candidate mechanisms of acquired resistance to first-line osimertinib in EGFR-mutated advanced non-small cell lung cancer","volume":"14","author":[{"family":"Chmielecki","given":"Juliann"},{"family":"Gray","given":"Jhanelle E."},{"family":"Cheng","given":"Ying"},{"family":"Ohe","given":"Yuichiro"},{"family":"Imamura","given":"Fumio"},{"family":"Cho","given":"Byoung Chul"},{"family":"Lin","given":"Meng-Chih"},{"family":"Majem","given":"Margarita"},{"family":"Shah","given":"Riyaz"},{"family":"Rukazenkov","given":"Yuri"},{"family":"Todd","given":"Alexander"},{"family":"Markovets","given":"Aleksandra"},{"family":"Barrett","given":"J. Carl"},{"family":"Hartmaier","given":"Ryan J."},{"family":"Ramalingam","given":"Suresh S."}],"issued":{"date-parts":[["2023",2,27]]}}}],"schema":"https://github.com/citation-style-language/schema/raw/master/csl-citation.json"} </w:instrText>
      </w:r>
      <w:r w:rsidR="00B6427E" w:rsidRPr="00B6427E">
        <w:rPr>
          <w:rFonts w:ascii="Times New Roman" w:eastAsia="宋体" w:hAnsi="Times New Roman" w:cs="Times New Roman"/>
          <w:szCs w:val="21"/>
        </w:rPr>
        <w:fldChar w:fldCharType="separate"/>
      </w:r>
      <w:r w:rsidR="00B525CC" w:rsidRPr="00B525CC">
        <w:rPr>
          <w:rFonts w:ascii="Times New Roman" w:hAnsi="Times New Roman" w:cs="Times New Roman"/>
          <w:kern w:val="0"/>
          <w:vertAlign w:val="superscript"/>
        </w:rPr>
        <w:t>[8]</w:t>
      </w:r>
      <w:r w:rsidR="00B6427E" w:rsidRPr="00B6427E">
        <w:rPr>
          <w:rFonts w:ascii="Times New Roman" w:eastAsia="宋体" w:hAnsi="Times New Roman" w:cs="Times New Roman"/>
          <w:szCs w:val="21"/>
        </w:rPr>
        <w:fldChar w:fldCharType="end"/>
      </w:r>
      <w:r w:rsidR="00B6427E" w:rsidRPr="00B6427E">
        <w:rPr>
          <w:rFonts w:ascii="Times New Roman" w:eastAsia="宋体" w:hAnsi="Times New Roman" w:cs="Times New Roman"/>
          <w:kern w:val="0"/>
          <w:szCs w:val="21"/>
        </w:rPr>
        <w:t>；</w:t>
      </w:r>
      <w:r w:rsidR="00C40830" w:rsidRPr="00C40830">
        <w:rPr>
          <w:rFonts w:ascii="Times New Roman" w:eastAsia="宋体" w:hAnsi="Times New Roman" w:cs="Times New Roman" w:hint="eastAsia"/>
          <w:kern w:val="0"/>
          <w:szCs w:val="21"/>
        </w:rPr>
        <w:t>后者</w:t>
      </w:r>
      <w:r w:rsidR="004C16D1">
        <w:rPr>
          <w:rFonts w:ascii="Times New Roman" w:eastAsia="宋体" w:hAnsi="Times New Roman" w:cs="Times New Roman" w:hint="eastAsia"/>
          <w:kern w:val="0"/>
          <w:szCs w:val="21"/>
        </w:rPr>
        <w:t>包括</w:t>
      </w:r>
      <w:r w:rsidR="00C40830" w:rsidRPr="00C40830">
        <w:rPr>
          <w:rFonts w:ascii="Times New Roman" w:eastAsia="宋体" w:hAnsi="Times New Roman" w:cs="Times New Roman" w:hint="eastAsia"/>
          <w:kern w:val="0"/>
          <w:szCs w:val="21"/>
        </w:rPr>
        <w:t>旁路信号激活、下游通路异常、融合基因获得及表型或组织学转化等。</w:t>
      </w:r>
      <w:r w:rsidR="004C16D1" w:rsidRPr="004C16D1">
        <w:rPr>
          <w:rFonts w:ascii="Times New Roman" w:eastAsia="宋体" w:hAnsi="Times New Roman" w:cs="Times New Roman" w:hint="eastAsia"/>
          <w:kern w:val="0"/>
          <w:szCs w:val="21"/>
        </w:rPr>
        <w:t>由于不同病灶和不同时间点可存在不同耐药亚克隆，单次组织活检或单一</w:t>
      </w:r>
      <w:r w:rsidR="00524E96" w:rsidRPr="00524E96">
        <w:rPr>
          <w:rFonts w:ascii="Times New Roman" w:eastAsia="宋体" w:hAnsi="Times New Roman" w:cs="Times New Roman" w:hint="eastAsia"/>
          <w:kern w:val="0"/>
          <w:szCs w:val="21"/>
        </w:rPr>
        <w:t>循环肿瘤</w:t>
      </w:r>
      <w:r w:rsidR="00524E96" w:rsidRPr="00524E96">
        <w:rPr>
          <w:rFonts w:ascii="Times New Roman" w:eastAsia="宋体" w:hAnsi="Times New Roman" w:cs="Times New Roman" w:hint="eastAsia"/>
          <w:kern w:val="0"/>
          <w:szCs w:val="21"/>
        </w:rPr>
        <w:t>DNA</w:t>
      </w:r>
      <w:r w:rsidR="00524E96" w:rsidRPr="00524E96">
        <w:rPr>
          <w:rFonts w:ascii="Times New Roman" w:eastAsia="宋体" w:hAnsi="Times New Roman" w:cs="Times New Roman" w:hint="eastAsia"/>
          <w:kern w:val="0"/>
          <w:szCs w:val="21"/>
        </w:rPr>
        <w:t>（</w:t>
      </w:r>
      <w:r w:rsidR="00524E96" w:rsidRPr="00524E96">
        <w:rPr>
          <w:rFonts w:ascii="Times New Roman" w:eastAsia="宋体" w:hAnsi="Times New Roman" w:cs="Times New Roman" w:hint="eastAsia"/>
          <w:kern w:val="0"/>
          <w:szCs w:val="21"/>
        </w:rPr>
        <w:t>circulating tumor DNA</w:t>
      </w:r>
      <w:r w:rsidR="00524E96" w:rsidRPr="00524E96">
        <w:rPr>
          <w:rFonts w:ascii="Times New Roman" w:eastAsia="宋体" w:hAnsi="Times New Roman" w:cs="Times New Roman" w:hint="eastAsia"/>
          <w:kern w:val="0"/>
          <w:szCs w:val="21"/>
        </w:rPr>
        <w:t>，</w:t>
      </w:r>
      <w:r w:rsidR="00524E96" w:rsidRPr="00524E96">
        <w:rPr>
          <w:rFonts w:ascii="Times New Roman" w:eastAsia="宋体" w:hAnsi="Times New Roman" w:cs="Times New Roman" w:hint="eastAsia"/>
          <w:kern w:val="0"/>
          <w:szCs w:val="21"/>
        </w:rPr>
        <w:t>ctDNA</w:t>
      </w:r>
      <w:r w:rsidR="00524E96" w:rsidRPr="00524E96">
        <w:rPr>
          <w:rFonts w:ascii="Times New Roman" w:eastAsia="宋体" w:hAnsi="Times New Roman" w:cs="Times New Roman" w:hint="eastAsia"/>
          <w:kern w:val="0"/>
          <w:szCs w:val="21"/>
        </w:rPr>
        <w:t>）</w:t>
      </w:r>
      <w:r w:rsidR="004C16D1" w:rsidRPr="004C16D1">
        <w:rPr>
          <w:rFonts w:ascii="Times New Roman" w:eastAsia="宋体" w:hAnsi="Times New Roman" w:cs="Times New Roman" w:hint="eastAsia"/>
          <w:kern w:val="0"/>
          <w:szCs w:val="21"/>
        </w:rPr>
        <w:t>阴性结果均不足以完全排除耐药机制。</w:t>
      </w:r>
    </w:p>
    <w:p w14:paraId="63B8870A" w14:textId="0E5996D0" w:rsidR="005C1193" w:rsidRDefault="00E00550" w:rsidP="00C40830">
      <w:pPr>
        <w:spacing w:line="360" w:lineRule="auto"/>
        <w:jc w:val="left"/>
        <w:rPr>
          <w:rFonts w:ascii="宋体" w:eastAsia="宋体" w:hAnsi="宋体" w:hint="eastAsia"/>
          <w:szCs w:val="21"/>
        </w:rPr>
      </w:pPr>
      <w:r>
        <w:rPr>
          <w:rFonts w:ascii="宋体" w:eastAsia="宋体" w:hAnsi="宋体" w:hint="eastAsia"/>
          <w:szCs w:val="21"/>
        </w:rPr>
        <w:t>2</w:t>
      </w:r>
      <w:r w:rsidR="006641DC">
        <w:rPr>
          <w:rFonts w:ascii="宋体" w:eastAsia="宋体" w:hAnsi="宋体" w:hint="eastAsia"/>
          <w:szCs w:val="21"/>
        </w:rPr>
        <w:t>.</w:t>
      </w:r>
      <w:r w:rsidR="0082768B" w:rsidRPr="0097331F">
        <w:rPr>
          <w:rFonts w:ascii="Times New Roman" w:eastAsia="宋体" w:hAnsi="Times New Roman" w:cs="Times New Roman"/>
          <w:szCs w:val="21"/>
        </w:rPr>
        <w:t>EGFR-TKI</w:t>
      </w:r>
      <w:r w:rsidR="0082768B" w:rsidRPr="0082768B">
        <w:rPr>
          <w:rFonts w:ascii="宋体" w:eastAsia="宋体" w:hAnsi="宋体"/>
          <w:szCs w:val="21"/>
        </w:rPr>
        <w:t>获得性耐药的主要分子机制及临床研究进展</w:t>
      </w:r>
    </w:p>
    <w:p w14:paraId="55CA8E25" w14:textId="73CB80F4" w:rsidR="007869AD" w:rsidRDefault="007869AD" w:rsidP="00826AF0">
      <w:pPr>
        <w:spacing w:line="360" w:lineRule="auto"/>
        <w:jc w:val="left"/>
        <w:rPr>
          <w:rFonts w:ascii="宋体" w:eastAsia="宋体" w:hAnsi="宋体" w:hint="eastAsia"/>
          <w:szCs w:val="21"/>
        </w:rPr>
      </w:pPr>
      <w:r w:rsidRPr="00DA40D2">
        <w:rPr>
          <w:rFonts w:ascii="宋体" w:eastAsia="宋体" w:hAnsi="宋体" w:cs="Times New Roman"/>
          <w:szCs w:val="21"/>
        </w:rPr>
        <w:t>2.</w:t>
      </w:r>
      <w:r w:rsidR="006F53EE">
        <w:rPr>
          <w:rFonts w:ascii="宋体" w:eastAsia="宋体" w:hAnsi="宋体" w:cs="Times New Roman" w:hint="eastAsia"/>
          <w:szCs w:val="21"/>
        </w:rPr>
        <w:t>1</w:t>
      </w:r>
      <w:r w:rsidR="00981748" w:rsidRPr="008D12C3">
        <w:rPr>
          <w:rFonts w:ascii="Times New Roman" w:hAnsi="Times New Roman" w:cs="Times New Roman"/>
          <w:i/>
          <w:iCs/>
        </w:rPr>
        <w:t xml:space="preserve"> </w:t>
      </w:r>
      <w:bookmarkStart w:id="0" w:name="OLE_LINK2"/>
      <w:r w:rsidR="00981748" w:rsidRPr="008D12C3">
        <w:rPr>
          <w:rFonts w:ascii="Times New Roman" w:eastAsia="宋体" w:hAnsi="Times New Roman" w:cs="Times New Roman"/>
          <w:i/>
          <w:iCs/>
          <w:szCs w:val="21"/>
        </w:rPr>
        <w:t>MET</w:t>
      </w:r>
      <w:r w:rsidR="00981748" w:rsidRPr="000A114D">
        <w:rPr>
          <w:rFonts w:ascii="宋体" w:eastAsia="宋体" w:hAnsi="宋体" w:hint="eastAsia"/>
          <w:szCs w:val="21"/>
        </w:rPr>
        <w:t>扩增</w:t>
      </w:r>
      <w:bookmarkEnd w:id="0"/>
      <w:r w:rsidR="00981748" w:rsidRPr="000A114D">
        <w:rPr>
          <w:rFonts w:ascii="宋体" w:eastAsia="宋体" w:hAnsi="宋体" w:hint="eastAsia"/>
          <w:szCs w:val="21"/>
        </w:rPr>
        <w:t>/</w:t>
      </w:r>
      <w:r w:rsidR="005E28FA">
        <w:rPr>
          <w:rFonts w:ascii="宋体" w:eastAsia="宋体" w:hAnsi="宋体" w:hint="eastAsia"/>
          <w:szCs w:val="21"/>
        </w:rPr>
        <w:t>过表达</w:t>
      </w:r>
    </w:p>
    <w:p w14:paraId="3678130E" w14:textId="088A7C1D" w:rsidR="008C61A8" w:rsidRDefault="005E28FA" w:rsidP="00924D3E">
      <w:pPr>
        <w:spacing w:line="360" w:lineRule="auto"/>
        <w:ind w:firstLineChars="200" w:firstLine="420"/>
        <w:jc w:val="left"/>
        <w:rPr>
          <w:rFonts w:ascii="宋体" w:eastAsia="宋体" w:hAnsi="宋体" w:hint="eastAsia"/>
          <w:szCs w:val="21"/>
        </w:rPr>
      </w:pPr>
      <w:r w:rsidRPr="008D12C3">
        <w:rPr>
          <w:rFonts w:ascii="Times New Roman" w:eastAsia="宋体" w:hAnsi="Times New Roman" w:cs="Times New Roman" w:hint="eastAsia"/>
          <w:i/>
          <w:iCs/>
          <w:szCs w:val="21"/>
        </w:rPr>
        <w:lastRenderedPageBreak/>
        <w:t>MET</w:t>
      </w:r>
      <w:r w:rsidRPr="005E28FA">
        <w:rPr>
          <w:rFonts w:ascii="Times New Roman" w:eastAsia="宋体" w:hAnsi="Times New Roman" w:cs="Times New Roman" w:hint="eastAsia"/>
          <w:szCs w:val="21"/>
        </w:rPr>
        <w:t>扩增及</w:t>
      </w:r>
      <w:r w:rsidRPr="005E28FA">
        <w:rPr>
          <w:rFonts w:ascii="Times New Roman" w:eastAsia="宋体" w:hAnsi="Times New Roman" w:cs="Times New Roman" w:hint="eastAsia"/>
          <w:szCs w:val="21"/>
        </w:rPr>
        <w:t>MET</w:t>
      </w:r>
      <w:r w:rsidRPr="005E28FA">
        <w:rPr>
          <w:rFonts w:ascii="Times New Roman" w:eastAsia="宋体" w:hAnsi="Times New Roman" w:cs="Times New Roman" w:hint="eastAsia"/>
          <w:szCs w:val="21"/>
        </w:rPr>
        <w:t>蛋白过表达是</w:t>
      </w:r>
      <w:r w:rsidRPr="00E203CA">
        <w:rPr>
          <w:rFonts w:ascii="Times New Roman" w:eastAsia="宋体" w:hAnsi="Times New Roman" w:cs="Times New Roman" w:hint="eastAsia"/>
          <w:i/>
          <w:iCs/>
          <w:szCs w:val="21"/>
        </w:rPr>
        <w:t>EGFR</w:t>
      </w:r>
      <w:r w:rsidRPr="005E28FA">
        <w:rPr>
          <w:rFonts w:ascii="Times New Roman" w:eastAsia="宋体" w:hAnsi="Times New Roman" w:cs="Times New Roman" w:hint="eastAsia"/>
          <w:szCs w:val="21"/>
        </w:rPr>
        <w:t>突变型</w:t>
      </w:r>
      <w:r w:rsidR="009824C8" w:rsidRPr="009824C8">
        <w:rPr>
          <w:rFonts w:ascii="Times New Roman" w:eastAsia="宋体" w:hAnsi="Times New Roman" w:cs="Times New Roman"/>
          <w:szCs w:val="21"/>
        </w:rPr>
        <w:t>NSCLC</w:t>
      </w:r>
      <w:r w:rsidR="00924D3E" w:rsidRPr="00924D3E">
        <w:rPr>
          <w:rFonts w:ascii="宋体" w:eastAsia="宋体" w:hAnsi="宋体"/>
          <w:szCs w:val="21"/>
        </w:rPr>
        <w:t>接受</w:t>
      </w:r>
      <w:r w:rsidR="00924D3E" w:rsidRPr="00425630">
        <w:rPr>
          <w:rFonts w:ascii="Times New Roman" w:eastAsia="宋体" w:hAnsi="Times New Roman" w:cs="Times New Roman"/>
          <w:szCs w:val="21"/>
        </w:rPr>
        <w:t>EGFR-TKI</w:t>
      </w:r>
      <w:r w:rsidR="00924D3E" w:rsidRPr="00924D3E">
        <w:rPr>
          <w:rFonts w:ascii="宋体" w:eastAsia="宋体" w:hAnsi="宋体"/>
          <w:szCs w:val="21"/>
        </w:rPr>
        <w:t>治疗后，尤其是一线奥希替尼进展后</w:t>
      </w:r>
      <w:r w:rsidR="001A20B9" w:rsidRPr="001A20B9">
        <w:rPr>
          <w:rFonts w:ascii="宋体" w:eastAsia="宋体" w:hAnsi="宋体" w:hint="eastAsia"/>
          <w:szCs w:val="21"/>
        </w:rPr>
        <w:t>较重要的旁路激活介导的获得性耐药机制</w:t>
      </w:r>
      <w:r w:rsidR="00924D3E" w:rsidRPr="00924D3E">
        <w:rPr>
          <w:rFonts w:ascii="宋体" w:eastAsia="宋体" w:hAnsi="宋体"/>
          <w:szCs w:val="21"/>
        </w:rPr>
        <w:t>。</w:t>
      </w:r>
      <w:r w:rsidR="007759B0" w:rsidRPr="008D12C3">
        <w:rPr>
          <w:rFonts w:ascii="Times New Roman" w:eastAsia="宋体" w:hAnsi="Times New Roman" w:cs="Times New Roman"/>
          <w:i/>
          <w:iCs/>
          <w:szCs w:val="21"/>
        </w:rPr>
        <w:t>MET</w:t>
      </w:r>
      <w:r w:rsidR="007759B0" w:rsidRPr="007759B0">
        <w:rPr>
          <w:rFonts w:ascii="Times New Roman" w:eastAsia="宋体" w:hAnsi="Times New Roman" w:cs="Times New Roman"/>
          <w:szCs w:val="21"/>
        </w:rPr>
        <w:t>扩增可通过增加</w:t>
      </w:r>
      <w:r w:rsidR="007759B0" w:rsidRPr="008D12C3">
        <w:rPr>
          <w:rFonts w:ascii="Times New Roman" w:eastAsia="宋体" w:hAnsi="Times New Roman" w:cs="Times New Roman"/>
          <w:i/>
          <w:iCs/>
          <w:szCs w:val="21"/>
        </w:rPr>
        <w:t>MET</w:t>
      </w:r>
      <w:r w:rsidR="007759B0" w:rsidRPr="007759B0">
        <w:rPr>
          <w:rFonts w:ascii="Times New Roman" w:eastAsia="宋体" w:hAnsi="Times New Roman" w:cs="Times New Roman"/>
          <w:szCs w:val="21"/>
        </w:rPr>
        <w:t>基因拷贝数增强受体信号，而</w:t>
      </w:r>
      <w:r w:rsidR="007759B0" w:rsidRPr="007759B0">
        <w:rPr>
          <w:rFonts w:ascii="Times New Roman" w:eastAsia="宋体" w:hAnsi="Times New Roman" w:cs="Times New Roman"/>
          <w:szCs w:val="21"/>
        </w:rPr>
        <w:t>MET</w:t>
      </w:r>
      <w:r w:rsidR="007759B0" w:rsidRPr="007759B0">
        <w:rPr>
          <w:rFonts w:ascii="Times New Roman" w:eastAsia="宋体" w:hAnsi="Times New Roman" w:cs="Times New Roman"/>
          <w:szCs w:val="21"/>
        </w:rPr>
        <w:t>蛋白过表达则表现为肿瘤细胞膜表面</w:t>
      </w:r>
      <w:r w:rsidR="007759B0" w:rsidRPr="007759B0">
        <w:rPr>
          <w:rFonts w:ascii="Times New Roman" w:eastAsia="宋体" w:hAnsi="Times New Roman" w:cs="Times New Roman"/>
          <w:szCs w:val="21"/>
        </w:rPr>
        <w:t>MET</w:t>
      </w:r>
      <w:r w:rsidR="007759B0" w:rsidRPr="007759B0">
        <w:rPr>
          <w:rFonts w:ascii="Times New Roman" w:eastAsia="宋体" w:hAnsi="Times New Roman" w:cs="Times New Roman"/>
          <w:szCs w:val="21"/>
        </w:rPr>
        <w:t>蛋白表达升高，两者可同时存在，但并非完全等同。</w:t>
      </w:r>
      <w:r w:rsidR="009824C8" w:rsidRPr="009824C8">
        <w:rPr>
          <w:rFonts w:ascii="Times New Roman" w:eastAsia="宋体" w:hAnsi="Times New Roman" w:cs="Times New Roman"/>
          <w:szCs w:val="21"/>
        </w:rPr>
        <w:t>MET</w:t>
      </w:r>
      <w:r w:rsidR="009824C8" w:rsidRPr="009824C8">
        <w:rPr>
          <w:rFonts w:ascii="Times New Roman" w:eastAsia="宋体" w:hAnsi="Times New Roman" w:cs="Times New Roman"/>
          <w:szCs w:val="21"/>
        </w:rPr>
        <w:t>信号异常激活后可绕过</w:t>
      </w:r>
      <w:r w:rsidR="009824C8" w:rsidRPr="009824C8">
        <w:rPr>
          <w:rFonts w:ascii="Times New Roman" w:eastAsia="宋体" w:hAnsi="Times New Roman" w:cs="Times New Roman"/>
          <w:szCs w:val="21"/>
        </w:rPr>
        <w:t>EGFR</w:t>
      </w:r>
      <w:r w:rsidR="009824C8" w:rsidRPr="009824C8">
        <w:rPr>
          <w:rFonts w:ascii="Times New Roman" w:eastAsia="宋体" w:hAnsi="Times New Roman" w:cs="Times New Roman"/>
          <w:szCs w:val="21"/>
        </w:rPr>
        <w:t>依赖通路，持续驱动</w:t>
      </w:r>
      <w:r w:rsidR="00524E96" w:rsidRPr="00524E96">
        <w:rPr>
          <w:rFonts w:ascii="Times New Roman" w:eastAsia="宋体" w:hAnsi="Times New Roman" w:cs="Times New Roman" w:hint="eastAsia"/>
          <w:szCs w:val="21"/>
        </w:rPr>
        <w:t>磷脂酰肌醇</w:t>
      </w:r>
      <w:r w:rsidR="00524E96" w:rsidRPr="00524E96">
        <w:rPr>
          <w:rFonts w:ascii="Times New Roman" w:eastAsia="宋体" w:hAnsi="Times New Roman" w:cs="Times New Roman" w:hint="eastAsia"/>
          <w:szCs w:val="21"/>
        </w:rPr>
        <w:t>3-</w:t>
      </w:r>
      <w:r w:rsidR="00524E96" w:rsidRPr="00524E96">
        <w:rPr>
          <w:rFonts w:ascii="Times New Roman" w:eastAsia="宋体" w:hAnsi="Times New Roman" w:cs="Times New Roman" w:hint="eastAsia"/>
          <w:szCs w:val="21"/>
        </w:rPr>
        <w:t>激酶</w:t>
      </w:r>
      <w:r w:rsidR="00524E96" w:rsidRPr="00524E96">
        <w:rPr>
          <w:rFonts w:ascii="Times New Roman" w:eastAsia="宋体" w:hAnsi="Times New Roman" w:cs="Times New Roman" w:hint="eastAsia"/>
          <w:szCs w:val="21"/>
        </w:rPr>
        <w:t>/</w:t>
      </w:r>
      <w:r w:rsidR="00524E96" w:rsidRPr="00524E96">
        <w:rPr>
          <w:rFonts w:ascii="Times New Roman" w:eastAsia="宋体" w:hAnsi="Times New Roman" w:cs="Times New Roman" w:hint="eastAsia"/>
          <w:szCs w:val="21"/>
        </w:rPr>
        <w:t>蛋白激酶</w:t>
      </w:r>
      <w:r w:rsidR="00524E96" w:rsidRPr="00524E96">
        <w:rPr>
          <w:rFonts w:ascii="Times New Roman" w:eastAsia="宋体" w:hAnsi="Times New Roman" w:cs="Times New Roman" w:hint="eastAsia"/>
          <w:szCs w:val="21"/>
        </w:rPr>
        <w:t>B</w:t>
      </w:r>
      <w:r w:rsidR="00524E96" w:rsidRPr="00524E96">
        <w:rPr>
          <w:rFonts w:ascii="Times New Roman" w:eastAsia="宋体" w:hAnsi="Times New Roman" w:cs="Times New Roman" w:hint="eastAsia"/>
          <w:szCs w:val="21"/>
        </w:rPr>
        <w:t>（</w:t>
      </w:r>
      <w:r w:rsidR="00524E96" w:rsidRPr="00524E96">
        <w:rPr>
          <w:rFonts w:ascii="Times New Roman" w:eastAsia="宋体" w:hAnsi="Times New Roman" w:cs="Times New Roman" w:hint="eastAsia"/>
          <w:szCs w:val="21"/>
        </w:rPr>
        <w:t>phosphatidylinositol 3-kinase/protein kinase B</w:t>
      </w:r>
      <w:r w:rsidR="00524E96" w:rsidRPr="00524E96">
        <w:rPr>
          <w:rFonts w:ascii="Times New Roman" w:eastAsia="宋体" w:hAnsi="Times New Roman" w:cs="Times New Roman" w:hint="eastAsia"/>
          <w:szCs w:val="21"/>
        </w:rPr>
        <w:t>，</w:t>
      </w:r>
      <w:r w:rsidR="00524E96" w:rsidRPr="00524E96">
        <w:rPr>
          <w:rFonts w:ascii="Times New Roman" w:eastAsia="宋体" w:hAnsi="Times New Roman" w:cs="Times New Roman" w:hint="eastAsia"/>
          <w:szCs w:val="21"/>
        </w:rPr>
        <w:t>PI3K/AKT</w:t>
      </w:r>
      <w:r w:rsidR="00524E96" w:rsidRPr="00524E96">
        <w:rPr>
          <w:rFonts w:ascii="Times New Roman" w:eastAsia="宋体" w:hAnsi="Times New Roman" w:cs="Times New Roman" w:hint="eastAsia"/>
          <w:szCs w:val="21"/>
        </w:rPr>
        <w:t>）</w:t>
      </w:r>
      <w:r w:rsidR="009824C8" w:rsidRPr="009824C8">
        <w:rPr>
          <w:rFonts w:ascii="Times New Roman" w:eastAsia="宋体" w:hAnsi="Times New Roman" w:cs="Times New Roman"/>
          <w:szCs w:val="21"/>
        </w:rPr>
        <w:t>和</w:t>
      </w:r>
      <w:r w:rsidR="00524E96" w:rsidRPr="00524E96">
        <w:rPr>
          <w:rFonts w:ascii="Times New Roman" w:eastAsia="宋体" w:hAnsi="Times New Roman" w:cs="Times New Roman" w:hint="eastAsia"/>
          <w:szCs w:val="21"/>
        </w:rPr>
        <w:t>丝裂原活化蛋白激酶（</w:t>
      </w:r>
      <w:r w:rsidR="00524E96" w:rsidRPr="00524E96">
        <w:rPr>
          <w:rFonts w:ascii="Times New Roman" w:eastAsia="宋体" w:hAnsi="Times New Roman" w:cs="Times New Roman" w:hint="eastAsia"/>
          <w:szCs w:val="21"/>
        </w:rPr>
        <w:t>mitogen-activated protein kinase</w:t>
      </w:r>
      <w:r w:rsidR="00524E96" w:rsidRPr="00524E96">
        <w:rPr>
          <w:rFonts w:ascii="Times New Roman" w:eastAsia="宋体" w:hAnsi="Times New Roman" w:cs="Times New Roman" w:hint="eastAsia"/>
          <w:szCs w:val="21"/>
        </w:rPr>
        <w:t>，</w:t>
      </w:r>
      <w:r w:rsidR="00524E96" w:rsidRPr="00524E96">
        <w:rPr>
          <w:rFonts w:ascii="Times New Roman" w:eastAsia="宋体" w:hAnsi="Times New Roman" w:cs="Times New Roman" w:hint="eastAsia"/>
          <w:szCs w:val="21"/>
        </w:rPr>
        <w:t>MAPK</w:t>
      </w:r>
      <w:r w:rsidR="00524E96" w:rsidRPr="00524E96">
        <w:rPr>
          <w:rFonts w:ascii="Times New Roman" w:eastAsia="宋体" w:hAnsi="Times New Roman" w:cs="Times New Roman" w:hint="eastAsia"/>
          <w:szCs w:val="21"/>
        </w:rPr>
        <w:t>）</w:t>
      </w:r>
      <w:r w:rsidR="009824C8" w:rsidRPr="009824C8">
        <w:rPr>
          <w:rFonts w:ascii="Times New Roman" w:eastAsia="宋体" w:hAnsi="Times New Roman" w:cs="Times New Roman"/>
          <w:szCs w:val="21"/>
        </w:rPr>
        <w:t>信号，从而削弱单纯</w:t>
      </w:r>
      <w:r w:rsidR="009824C8" w:rsidRPr="009824C8">
        <w:rPr>
          <w:rFonts w:ascii="Times New Roman" w:eastAsia="宋体" w:hAnsi="Times New Roman" w:cs="Times New Roman"/>
          <w:szCs w:val="21"/>
        </w:rPr>
        <w:t>EGFR</w:t>
      </w:r>
      <w:r w:rsidR="009824C8" w:rsidRPr="009824C8">
        <w:rPr>
          <w:rFonts w:ascii="Times New Roman" w:eastAsia="宋体" w:hAnsi="Times New Roman" w:cs="Times New Roman"/>
          <w:szCs w:val="21"/>
        </w:rPr>
        <w:t>抑制的抗肿瘤效应。因此，持续</w:t>
      </w:r>
      <w:r w:rsidR="009824C8" w:rsidRPr="009824C8">
        <w:rPr>
          <w:rFonts w:ascii="Times New Roman" w:eastAsia="宋体" w:hAnsi="Times New Roman" w:cs="Times New Roman"/>
          <w:szCs w:val="21"/>
        </w:rPr>
        <w:t>EGFR</w:t>
      </w:r>
      <w:r w:rsidR="009824C8" w:rsidRPr="009824C8">
        <w:rPr>
          <w:rFonts w:ascii="Times New Roman" w:eastAsia="宋体" w:hAnsi="Times New Roman" w:cs="Times New Roman"/>
          <w:szCs w:val="21"/>
        </w:rPr>
        <w:t>抑制联合</w:t>
      </w:r>
      <w:r w:rsidR="009824C8" w:rsidRPr="009824C8">
        <w:rPr>
          <w:rFonts w:ascii="Times New Roman" w:eastAsia="宋体" w:hAnsi="Times New Roman" w:cs="Times New Roman"/>
          <w:szCs w:val="21"/>
        </w:rPr>
        <w:t>MET</w:t>
      </w:r>
      <w:r w:rsidR="009824C8" w:rsidRPr="009824C8">
        <w:rPr>
          <w:rFonts w:ascii="Times New Roman" w:eastAsia="宋体" w:hAnsi="Times New Roman" w:cs="Times New Roman"/>
          <w:szCs w:val="21"/>
        </w:rPr>
        <w:t>抑制剂是目前</w:t>
      </w:r>
      <w:r w:rsidR="009824C8" w:rsidRPr="008D12C3">
        <w:rPr>
          <w:rFonts w:ascii="Times New Roman" w:eastAsia="宋体" w:hAnsi="Times New Roman" w:cs="Times New Roman"/>
          <w:i/>
          <w:iCs/>
          <w:szCs w:val="21"/>
        </w:rPr>
        <w:t>MET</w:t>
      </w:r>
      <w:r w:rsidR="009824C8" w:rsidRPr="009824C8">
        <w:rPr>
          <w:rFonts w:ascii="Times New Roman" w:eastAsia="宋体" w:hAnsi="Times New Roman" w:cs="Times New Roman"/>
          <w:szCs w:val="21"/>
        </w:rPr>
        <w:t>扩增耐药中最具临床转化价值的策略之一</w:t>
      </w:r>
      <w:r w:rsidR="00A66242">
        <w:rPr>
          <w:rFonts w:ascii="宋体" w:eastAsia="宋体" w:hAnsi="宋体" w:hint="eastAsia"/>
          <w:szCs w:val="21"/>
        </w:rPr>
        <w:fldChar w:fldCharType="begin"/>
      </w:r>
      <w:r w:rsidR="00B525CC">
        <w:rPr>
          <w:rFonts w:ascii="宋体" w:eastAsia="宋体" w:hAnsi="宋体" w:hint="eastAsia"/>
          <w:szCs w:val="21"/>
        </w:rPr>
        <w:instrText xml:space="preserve"> ADDIN ZOTERO_ITEM CSL_CITATION {"citationID":"yJa7T4Ig","properties":{"formattedCitation":"\\super [9]\\nosupersub{}","plainCitation":"[9]","noteIndex":0},"citationItems":[{"id":878,"uris":["http://zotero.org/users/14719789/items/8ECSH2DY"],"itemData":{"id":878,"type":"article-journal","abstract":"BACKGROUND: Patients with EGFR-mutated non-small-cell lung cancer (NSCLC) and MET amplification as a mechanism of resistance to first-line osimertinib have few treatment options. Here, we report the primary analysis of the phase 2 INSIGHT 2 study evaluating tepotinib, a highly selective MET inhibitor, combined with osimertinib in this population.\nMETHODS: This open-label, phase 2 study was conducted at 179 academic centres and community clinics in 17 countries. Eligible patients were aged 18 years or older with an Eastern Cooperative Oncology Group performance status of 0 or 1 and advanced or metastatic EGFR-mutated NSCLC of any histology, with MET amplification by tissue biopsy fluorescence in-situ hybridisation (FISH; MET gene copy number of ≥5 or MET-to-CEP7 ratio of ≥2) or liquid biopsy next-generation sequencing (MET plasma gene copy number of ≥2·3), following progression on first-line osimertinib. Patients received oral tepotinib 500 mg plus oral osimertinib 80 mg once daily. The primary endpoint was independently assessed objective response in patients with MET amplification by central FISH treated with tepotinib plus osimertinib with at least 9 months of follow-up. Safety was analysed in patients who received at least one study drug dose. This study is registered with ClinicalTrials.gov, NCT03940703 (enrolment complete).\nFINDINGS: Between Feb 13, 2020, and Nov 4, 2022, 128 patients (74 [58%] female, 54 [42%] male) were enrolled and initiated tepotinib plus osimertinib. The primary activity analysis population included 98 patients with MET amplification confirmed by central FISH, previous first-line osimertinib and at least 9 months of follow-up (median 12·7 months [IQR 9·9-20·3]). The confirmed objective response rate was 50·0% (95% CI 39·7-60·3; 49 of 98 patients). The most common treatment-related grade 3 or worse adverse events were peripheral oedema (six [5%] of 128 patients), decreased appetite (five [4%]), prolonged electrocardiogram QT interval (five [4%]), and pneumonitis (four [3%]). Serious treatment-related adverse events were reported in 16 (13%) patients. Deaths of four (3%) patients were assessed as potentially related to either trial drug by the investigator due to pneumonitis (two [2%] patients), decreased platelet count (one [1%]), respiratory failure (one [1%]), and dyspnoea (one [1%]); one death was attributed to both pneumonitis and dyspnoea.\nINTERPRETATION: Tepotinib plus osimertinib showed promising activity and acceptable safety in patients with EGFR-mutated NSCLC and MET amplification as a mechanism of resistance to first-line osimertinib, suggesting a potential chemotherapy-sparing oral targeted therapy option that should be further investigated.\nFUNDING: Merck (CrossRef Funder ID: 10.13039/100009945).","container-title":"The Lancet. Oncology","DOI":"10.1016/S1470-2045(24)00270-5","ISSN":"1474-5488","issue":"8","journalAbbreviation":"Lancet Oncol","language":"eng","note":"TLDR: Tepotinib plus osimertinib showed promising activity and acceptable safety in patients with EGFR-mutated NSCLC and MET amplification as a mechanism of resistance to first-line osimertinib, suggesting a potential chemotherapy-sparing oral targeted therapy option that should be further investigated.","page":"989-1002","PMID":"39089305","source":"PubMed","title":"Tepotinib plus osimertinib in patients with EGFR-mutated non-small-cell lung cancer with MET amplification following progression on first-line osimertinib (INSIGHT 2): a multicentre, open-label, phase 2 trial","title-short":"Tepotinib plus osimertinib in patients with EGFR-mutated non-small-cell lung cancer with MET amplification following progression on first-line osimertinib (INSIGHT 2)","volume":"25","author":[{"family":"Wu","given":"Yi-Long"},{"family":"Guarneri","given":"Valentina"},{"family":"Voon","given":"Pei Jye"},{"family":"Lim","given":"Boon Khaw"},{"family":"Yang","given":"Jin-Ji"},{"family":"Wislez","given":"Marie"},{"family":"Huang","given":"Cheng"},{"family":"Liam","given":"Chong Kin"},{"family":"Mazieres","given":"Julien"},{"family":"Tho","given":"Lye Mun"},{"family":"Hayashi","given":"Hidetoshi"},{"family":"Nhung","given":"Nguyen Viet"},{"family":"Chia","given":"Puey Ling"},{"family":"Marinis","given":"Filippo","non-dropping-particle":"de"},{"family":"Raskin","given":"Jo"},{"family":"Zhou","given":"Qinghua"},{"family":"Finocchiaro","given":"Giovanna"},{"family":"Le","given":"Anh Tuan"},{"family":"Wang","given":"Jialei"},{"family":"Dooms","given":"Christophe"},{"family":"Kato","given":"Terufumi"},{"family":"Nadal","given":"Ernest"},{"family":"Hin","given":"How Soon"},{"family":"Smit","given":"Egbert F."},{"family":"Wermke","given":"Martin"},{"family":"Tan","given":"Daniel"},{"family":"Morise","given":"Masahiro"},{"family":"O'Brate","given":"Aurora"},{"family":"Adrian","given":"Svenja"},{"family":"Pfeiffer","given":"Boris M."},{"family":"Stroh","given":"Christopher"},{"family":"Juraeva","given":"Dilafruz"},{"family":"Strotmann","given":"Rainer"},{"family":"Goteti","given":"Kosalaram"},{"family":"Berghoff","given":"Karin"},{"family":"Ellers-Lenz","given":"Barbara"},{"family":"Karachaliou","given":"Niki"},{"family":"Le","given":"Xiuning"},{"family":"Kim","given":"Tae Min"},{"literal":"INSIGHT 2 investigators"}],"issued":{"date-parts":[["2024",8]]}}}],"schema":"https://github.com/citation-style-language/schema/raw/master/csl-citation.json"} </w:instrText>
      </w:r>
      <w:r w:rsidR="00A66242">
        <w:rPr>
          <w:rFonts w:ascii="宋体" w:eastAsia="宋体" w:hAnsi="宋体" w:hint="eastAsia"/>
          <w:szCs w:val="21"/>
        </w:rPr>
        <w:fldChar w:fldCharType="separate"/>
      </w:r>
      <w:r w:rsidR="00B525CC" w:rsidRPr="00B525CC">
        <w:rPr>
          <w:rFonts w:ascii="宋体" w:eastAsia="宋体" w:hAnsi="宋体" w:cs="Times New Roman"/>
          <w:kern w:val="0"/>
          <w:vertAlign w:val="superscript"/>
        </w:rPr>
        <w:t>[9]</w:t>
      </w:r>
      <w:r w:rsidR="00A66242">
        <w:rPr>
          <w:rFonts w:ascii="宋体" w:eastAsia="宋体" w:hAnsi="宋体" w:hint="eastAsia"/>
          <w:szCs w:val="21"/>
        </w:rPr>
        <w:fldChar w:fldCharType="end"/>
      </w:r>
      <w:r w:rsidR="00A66242">
        <w:rPr>
          <w:rFonts w:ascii="宋体" w:eastAsia="宋体" w:hAnsi="宋体" w:hint="eastAsia"/>
          <w:szCs w:val="21"/>
        </w:rPr>
        <w:t>。</w:t>
      </w:r>
    </w:p>
    <w:p w14:paraId="37F267C7" w14:textId="49D8B120" w:rsidR="001B1AFB" w:rsidRPr="00055E19" w:rsidRDefault="007759B0" w:rsidP="00BF0F0B">
      <w:pPr>
        <w:spacing w:line="360" w:lineRule="auto"/>
        <w:ind w:firstLineChars="200" w:firstLine="420"/>
        <w:jc w:val="left"/>
        <w:rPr>
          <w:rFonts w:ascii="Times New Roman" w:eastAsia="宋体" w:hAnsi="Times New Roman" w:cs="Times New Roman"/>
          <w:szCs w:val="21"/>
        </w:rPr>
      </w:pPr>
      <w:r w:rsidRPr="007759B0">
        <w:rPr>
          <w:rFonts w:ascii="Times New Roman" w:eastAsia="宋体" w:hAnsi="Times New Roman" w:cs="Times New Roman" w:hint="eastAsia"/>
          <w:szCs w:val="21"/>
        </w:rPr>
        <w:t>Ib</w:t>
      </w:r>
      <w:r w:rsidRPr="007759B0">
        <w:rPr>
          <w:rFonts w:ascii="Times New Roman" w:eastAsia="宋体" w:hAnsi="Times New Roman" w:cs="Times New Roman" w:hint="eastAsia"/>
          <w:szCs w:val="21"/>
        </w:rPr>
        <w:t>期</w:t>
      </w:r>
      <w:r w:rsidR="00924D3E" w:rsidRPr="00425630">
        <w:rPr>
          <w:rFonts w:ascii="Times New Roman" w:eastAsia="宋体" w:hAnsi="Times New Roman" w:cs="Times New Roman"/>
          <w:szCs w:val="21"/>
        </w:rPr>
        <w:t>TATTON</w:t>
      </w:r>
      <w:r w:rsidR="00924D3E" w:rsidRPr="00924D3E">
        <w:rPr>
          <w:rFonts w:ascii="宋体" w:eastAsia="宋体" w:hAnsi="宋体"/>
          <w:szCs w:val="21"/>
        </w:rPr>
        <w:t>研究提示，奥希替尼联合赛沃替尼在</w:t>
      </w:r>
      <w:r w:rsidR="00924D3E" w:rsidRPr="008D12C3">
        <w:rPr>
          <w:rFonts w:ascii="Times New Roman" w:eastAsia="宋体" w:hAnsi="Times New Roman" w:cs="Times New Roman"/>
          <w:i/>
          <w:iCs/>
          <w:szCs w:val="21"/>
        </w:rPr>
        <w:t>MET</w:t>
      </w:r>
      <w:r w:rsidR="00924D3E" w:rsidRPr="00924D3E">
        <w:rPr>
          <w:rFonts w:ascii="宋体" w:eastAsia="宋体" w:hAnsi="宋体"/>
          <w:szCs w:val="21"/>
        </w:rPr>
        <w:t>扩增或过表达、既往</w:t>
      </w:r>
      <w:r w:rsidR="00924D3E" w:rsidRPr="00425630">
        <w:rPr>
          <w:rFonts w:ascii="Times New Roman" w:eastAsia="宋体" w:hAnsi="Times New Roman" w:cs="Times New Roman"/>
          <w:szCs w:val="21"/>
        </w:rPr>
        <w:t>EGFR-TKI</w:t>
      </w:r>
      <w:r w:rsidR="00924D3E" w:rsidRPr="00924D3E">
        <w:rPr>
          <w:rFonts w:ascii="宋体" w:eastAsia="宋体" w:hAnsi="宋体"/>
          <w:szCs w:val="21"/>
        </w:rPr>
        <w:t>治疗失败患者中显示出较好的抗肿瘤活性，</w:t>
      </w:r>
      <w:r w:rsidR="004E7241" w:rsidRPr="005B07FE">
        <w:rPr>
          <w:rFonts w:ascii="宋体" w:eastAsia="宋体" w:hAnsi="宋体"/>
          <w:szCs w:val="21"/>
        </w:rPr>
        <w:t>客观缓解率（</w:t>
      </w:r>
      <w:r w:rsidR="00524E96" w:rsidRPr="00524E96">
        <w:rPr>
          <w:rFonts w:ascii="Times New Roman" w:eastAsia="宋体" w:hAnsi="Times New Roman" w:cs="Times New Roman"/>
          <w:szCs w:val="21"/>
        </w:rPr>
        <w:t>objective response rate</w:t>
      </w:r>
      <w:r w:rsidR="00524E96" w:rsidRPr="00524E96">
        <w:rPr>
          <w:rFonts w:ascii="宋体" w:eastAsia="宋体" w:hAnsi="宋体" w:hint="eastAsia"/>
          <w:szCs w:val="21"/>
        </w:rPr>
        <w:t>，</w:t>
      </w:r>
      <w:r w:rsidR="004E7241" w:rsidRPr="005B07FE">
        <w:rPr>
          <w:rFonts w:ascii="Times New Roman" w:eastAsia="宋体" w:hAnsi="Times New Roman" w:cs="Times New Roman"/>
          <w:szCs w:val="21"/>
        </w:rPr>
        <w:t>ORR</w:t>
      </w:r>
      <w:r w:rsidR="004E7241" w:rsidRPr="005B07FE">
        <w:rPr>
          <w:rFonts w:ascii="宋体" w:eastAsia="宋体" w:hAnsi="宋体"/>
          <w:szCs w:val="21"/>
        </w:rPr>
        <w:t>）约为</w:t>
      </w:r>
      <w:r w:rsidR="004E7241" w:rsidRPr="005B07FE">
        <w:rPr>
          <w:rFonts w:ascii="Times New Roman" w:eastAsia="宋体" w:hAnsi="Times New Roman" w:cs="Times New Roman"/>
          <w:szCs w:val="21"/>
        </w:rPr>
        <w:t>33%</w:t>
      </w:r>
      <w:r w:rsidR="004E7241" w:rsidRPr="005B07FE">
        <w:rPr>
          <w:rFonts w:ascii="Times New Roman" w:eastAsia="宋体" w:hAnsi="Times New Roman" w:cs="Times New Roman"/>
          <w:szCs w:val="21"/>
        </w:rPr>
        <w:t>～</w:t>
      </w:r>
      <w:r w:rsidR="004E7241" w:rsidRPr="005B07FE">
        <w:rPr>
          <w:rFonts w:ascii="Times New Roman" w:eastAsia="宋体" w:hAnsi="Times New Roman" w:cs="Times New Roman"/>
          <w:szCs w:val="21"/>
        </w:rPr>
        <w:t>67%</w:t>
      </w:r>
      <w:r w:rsidR="004E7241" w:rsidRPr="005B07FE">
        <w:rPr>
          <w:rFonts w:ascii="宋体" w:eastAsia="宋体" w:hAnsi="宋体"/>
          <w:szCs w:val="21"/>
        </w:rPr>
        <w:t>，中位无进展生存期（</w:t>
      </w:r>
      <w:r w:rsidR="00524E96" w:rsidRPr="00524E96">
        <w:rPr>
          <w:rFonts w:ascii="Times New Roman" w:eastAsia="宋体" w:hAnsi="Times New Roman" w:cs="Times New Roman"/>
          <w:szCs w:val="21"/>
        </w:rPr>
        <w:t>median progression-free survival</w:t>
      </w:r>
      <w:r w:rsidR="00524E96" w:rsidRPr="00524E96">
        <w:rPr>
          <w:rFonts w:ascii="宋体" w:eastAsia="宋体" w:hAnsi="宋体" w:hint="eastAsia"/>
          <w:szCs w:val="21"/>
        </w:rPr>
        <w:t>，</w:t>
      </w:r>
      <w:r w:rsidR="004E7241" w:rsidRPr="005B07FE">
        <w:rPr>
          <w:rFonts w:ascii="Times New Roman" w:eastAsia="宋体" w:hAnsi="Times New Roman" w:cs="Times New Roman"/>
          <w:szCs w:val="21"/>
        </w:rPr>
        <w:t>mPFS</w:t>
      </w:r>
      <w:r w:rsidR="004E7241" w:rsidRPr="005B07FE">
        <w:rPr>
          <w:rFonts w:ascii="宋体" w:eastAsia="宋体" w:hAnsi="宋体"/>
          <w:szCs w:val="21"/>
        </w:rPr>
        <w:t>）约为</w:t>
      </w:r>
      <w:r w:rsidR="004E7241" w:rsidRPr="005B07FE">
        <w:rPr>
          <w:rFonts w:ascii="Times New Roman" w:eastAsia="宋体" w:hAnsi="Times New Roman" w:cs="Times New Roman"/>
          <w:szCs w:val="21"/>
        </w:rPr>
        <w:t>5.5</w:t>
      </w:r>
      <w:r w:rsidR="004E7241" w:rsidRPr="005B07FE">
        <w:rPr>
          <w:rFonts w:ascii="Times New Roman" w:eastAsia="宋体" w:hAnsi="Times New Roman" w:cs="Times New Roman"/>
          <w:szCs w:val="21"/>
        </w:rPr>
        <w:t>～</w:t>
      </w:r>
      <w:r w:rsidR="004E7241" w:rsidRPr="005B07FE">
        <w:rPr>
          <w:rFonts w:ascii="Times New Roman" w:eastAsia="宋体" w:hAnsi="Times New Roman" w:cs="Times New Roman"/>
          <w:szCs w:val="21"/>
        </w:rPr>
        <w:t>11.1</w:t>
      </w:r>
      <w:r w:rsidR="004E7241" w:rsidRPr="005B07FE">
        <w:rPr>
          <w:rFonts w:ascii="宋体" w:eastAsia="宋体" w:hAnsi="宋体"/>
          <w:szCs w:val="21"/>
        </w:rPr>
        <w:t>个月</w:t>
      </w:r>
      <w:r w:rsidR="007D7E52" w:rsidRPr="005B07FE">
        <w:rPr>
          <w:rFonts w:ascii="宋体" w:eastAsia="宋体" w:hAnsi="宋体" w:hint="eastAsia"/>
          <w:szCs w:val="21"/>
        </w:rPr>
        <w:fldChar w:fldCharType="begin"/>
      </w:r>
      <w:r w:rsidR="00B525CC">
        <w:rPr>
          <w:rFonts w:ascii="宋体" w:eastAsia="宋体" w:hAnsi="宋体" w:hint="eastAsia"/>
          <w:szCs w:val="21"/>
        </w:rPr>
        <w:instrText xml:space="preserve"> ADDIN ZOTERO_ITEM CSL_CITATION {"citationID":"59kWAXTS","properties":{"formattedCitation":"\\super [10]\\nosupersub{}","plainCitation":"[10]","noteIndex":0},"citationItems":[{"id":745,"uris":["http://zotero.org/users/14719789/items/JDQYV96M"],"itemData":{"id":745,"type":"article-journal","abstract":"MET-inhibitor and EGFR tyrosine kinase inhibitor (EGFR-TKI) combination therapy could overcome acquired MET-mediated osimertinib resistance. We present the final phase Ib TATTON (NCT02143466) analysis (Part B, n = 138/Part D, n = 42) assessing oral savolitinib 600 mg/300 mg once daily (q.d.) + osimertinib 80 mg q.d. in patients with MET-amplified, EGFR-mutated (EGFRm) advanced non-small cell lung cancer (NSCLC) and progression on prior EGFR-TKI. An acceptable safety profile was observed. In Parts B and D, respectively, objective response rates were 33% to 67% and 62%, and median progression-free survival (PFS) was 5.5 to 11.1 months and 9.0 months. Increased antitumor activity may occur with MET copy number ≥10. EGFRm circulating tumor DNA clearance on treatment predicted longer PFS in patients with detectable baseline ctDNA, while acquired resistance mechanisms to osimertinib + savolitinib were mediated by MET, EGFR, or KRAS alterations.\nSIGNIFICANCE: The savolitinib + osimertinib combination represents a promising therapy in patients with MET-amplified/overexpressed, EGFRm advanced NSCLC with disease progression on a prior EGFR-TKI. Acquired resistance mechanisms to this combination include those via MET, EGFR, and KRAS. On-treatment ctDNA dynamics can predict clinical outcomes and may provide an opportunity to inform earlier decision-making. This article is highlighted in the In This Issue feature, p. 1.","container-title":"Cancer Discovery","DOI":"10.1158/2159-8290.CD-22-0586","ISSN":"2159-8290","issue":"1","journalAbbreviation":"Cancer Discov","language":"eng","page":"98-113","PMID":"36264123","PMCID":"PMC9827108","source":"PubMed","title":"Osimertinib + Savolitinib to Overcome Acquired MET-Mediated Resistance in Epidermal Growth Factor Receptor-Mutated, MET-Amplified Non-Small Cell Lung Cancer: TATTON","title-short":"Osimertinib + Savolitinib to Overcome Acquired MET-Mediated Resistance in Epidermal Growth Factor Receptor-Mutated, MET-Amplified Non-Small Cell Lung Cancer","volume":"13","author":[{"family":"Hartmaier","given":"Ryan J."},{"family":"Markovets","given":"Aleksandra A."},{"family":"Ahn","given":"Myung Ju"},{"family":"Sequist","given":"Lecia V."},{"family":"Han","given":"Ji-Youn"},{"family":"Cho","given":"Byoung Chul"},{"family":"Yu","given":"Helena A."},{"family":"Kim","given":"Sang-We"},{"family":"Yang","given":"James Chih-Hsin"},{"family":"Lee","given":"Jong-Seok"},{"family":"Su","given":"Wu-Chou"},{"family":"Kowalski","given":"Dariusz M."},{"family":"Orlov","given":"Sergey"},{"family":"Ren","given":"Song"},{"family":"Frewer","given":"Paul"},{"family":"Ou","given":"Xiaoling"},{"family":"Cross","given":"Darren A. E."},{"family":"Kurian","given":"Nisha"},{"family":"Cantarini","given":"Mireille"},{"family":"Jänne","given":"Pasi A."}],"issued":{"date-parts":[["2023",1,9]]}}}],"schema":"https://github.com/citation-style-language/schema/raw/master/csl-citation.json"} </w:instrText>
      </w:r>
      <w:r w:rsidR="007D7E52" w:rsidRPr="005B07FE">
        <w:rPr>
          <w:rFonts w:ascii="宋体" w:eastAsia="宋体" w:hAnsi="宋体" w:hint="eastAsia"/>
          <w:szCs w:val="21"/>
        </w:rPr>
        <w:fldChar w:fldCharType="separate"/>
      </w:r>
      <w:r w:rsidR="00B525CC" w:rsidRPr="00B525CC">
        <w:rPr>
          <w:rFonts w:ascii="宋体" w:eastAsia="宋体" w:hAnsi="宋体" w:cs="Times New Roman"/>
          <w:kern w:val="0"/>
          <w:vertAlign w:val="superscript"/>
        </w:rPr>
        <w:t>[10]</w:t>
      </w:r>
      <w:r w:rsidR="007D7E52" w:rsidRPr="005B07FE">
        <w:rPr>
          <w:rFonts w:ascii="宋体" w:eastAsia="宋体" w:hAnsi="宋体" w:hint="eastAsia"/>
          <w:szCs w:val="21"/>
        </w:rPr>
        <w:fldChar w:fldCharType="end"/>
      </w:r>
      <w:r w:rsidR="009B6497" w:rsidRPr="005B07FE">
        <w:rPr>
          <w:rFonts w:ascii="宋体" w:eastAsia="宋体" w:hAnsi="宋体" w:hint="eastAsia"/>
          <w:szCs w:val="21"/>
        </w:rPr>
        <w:t>。</w:t>
      </w:r>
      <w:r w:rsidRPr="007759B0">
        <w:rPr>
          <w:rFonts w:ascii="Times New Roman" w:eastAsia="宋体" w:hAnsi="Times New Roman" w:cs="Times New Roman"/>
          <w:szCs w:val="21"/>
        </w:rPr>
        <w:t>II</w:t>
      </w:r>
      <w:r w:rsidRPr="007759B0">
        <w:rPr>
          <w:rFonts w:ascii="宋体" w:eastAsia="宋体" w:hAnsi="宋体" w:hint="eastAsia"/>
          <w:szCs w:val="21"/>
        </w:rPr>
        <w:t>期</w:t>
      </w:r>
      <w:r w:rsidR="00924D3E" w:rsidRPr="005B07FE">
        <w:rPr>
          <w:rFonts w:ascii="Times New Roman" w:eastAsia="宋体" w:hAnsi="Times New Roman" w:cs="Times New Roman"/>
          <w:szCs w:val="21"/>
        </w:rPr>
        <w:t>SAVANNAH</w:t>
      </w:r>
      <w:r w:rsidR="00924D3E" w:rsidRPr="005B07FE">
        <w:rPr>
          <w:rFonts w:ascii="宋体" w:eastAsia="宋体" w:hAnsi="宋体"/>
          <w:szCs w:val="21"/>
        </w:rPr>
        <w:t>研究进一步证实，在一线奥希替尼进展后且伴</w:t>
      </w:r>
      <w:r w:rsidR="00924D3E" w:rsidRPr="005B07FE">
        <w:rPr>
          <w:rFonts w:ascii="Times New Roman" w:eastAsia="宋体" w:hAnsi="Times New Roman" w:cs="Times New Roman"/>
          <w:szCs w:val="21"/>
        </w:rPr>
        <w:t>MET</w:t>
      </w:r>
      <w:r w:rsidR="00924D3E" w:rsidRPr="005B07FE">
        <w:rPr>
          <w:rFonts w:ascii="宋体" w:eastAsia="宋体" w:hAnsi="宋体"/>
          <w:szCs w:val="21"/>
        </w:rPr>
        <w:t>高表达或扩增的</w:t>
      </w:r>
      <w:r w:rsidR="00A542C7" w:rsidRPr="005B07FE">
        <w:rPr>
          <w:rFonts w:ascii="宋体" w:eastAsia="宋体" w:hAnsi="宋体" w:hint="eastAsia"/>
          <w:szCs w:val="21"/>
        </w:rPr>
        <w:t>患者</w:t>
      </w:r>
      <w:r w:rsidR="00924D3E" w:rsidRPr="005B07FE">
        <w:rPr>
          <w:rFonts w:ascii="宋体" w:eastAsia="宋体" w:hAnsi="宋体"/>
          <w:szCs w:val="21"/>
        </w:rPr>
        <w:t>中，奥希替尼联合赛沃替尼</w:t>
      </w:r>
      <w:r w:rsidR="00B042CD" w:rsidRPr="005B07FE">
        <w:rPr>
          <w:rFonts w:ascii="宋体" w:eastAsia="宋体" w:hAnsi="宋体" w:hint="eastAsia"/>
          <w:szCs w:val="21"/>
        </w:rPr>
        <w:t>确认</w:t>
      </w:r>
      <w:r w:rsidR="00A542C7" w:rsidRPr="005B07FE">
        <w:rPr>
          <w:rFonts w:ascii="Times New Roman" w:eastAsia="宋体" w:hAnsi="Times New Roman" w:cs="Times New Roman" w:hint="eastAsia"/>
          <w:szCs w:val="21"/>
        </w:rPr>
        <w:t>ORR</w:t>
      </w:r>
      <w:r w:rsidR="00A542C7" w:rsidRPr="005B07FE">
        <w:rPr>
          <w:rFonts w:ascii="宋体" w:eastAsia="宋体" w:hAnsi="宋体" w:hint="eastAsia"/>
          <w:szCs w:val="21"/>
        </w:rPr>
        <w:t>为</w:t>
      </w:r>
      <w:r w:rsidR="00B042CD" w:rsidRPr="005B07FE">
        <w:rPr>
          <w:rFonts w:ascii="Times New Roman" w:eastAsia="宋体" w:hAnsi="Times New Roman" w:cs="Times New Roman"/>
          <w:szCs w:val="21"/>
        </w:rPr>
        <w:t>56.3%</w:t>
      </w:r>
      <w:r w:rsidR="0071573B" w:rsidRPr="005B07FE">
        <w:rPr>
          <w:rFonts w:ascii="宋体" w:eastAsia="宋体" w:hAnsi="宋体" w:hint="eastAsia"/>
          <w:szCs w:val="21"/>
        </w:rPr>
        <w:t>，</w:t>
      </w:r>
      <w:r w:rsidR="00E80EA8" w:rsidRPr="00E80EA8">
        <w:rPr>
          <w:rFonts w:ascii="宋体" w:eastAsia="宋体" w:hAnsi="宋体" w:hint="eastAsia"/>
          <w:szCs w:val="21"/>
        </w:rPr>
        <w:t>中位缓解持续时间（</w:t>
      </w:r>
      <w:r w:rsidR="00524E96" w:rsidRPr="00524E96">
        <w:rPr>
          <w:rFonts w:ascii="Times New Roman" w:eastAsia="宋体" w:hAnsi="Times New Roman" w:cs="Times New Roman"/>
          <w:szCs w:val="21"/>
        </w:rPr>
        <w:t>median duration of response</w:t>
      </w:r>
      <w:r w:rsidR="00524E96" w:rsidRPr="00524E96">
        <w:rPr>
          <w:rFonts w:ascii="Times New Roman" w:eastAsia="宋体" w:hAnsi="Times New Roman" w:cs="Times New Roman"/>
          <w:szCs w:val="21"/>
        </w:rPr>
        <w:t>，</w:t>
      </w:r>
      <w:r w:rsidR="00E80EA8" w:rsidRPr="00E80EA8">
        <w:rPr>
          <w:rFonts w:ascii="Times New Roman" w:eastAsia="宋体" w:hAnsi="Times New Roman" w:cs="Times New Roman"/>
          <w:szCs w:val="21"/>
        </w:rPr>
        <w:t>mDOR</w:t>
      </w:r>
      <w:r w:rsidR="00E80EA8" w:rsidRPr="00E80EA8">
        <w:rPr>
          <w:rFonts w:ascii="Times New Roman" w:eastAsia="宋体" w:hAnsi="Times New Roman" w:cs="Times New Roman"/>
          <w:szCs w:val="21"/>
        </w:rPr>
        <w:t>）为</w:t>
      </w:r>
      <w:r w:rsidR="00E80EA8" w:rsidRPr="00E80EA8">
        <w:rPr>
          <w:rFonts w:ascii="Times New Roman" w:eastAsia="宋体" w:hAnsi="Times New Roman" w:cs="Times New Roman"/>
          <w:szCs w:val="21"/>
        </w:rPr>
        <w:t>7.1</w:t>
      </w:r>
      <w:r w:rsidR="00E80EA8" w:rsidRPr="00E80EA8">
        <w:rPr>
          <w:rFonts w:ascii="Times New Roman" w:eastAsia="宋体" w:hAnsi="Times New Roman" w:cs="Times New Roman"/>
          <w:szCs w:val="21"/>
        </w:rPr>
        <w:t>个月</w:t>
      </w:r>
      <w:r w:rsidR="00E80EA8" w:rsidRPr="00E80EA8">
        <w:rPr>
          <w:rFonts w:ascii="宋体" w:eastAsia="宋体" w:hAnsi="宋体" w:hint="eastAsia"/>
          <w:szCs w:val="21"/>
        </w:rPr>
        <w:t>，</w:t>
      </w:r>
      <w:r w:rsidR="00A542C7" w:rsidRPr="005B07FE">
        <w:rPr>
          <w:rFonts w:ascii="Times New Roman" w:eastAsia="宋体" w:hAnsi="Times New Roman" w:cs="Times New Roman" w:hint="eastAsia"/>
          <w:szCs w:val="21"/>
        </w:rPr>
        <w:t>mPFS</w:t>
      </w:r>
      <w:r w:rsidR="00B042CD" w:rsidRPr="005B07FE">
        <w:rPr>
          <w:rFonts w:ascii="宋体" w:eastAsia="宋体" w:hAnsi="宋体" w:hint="eastAsia"/>
          <w:szCs w:val="21"/>
        </w:rPr>
        <w:t>为</w:t>
      </w:r>
      <w:r w:rsidR="00B042CD" w:rsidRPr="005B07FE">
        <w:rPr>
          <w:rFonts w:ascii="Times New Roman" w:eastAsia="宋体" w:hAnsi="Times New Roman" w:cs="Times New Roman"/>
          <w:szCs w:val="21"/>
        </w:rPr>
        <w:t>7.4</w:t>
      </w:r>
      <w:r w:rsidR="00B042CD" w:rsidRPr="005B07FE">
        <w:rPr>
          <w:rFonts w:ascii="宋体" w:eastAsia="宋体" w:hAnsi="宋体" w:hint="eastAsia"/>
          <w:szCs w:val="21"/>
        </w:rPr>
        <w:t>个月</w:t>
      </w:r>
      <w:r w:rsidR="00B042CD" w:rsidRPr="005B07FE">
        <w:rPr>
          <w:rFonts w:ascii="宋体" w:eastAsia="宋体" w:hAnsi="宋体" w:hint="eastAsia"/>
          <w:szCs w:val="21"/>
        </w:rPr>
        <w:fldChar w:fldCharType="begin"/>
      </w:r>
      <w:r w:rsidR="00B525CC">
        <w:rPr>
          <w:rFonts w:ascii="宋体" w:eastAsia="宋体" w:hAnsi="宋体" w:hint="eastAsia"/>
          <w:szCs w:val="21"/>
        </w:rPr>
        <w:instrText xml:space="preserve"> ADDIN ZOTERO_ITEM CSL_CITATION {"citationID":"hops4bYv","properties":{"formattedCitation":"\\super [11]\\nosupersub{}","plainCitation":"[11]","noteIndex":0},"citationItems":[{"id":748,"uris":["http://zotero.org/users/14719789/items/WU4Q5E68"],"itemData":{"id":748,"type":"article-journal","abstract":"BACKGROUND: MET-based resistance following osimertinib treatment for epidermal growth factor receptor (EGFR)-mutated advanced non-small cell lung cancer (NSCLC) is common. We report the primary analysis of the phase II SAVANNAH study (NCT03778229) evaluating savolitinib plus osimertinib in this setting.\nPATIENTS AND METHODS: Patients had EGFR-mutated, advanced NSCLC with MET overexpression and/or amplification. MET cut-offs were initially MET immunohistochemistry (IHC)3+/≥50% (3+ intensity in ≥50% of tumor cells) and/or FISH5+ (≥5 MET gene copies or MET/chromosome 7 centromere ratio ≥2), and increased to MET IHC3+/≥90% and/or FISH10+ after a preliminary analysis. Patients received oral savolitinib [300 mg twice daily (b.i.d.) or once daily (o.d.), or 600 mg o.d.] plus osimertinib 80 mg o.d., or savolitinib 300 mg b.i.d. plus placebo. A primary endpoint was investigator-assessed objective response rate (ORR) in patients with progression on first-line osimertinib and MET IHC3+/≥90% and/or FISH10+ status receiving savolitinib 300 mg b.i.d. plus osimertinib (primary efficacy population). Safety was analyzed in all patients receiving savolitinib plus osimertinib.\nRESULTS: Of the 365 patients treated, 341 received savolitinib plus osimertinib, with 80 of these included in the primary efficacy population. Investigator-assessed confirmed ORR in the primary efficacy population was 56.3% [95% confidence interval (CI) 44.7% to 67.3%]; the median duration of response (mDoR) was 7.1 months (95% CI 5.6-9.6 months); the median progression-free survival (PFS) was 7.4 months (95% CI 5.5-7.6 months). Blinded independent central review was consistent: confirmed ORR 55.0% (95% CI 43.5% to 66.2%); mDoR 9.9 months (95% CI 6.0-13.7 months); median PFS 7.5 months (95% CI 6.4-11.3 months). The most common any grade adverse events in patients receiving savolitinib plus osimertinib were peripheral edema (46.0%), nausea (40.5%), and diarrhea (23.2%).\nCONCLUSIONS: Savolitinib 300 mg b.i.d. plus osimertinib demonstrated high, clinically meaningful and durable responses in patients with EGFR-mutated, advanced NSCLC with MET IHC3+/≥90% and/or FISH10+ status following progression on first-line osimertinib. The combination was well tolerated and may provide a new oral targeted treatment approach in this setting.","container-title":"Annals of Oncology: Official Journal of the European Society for Medical Oncology","DOI":"10.1016/j.annonc.2025.04.003","ISSN":"1569-8041","issue":"8","journalAbbreviation":"Ann Oncol","language":"eng","note":"TLDR: The savolitinib plus osimertinib combination was well tolerated and may provide a new oral targeted treatment approach in this setting and demonstrate high, clinically meaningful and durable responses in patients with EGFR-mutated, advanced NSCLC with MET IHC3+/≥90% and/or FISH10+ status following progression on first-line osimertinib.","page":"920-933","PMID":"40461383","source":"PubMed","title":"Savolitinib plus osimertinib in epidermal growth factor receptor (EGFR)-mutated advanced non-small cell lung cancer with MET overexpression and/or amplification following disease progression on osimertinib: primary results from the phase II SAVANNAH study","title-short":"Savolitinib plus osimertinib in epidermal growth factor receptor (EGFR)-mutated advanced non-small cell lung cancer with MET overexpression and/or amplification following disease progression on osimertinib","volume":"36","author":[{"family":"Marinis","given":"F.","non-dropping-particle":"de"},{"family":"Kim","given":"T. M."},{"family":"Bonanno","given":"L."},{"family":"Cheng","given":"S."},{"family":"Kim","given":"S.-W."},{"family":"Tiseo","given":"M."},{"family":"Chu","given":"Q."},{"family":"Proto","given":"C."},{"family":"Sacher","given":"A."},{"family":"Luo","given":"Y.-H."},{"family":"Novello","given":"S."},{"family":"Hao","given":"D."},{"family":"Baik","given":"C."},{"family":"Bazhenova","given":"L."},{"family":"Lee","given":"J. S."},{"family":"Cho","given":"B. C."},{"family":"Cadranel","given":"J."},{"family":"Diep","given":"T. B."},{"family":"Metro","given":"G."},{"family":"Narayanan","given":"P."},{"family":"Yoneshima","given":"Y."},{"family":"Castro Carpeño","given":"J.","non-dropping-particle":"de"},{"family":"Baldotto","given":"C."},{"family":"Nyhus","given":"C."},{"family":"Yang","given":"J. C.-H."},{"family":"Sequist","given":"L. V."},{"family":"Levy","given":"B."},{"family":"Hartmaier","given":"R."},{"family":"Igwegbe","given":"I."},{"family":"Poole","given":"L."},{"family":"Xu","given":"W."},{"family":"Ahn","given":"M.-J."}],"issued":{"date-parts":[["2025",8]]}}}],"schema":"https://github.com/citation-style-language/schema/raw/master/csl-citation.json"} </w:instrText>
      </w:r>
      <w:r w:rsidR="00B042CD" w:rsidRPr="005B07FE">
        <w:rPr>
          <w:rFonts w:ascii="宋体" w:eastAsia="宋体" w:hAnsi="宋体" w:hint="eastAsia"/>
          <w:szCs w:val="21"/>
        </w:rPr>
        <w:fldChar w:fldCharType="separate"/>
      </w:r>
      <w:r w:rsidR="00B525CC" w:rsidRPr="00B525CC">
        <w:rPr>
          <w:rFonts w:ascii="宋体" w:eastAsia="宋体" w:hAnsi="宋体" w:cs="Times New Roman"/>
          <w:kern w:val="0"/>
          <w:vertAlign w:val="superscript"/>
        </w:rPr>
        <w:t>[11]</w:t>
      </w:r>
      <w:r w:rsidR="00B042CD" w:rsidRPr="005B07FE">
        <w:rPr>
          <w:rFonts w:ascii="宋体" w:eastAsia="宋体" w:hAnsi="宋体" w:hint="eastAsia"/>
          <w:szCs w:val="21"/>
        </w:rPr>
        <w:fldChar w:fldCharType="end"/>
      </w:r>
      <w:r w:rsidR="009B6497">
        <w:rPr>
          <w:rFonts w:ascii="宋体" w:eastAsia="宋体" w:hAnsi="宋体" w:hint="eastAsia"/>
          <w:szCs w:val="21"/>
        </w:rPr>
        <w:t>。</w:t>
      </w:r>
      <w:r w:rsidR="00E80EA8" w:rsidRPr="00E80EA8">
        <w:rPr>
          <w:rFonts w:ascii="Times New Roman" w:eastAsia="宋体" w:hAnsi="Times New Roman" w:cs="Times New Roman"/>
          <w:szCs w:val="21"/>
        </w:rPr>
        <w:t>III</w:t>
      </w:r>
      <w:r w:rsidR="00E80EA8" w:rsidRPr="00E80EA8">
        <w:rPr>
          <w:rFonts w:ascii="Times New Roman" w:eastAsia="宋体" w:hAnsi="Times New Roman" w:cs="Times New Roman"/>
          <w:szCs w:val="21"/>
        </w:rPr>
        <w:t>期</w:t>
      </w:r>
      <w:r w:rsidR="009824C8" w:rsidRPr="009824C8">
        <w:rPr>
          <w:rFonts w:ascii="Times New Roman" w:eastAsia="宋体" w:hAnsi="Times New Roman" w:cs="Times New Roman" w:hint="eastAsia"/>
          <w:szCs w:val="21"/>
        </w:rPr>
        <w:t>SACHI</w:t>
      </w:r>
      <w:r w:rsidR="009824C8" w:rsidRPr="009824C8">
        <w:rPr>
          <w:rFonts w:ascii="Times New Roman" w:eastAsia="宋体" w:hAnsi="Times New Roman" w:cs="Times New Roman" w:hint="eastAsia"/>
          <w:szCs w:val="21"/>
        </w:rPr>
        <w:t>研究</w:t>
      </w:r>
      <w:r w:rsidR="00E80EA8" w:rsidRPr="00E80EA8">
        <w:rPr>
          <w:rFonts w:ascii="Times New Roman" w:eastAsia="宋体" w:hAnsi="Times New Roman" w:cs="Times New Roman" w:hint="eastAsia"/>
          <w:szCs w:val="21"/>
        </w:rPr>
        <w:t>则进一步提供了证据，赛沃替尼联合奥希替尼较含铂培美曲塞化疗显著延长无进展生存期，意向治疗人群</w:t>
      </w:r>
      <w:r w:rsidR="00E80EA8" w:rsidRPr="00E80EA8">
        <w:rPr>
          <w:rFonts w:ascii="Times New Roman" w:eastAsia="宋体" w:hAnsi="Times New Roman" w:cs="Times New Roman" w:hint="eastAsia"/>
          <w:szCs w:val="21"/>
        </w:rPr>
        <w:t>mPFS</w:t>
      </w:r>
      <w:r w:rsidR="00E80EA8" w:rsidRPr="00E80EA8">
        <w:rPr>
          <w:rFonts w:ascii="Times New Roman" w:eastAsia="宋体" w:hAnsi="Times New Roman" w:cs="Times New Roman" w:hint="eastAsia"/>
          <w:szCs w:val="21"/>
        </w:rPr>
        <w:t>分别为</w:t>
      </w:r>
      <w:r w:rsidR="00E80EA8" w:rsidRPr="00E80EA8">
        <w:rPr>
          <w:rFonts w:ascii="Times New Roman" w:eastAsia="宋体" w:hAnsi="Times New Roman" w:cs="Times New Roman" w:hint="eastAsia"/>
          <w:szCs w:val="21"/>
        </w:rPr>
        <w:t>8.2</w:t>
      </w:r>
      <w:r w:rsidR="00E80EA8" w:rsidRPr="00E80EA8">
        <w:rPr>
          <w:rFonts w:ascii="Times New Roman" w:eastAsia="宋体" w:hAnsi="Times New Roman" w:cs="Times New Roman" w:hint="eastAsia"/>
          <w:szCs w:val="21"/>
        </w:rPr>
        <w:t>个月和</w:t>
      </w:r>
      <w:r w:rsidR="00E80EA8" w:rsidRPr="00E80EA8">
        <w:rPr>
          <w:rFonts w:ascii="Times New Roman" w:eastAsia="宋体" w:hAnsi="Times New Roman" w:cs="Times New Roman" w:hint="eastAsia"/>
          <w:szCs w:val="21"/>
        </w:rPr>
        <w:t>4.5</w:t>
      </w:r>
      <w:r w:rsidR="00E80EA8" w:rsidRPr="00E80EA8">
        <w:rPr>
          <w:rFonts w:ascii="Times New Roman" w:eastAsia="宋体" w:hAnsi="Times New Roman" w:cs="Times New Roman" w:hint="eastAsia"/>
          <w:szCs w:val="21"/>
        </w:rPr>
        <w:t>个月</w:t>
      </w:r>
      <w:r w:rsidR="00A66242">
        <w:rPr>
          <w:rFonts w:ascii="宋体" w:eastAsia="宋体" w:hAnsi="宋体" w:hint="eastAsia"/>
          <w:szCs w:val="21"/>
        </w:rPr>
        <w:fldChar w:fldCharType="begin"/>
      </w:r>
      <w:r w:rsidR="00B525CC">
        <w:rPr>
          <w:rFonts w:ascii="宋体" w:eastAsia="宋体" w:hAnsi="宋体" w:hint="eastAsia"/>
          <w:szCs w:val="21"/>
        </w:rPr>
        <w:instrText xml:space="preserve"> ADDIN ZOTERO_ITEM CSL_CITATION {"citationID":"CmPR6e19","properties":{"formattedCitation":"\\super [12]\\nosupersub{}","plainCitation":"[12]","noteIndex":0},"citationItems":[{"id":881,"uris":["http://zotero.org/users/14719789/items/YEAZISYV"],"itemData":{"id":881,"type":"article-journal","abstract":"BACKGROUND: Savolitinib combined with osimertinib is a potential novel therapy for patients with EGFR mutation-positive non-small-cell lung cancer (NSCLC) harbouring MET amplification after progression on EGFR tyrosine kinase inhibitor (TKI) therapy. We aimed to evaluate the efficacy and safety of savolitinib-osimertinib versus standard of care platinum-based doublet chemotherapy in this patient population.\nMETHODS: SACHI was a multicentre, randomised, active-controlled, open-label, phase 3 trial conducted across 68 Chinese hospitals. Eligible adults with locally advanced or metastatic EGFR mutation-positive NSCLC and MET amplification after EGFR TKI failure were randomly assigned (1:1) to once daily oral savolitinib-osimertinib or intravenous chemotherapy (pemetrexed plus either cisplatin or carboplatin), both in 21-day cycles. Central randomisation was implemented through an interactive web-response system with stratification based on the presence of brain metastases, previous exposure to third-generation EGFR TKIs, and EGFR mutation subtype, using a mixed block-size methodology. The primary endpoint, investigator-assessed progression-free survival (PFS) per Response Evaluation Criteria in Solid Tumours version 1.1, was tested using a hierarchical procedure: first in the third-generation EGFR TKI-naive population, and if positive, the intention-to-treat (ITT) population. Safety analysis was performed in all patients who received at least one dose of the study treatment. Interim analysis data cutoff was Aug 30, 2024. This study is registered with ClinicalTrials.gov (NCT05015608) and is complete.\nFINDINGS: Between Oct 15, 2021, and Aug 30, 2024, 211 patients were enrolled, 106 were randomly assigned to savolitinib-osimertinib and 105 were randomly assigned to chemotherapy, including 137 (65%) of 211 who were third-generation EGFR TKI-naive (69 in the savolitinib-osimertinib group; 68 in the chemotherapy group). In 106 patients in the savolitinib-osimertinib group, the median age was 59·4 years (IQR 54·3-65·8), 62 (58%) were female, and 44 (42%) were male. In 105 patients in the chemotherapy group, the median age was 61·9 years (IQR 56·3-69·1), 55 (52%) were female, and 50 (48%) were male. All participants were Asian. Median PFS was significantly prolonged with savolitinib-osimertinib versus chemotherapy in the third-generation EGFR TKI-naive (9·8 months [95% CI 6·9-12·5] vs 5·4 months [4·2-6·0]; hazard ratio 0·34 [0·21-0·56]; p&lt;0·0001) and ITT populations (8·2 months [6·9-11·2] vs 4·5 months [3·0-5·4]; 0·34 [0·23-0·49]; p&lt;0·0001). Grade 3 or worse treatment-emergent adverse events occurred in the same proportion of patients in both groups who received the study drugs (60 [57%] of 106 patients in the savolitinib-osimertinib group and 55 [57%] of 96 patients in the chemotherapy group).\nINTERPRETATION: The savolitinib-osimertinib combination improved PFS versus chemotherapy in patients with EGFR mutation-positive, MET-amplified NSCLC that had progressed on EGFR TKI therapy, while maintaining a favourable tolerability profile. This regimen offers a potential oral treatment option for this biomarker-selected population.\nFUNDING: HUTCHMED and AstraZeneca.","container-title":"Lancet","DOI":"10.1016/S0140-6736(25)01811-2","ISSN":"1474-547X","issue":"10526","journalAbbreviation":"Lancet","language":"eng","note":"TLDR: The savolitinib-osimertinib combination improved PFS versus chemotherapy in patients with EGFR mutation-positive, MET-amplified NSCLC that had progressed on EGFR TKI therapy, while maintaining a favourable tolerability profile.","page":"375-387","PMID":"41544643","publisher-place":"London, England","source":"PubMed","title":"Savolitinib plus osimertinib versus chemotherapy for advanced, EGFR mutation-positive, MET-amplified non-small-cell lung cancer in China (SACHI): interim analysis of a multicentre, open-label, phase 3 randomised controlled trial","title-short":"Savolitinib plus osimertinib versus chemotherapy for advanced, EGFR mutation-positive, MET-amplified non-small-cell lung cancer in China (SACHI)","volume":"407","author":[{"family":"Lu","given":"Shun"},{"family":"Wang","given":"Jie"},{"family":"Yang","given":"Nong"},{"family":"Lv","given":"Dongqing"},{"family":"Chen","given":"Lijuan"},{"family":"Wu","given":"Lin"},{"family":"Li","given":"Xingya"},{"family":"Sun","given":"Longhua"},{"family":"Yu","given":"Yongfeng"},{"family":"Jin","given":"Bo"},{"family":"Yang","given":"Lin"},{"family":"Guo","given":"Yubiao"},{"family":"Xu","given":"Haipeng"},{"family":"Yi","given":"Tienan"},{"family":"Zeng","given":"Aiping"},{"family":"Dong","given":"Xiaorong"},{"family":"Chen","given":"Jianhua"},{"family":"Wang","given":"Ziping"},{"family":"Niu","given":"Hongrui"},{"family":"Cheng","given":"Ying"},{"family":"Pan","given":"Pinhua"},{"family":"Deng","given":"Pengbo"},{"family":"Pan","given":"Hongming"},{"family":"Min","given":"Xuhong"},{"family":"Bai","given":"Jun"},{"family":"Liu","given":"Laiyu"},{"family":"Zhang","given":"Tongmei"},{"family":"Li","given":"Juan"},{"family":"Fan","given":"Songhua"},{"family":"Shi","given":"Michael M."},{"family":"Mok","given":"Tony"},{"family":"Su","given":"Weiguo"},{"literal":"SACHI Study Group"}],"issued":{"date-parts":[["2026",1,24]]}}}],"schema":"https://github.com/citation-style-language/schema/raw/master/csl-citation.json"} </w:instrText>
      </w:r>
      <w:r w:rsidR="00A66242">
        <w:rPr>
          <w:rFonts w:ascii="宋体" w:eastAsia="宋体" w:hAnsi="宋体" w:hint="eastAsia"/>
          <w:szCs w:val="21"/>
        </w:rPr>
        <w:fldChar w:fldCharType="separate"/>
      </w:r>
      <w:r w:rsidR="00B525CC" w:rsidRPr="00B525CC">
        <w:rPr>
          <w:rFonts w:ascii="宋体" w:eastAsia="宋体" w:hAnsi="宋体" w:cs="Times New Roman"/>
          <w:kern w:val="0"/>
          <w:vertAlign w:val="superscript"/>
        </w:rPr>
        <w:t>[12]</w:t>
      </w:r>
      <w:r w:rsidR="00A66242">
        <w:rPr>
          <w:rFonts w:ascii="宋体" w:eastAsia="宋体" w:hAnsi="宋体" w:hint="eastAsia"/>
          <w:szCs w:val="21"/>
        </w:rPr>
        <w:fldChar w:fldCharType="end"/>
      </w:r>
      <w:r w:rsidR="00924D3E" w:rsidRPr="00924D3E">
        <w:rPr>
          <w:rFonts w:ascii="宋体" w:eastAsia="宋体" w:hAnsi="宋体"/>
          <w:szCs w:val="21"/>
        </w:rPr>
        <w:t>。</w:t>
      </w:r>
      <w:r w:rsidR="0071573B" w:rsidRPr="005B07FE">
        <w:rPr>
          <w:rFonts w:ascii="宋体" w:eastAsia="宋体" w:hAnsi="宋体" w:hint="eastAsia"/>
          <w:szCs w:val="21"/>
        </w:rPr>
        <w:t>此外</w:t>
      </w:r>
      <w:r w:rsidR="00924D3E" w:rsidRPr="00BF0F0B">
        <w:rPr>
          <w:rFonts w:ascii="Times New Roman" w:eastAsia="宋体" w:hAnsi="Times New Roman" w:cs="Times New Roman"/>
          <w:szCs w:val="21"/>
        </w:rPr>
        <w:t>，</w:t>
      </w:r>
      <w:r w:rsidR="00BF0F0B" w:rsidRPr="00BF0F0B">
        <w:rPr>
          <w:rFonts w:ascii="Times New Roman" w:eastAsia="宋体" w:hAnsi="Times New Roman" w:cs="Times New Roman"/>
          <w:szCs w:val="21"/>
        </w:rPr>
        <w:t>II</w:t>
      </w:r>
      <w:r w:rsidR="00BF0F0B" w:rsidRPr="00BF0F0B">
        <w:rPr>
          <w:rFonts w:ascii="宋体" w:eastAsia="宋体" w:hAnsi="宋体" w:hint="eastAsia"/>
          <w:szCs w:val="21"/>
        </w:rPr>
        <w:t>期</w:t>
      </w:r>
      <w:r w:rsidR="00924D3E" w:rsidRPr="005B07FE">
        <w:rPr>
          <w:rFonts w:ascii="Times New Roman" w:eastAsia="宋体" w:hAnsi="Times New Roman" w:cs="Times New Roman"/>
          <w:szCs w:val="21"/>
        </w:rPr>
        <w:t>INSIGHT</w:t>
      </w:r>
      <w:r w:rsidR="00924D3E" w:rsidRPr="005B07FE">
        <w:rPr>
          <w:rFonts w:ascii="宋体" w:eastAsia="宋体" w:hAnsi="宋体"/>
          <w:szCs w:val="21"/>
        </w:rPr>
        <w:t xml:space="preserve"> 2研究显示，在一线奥希替尼耐药后经中心</w:t>
      </w:r>
      <w:r w:rsidR="00524E96" w:rsidRPr="00524E96">
        <w:rPr>
          <w:rFonts w:ascii="Times New Roman" w:eastAsia="宋体" w:hAnsi="Times New Roman" w:cs="Times New Roman" w:hint="eastAsia"/>
          <w:szCs w:val="21"/>
        </w:rPr>
        <w:t>荧光原位杂交（</w:t>
      </w:r>
      <w:r w:rsidR="00524E96" w:rsidRPr="00524E96">
        <w:rPr>
          <w:rFonts w:ascii="Times New Roman" w:eastAsia="宋体" w:hAnsi="Times New Roman" w:cs="Times New Roman"/>
          <w:szCs w:val="21"/>
        </w:rPr>
        <w:t>fluorescence in situ hybridization</w:t>
      </w:r>
      <w:r w:rsidR="00524E96" w:rsidRPr="00524E96">
        <w:rPr>
          <w:rFonts w:ascii="Times New Roman" w:eastAsia="宋体" w:hAnsi="Times New Roman" w:cs="Times New Roman"/>
          <w:szCs w:val="21"/>
        </w:rPr>
        <w:t>，</w:t>
      </w:r>
      <w:r w:rsidR="00524E96" w:rsidRPr="00524E96">
        <w:rPr>
          <w:rFonts w:ascii="Times New Roman" w:eastAsia="宋体" w:hAnsi="Times New Roman" w:cs="Times New Roman" w:hint="eastAsia"/>
          <w:szCs w:val="21"/>
        </w:rPr>
        <w:t>FISH</w:t>
      </w:r>
      <w:r w:rsidR="00524E96" w:rsidRPr="00524E96">
        <w:rPr>
          <w:rFonts w:ascii="Times New Roman" w:eastAsia="宋体" w:hAnsi="Times New Roman" w:cs="Times New Roman" w:hint="eastAsia"/>
          <w:szCs w:val="21"/>
        </w:rPr>
        <w:t>）</w:t>
      </w:r>
      <w:r w:rsidR="00924D3E" w:rsidRPr="005B07FE">
        <w:rPr>
          <w:rFonts w:ascii="宋体" w:eastAsia="宋体" w:hAnsi="宋体"/>
          <w:szCs w:val="21"/>
        </w:rPr>
        <w:t>证实</w:t>
      </w:r>
      <w:r w:rsidR="00924D3E" w:rsidRPr="008D12C3">
        <w:rPr>
          <w:rFonts w:ascii="Times New Roman" w:eastAsia="宋体" w:hAnsi="Times New Roman" w:cs="Times New Roman"/>
          <w:i/>
          <w:iCs/>
          <w:szCs w:val="21"/>
        </w:rPr>
        <w:t>MET</w:t>
      </w:r>
      <w:r w:rsidR="00924D3E" w:rsidRPr="005B07FE">
        <w:rPr>
          <w:rFonts w:ascii="宋体" w:eastAsia="宋体" w:hAnsi="宋体"/>
          <w:szCs w:val="21"/>
        </w:rPr>
        <w:t>扩增的</w:t>
      </w:r>
      <w:r w:rsidR="00924D3E" w:rsidRPr="00E203CA">
        <w:rPr>
          <w:rFonts w:ascii="Times New Roman" w:eastAsia="宋体" w:hAnsi="Times New Roman" w:cs="Times New Roman"/>
          <w:i/>
          <w:iCs/>
          <w:szCs w:val="21"/>
        </w:rPr>
        <w:t>EGFR</w:t>
      </w:r>
      <w:r w:rsidR="00924D3E" w:rsidRPr="005B07FE">
        <w:rPr>
          <w:rFonts w:ascii="宋体" w:eastAsia="宋体" w:hAnsi="宋体"/>
          <w:szCs w:val="21"/>
        </w:rPr>
        <w:t>突变晚期</w:t>
      </w:r>
      <w:r w:rsidR="00924D3E" w:rsidRPr="005B07FE">
        <w:rPr>
          <w:rFonts w:ascii="Times New Roman" w:eastAsia="宋体" w:hAnsi="Times New Roman" w:cs="Times New Roman"/>
          <w:szCs w:val="21"/>
        </w:rPr>
        <w:t>NSCLC</w:t>
      </w:r>
      <w:r w:rsidR="00924D3E" w:rsidRPr="005B07FE">
        <w:rPr>
          <w:rFonts w:ascii="宋体" w:eastAsia="宋体" w:hAnsi="宋体"/>
          <w:szCs w:val="21"/>
        </w:rPr>
        <w:t>患者中</w:t>
      </w:r>
      <w:r w:rsidR="00F36EDA" w:rsidRPr="005B07FE">
        <w:rPr>
          <w:rFonts w:ascii="宋体" w:eastAsia="宋体" w:hAnsi="宋体" w:hint="eastAsia"/>
          <w:szCs w:val="21"/>
        </w:rPr>
        <w:t>，替泊替尼联合奥希替尼的</w:t>
      </w:r>
      <w:r w:rsidR="00E41FC5" w:rsidRPr="005B07FE">
        <w:rPr>
          <w:rFonts w:ascii="宋体" w:eastAsia="宋体" w:hAnsi="宋体" w:hint="eastAsia"/>
          <w:szCs w:val="21"/>
        </w:rPr>
        <w:t>确认</w:t>
      </w:r>
      <w:r w:rsidR="00E41FC5" w:rsidRPr="005B07FE">
        <w:rPr>
          <w:rFonts w:ascii="Times New Roman" w:eastAsia="宋体" w:hAnsi="Times New Roman" w:cs="Times New Roman"/>
          <w:szCs w:val="21"/>
        </w:rPr>
        <w:t>ORR</w:t>
      </w:r>
      <w:r w:rsidR="00E41FC5" w:rsidRPr="005B07FE">
        <w:rPr>
          <w:rFonts w:ascii="宋体" w:eastAsia="宋体" w:hAnsi="宋体" w:hint="eastAsia"/>
          <w:szCs w:val="21"/>
        </w:rPr>
        <w:t>为50.0%，</w:t>
      </w:r>
      <w:r w:rsidR="00F36EDA" w:rsidRPr="005B07FE">
        <w:rPr>
          <w:rFonts w:ascii="宋体" w:eastAsia="宋体" w:hAnsi="宋体"/>
          <w:szCs w:val="21"/>
        </w:rPr>
        <w:t>中位缓解持续时间</w:t>
      </w:r>
      <w:r w:rsidR="00F36EDA" w:rsidRPr="005B07FE">
        <w:rPr>
          <w:rFonts w:ascii="Times New Roman" w:eastAsia="宋体" w:hAnsi="Times New Roman" w:cs="Times New Roman" w:hint="eastAsia"/>
          <w:szCs w:val="21"/>
        </w:rPr>
        <w:t>（</w:t>
      </w:r>
      <w:r w:rsidR="00524E96">
        <w:rPr>
          <w:rFonts w:ascii="Times New Roman" w:eastAsia="宋体" w:hAnsi="Times New Roman" w:cs="Times New Roman" w:hint="eastAsia"/>
          <w:szCs w:val="21"/>
        </w:rPr>
        <w:t>m</w:t>
      </w:r>
      <w:r w:rsidR="00F36EDA" w:rsidRPr="005B07FE">
        <w:rPr>
          <w:rFonts w:ascii="Times New Roman" w:eastAsia="宋体" w:hAnsi="Times New Roman" w:cs="Times New Roman" w:hint="eastAsia"/>
          <w:szCs w:val="21"/>
        </w:rPr>
        <w:t>DOR</w:t>
      </w:r>
      <w:r w:rsidR="00F36EDA" w:rsidRPr="005B07FE">
        <w:rPr>
          <w:rFonts w:ascii="Times New Roman" w:eastAsia="宋体" w:hAnsi="Times New Roman" w:cs="Times New Roman" w:hint="eastAsia"/>
          <w:szCs w:val="21"/>
        </w:rPr>
        <w:t>）为</w:t>
      </w:r>
      <w:r w:rsidR="00E41FC5" w:rsidRPr="005B07FE">
        <w:rPr>
          <w:rFonts w:ascii="宋体" w:eastAsia="宋体" w:hAnsi="宋体" w:hint="eastAsia"/>
          <w:szCs w:val="21"/>
        </w:rPr>
        <w:t>8.5个月，</w:t>
      </w:r>
      <w:r w:rsidR="00F36EDA" w:rsidRPr="005B07FE">
        <w:rPr>
          <w:rFonts w:ascii="Times New Roman" w:eastAsia="宋体" w:hAnsi="Times New Roman" w:cs="Times New Roman"/>
          <w:szCs w:val="21"/>
        </w:rPr>
        <w:t>m</w:t>
      </w:r>
      <w:r w:rsidR="00E41FC5" w:rsidRPr="005B07FE">
        <w:rPr>
          <w:rFonts w:ascii="Times New Roman" w:eastAsia="宋体" w:hAnsi="Times New Roman" w:cs="Times New Roman"/>
          <w:szCs w:val="21"/>
        </w:rPr>
        <w:t>PFS</w:t>
      </w:r>
      <w:r w:rsidR="006641DC">
        <w:rPr>
          <w:rFonts w:ascii="宋体" w:eastAsia="宋体" w:hAnsi="宋体" w:hint="eastAsia"/>
          <w:szCs w:val="21"/>
        </w:rPr>
        <w:t>为</w:t>
      </w:r>
      <w:r w:rsidR="00E41FC5" w:rsidRPr="005B07FE">
        <w:rPr>
          <w:rFonts w:ascii="宋体" w:eastAsia="宋体" w:hAnsi="宋体" w:hint="eastAsia"/>
          <w:szCs w:val="21"/>
        </w:rPr>
        <w:t>5.6个月，</w:t>
      </w:r>
      <w:r w:rsidR="00F36EDA" w:rsidRPr="005B07FE">
        <w:rPr>
          <w:rFonts w:ascii="宋体" w:eastAsia="宋体" w:hAnsi="宋体" w:hint="eastAsia"/>
          <w:szCs w:val="21"/>
        </w:rPr>
        <w:t>中位总生存期</w:t>
      </w:r>
      <w:r w:rsidR="00F36EDA" w:rsidRPr="005B07FE">
        <w:rPr>
          <w:rFonts w:ascii="Times New Roman" w:eastAsia="宋体" w:hAnsi="Times New Roman" w:cs="Times New Roman"/>
          <w:szCs w:val="21"/>
        </w:rPr>
        <w:t>（</w:t>
      </w:r>
      <w:r w:rsidR="00524E96" w:rsidRPr="00524E96">
        <w:rPr>
          <w:rFonts w:ascii="Times New Roman" w:eastAsia="宋体" w:hAnsi="Times New Roman" w:cs="Times New Roman" w:hint="eastAsia"/>
          <w:szCs w:val="21"/>
        </w:rPr>
        <w:t>median overall survival</w:t>
      </w:r>
      <w:r w:rsidR="00524E96" w:rsidRPr="00524E96">
        <w:rPr>
          <w:rFonts w:ascii="Times New Roman" w:eastAsia="宋体" w:hAnsi="Times New Roman" w:cs="Times New Roman" w:hint="eastAsia"/>
          <w:szCs w:val="21"/>
        </w:rPr>
        <w:t>，</w:t>
      </w:r>
      <w:r w:rsidR="00524E96" w:rsidRPr="00524E96">
        <w:rPr>
          <w:rFonts w:ascii="Times New Roman" w:eastAsia="宋体" w:hAnsi="Times New Roman" w:cs="Times New Roman" w:hint="eastAsia"/>
          <w:szCs w:val="21"/>
        </w:rPr>
        <w:t>mOS</w:t>
      </w:r>
      <w:r w:rsidR="00F36EDA" w:rsidRPr="005B07FE">
        <w:rPr>
          <w:rFonts w:ascii="Times New Roman" w:eastAsia="宋体" w:hAnsi="Times New Roman" w:cs="Times New Roman"/>
          <w:szCs w:val="21"/>
        </w:rPr>
        <w:t>）</w:t>
      </w:r>
      <w:r w:rsidR="004B35DE" w:rsidRPr="005B07FE">
        <w:rPr>
          <w:rFonts w:ascii="宋体" w:eastAsia="宋体" w:hAnsi="宋体" w:hint="eastAsia"/>
          <w:szCs w:val="21"/>
        </w:rPr>
        <w:t>为</w:t>
      </w:r>
      <w:r w:rsidR="00E41FC5" w:rsidRPr="005B07FE">
        <w:rPr>
          <w:rFonts w:ascii="宋体" w:eastAsia="宋体" w:hAnsi="宋体" w:hint="eastAsia"/>
          <w:szCs w:val="21"/>
        </w:rPr>
        <w:t>17.8个月</w:t>
      </w:r>
      <w:r w:rsidR="008B18B7">
        <w:rPr>
          <w:rFonts w:ascii="宋体" w:eastAsia="宋体" w:hAnsi="宋体" w:hint="eastAsia"/>
          <w:szCs w:val="21"/>
        </w:rPr>
        <w:fldChar w:fldCharType="begin"/>
      </w:r>
      <w:r w:rsidR="00B525CC">
        <w:rPr>
          <w:rFonts w:ascii="宋体" w:eastAsia="宋体" w:hAnsi="宋体" w:hint="eastAsia"/>
          <w:szCs w:val="21"/>
        </w:rPr>
        <w:instrText xml:space="preserve"> ADDIN ZOTERO_ITEM CSL_CITATION {"citationID":"34JioNWR","properties":{"formattedCitation":"\\super [9]\\nosupersub{}","plainCitation":"[9]","noteIndex":0},"citationItems":[{"id":878,"uris":["http://zotero.org/users/14719789/items/8ECSH2DY"],"itemData":{"id":878,"type":"article-journal","abstract":"BACKGROUND: Patients with EGFR-mutated non-small-cell lung cancer (NSCLC) and MET amplification as a mechanism of resistance to first-line osimertinib have few treatment options. Here, we report the primary analysis of the phase 2 INSIGHT 2 study evaluating tepotinib, a highly selective MET inhibitor, combined with osimertinib in this population.\nMETHODS: This open-label, phase 2 study was conducted at 179 academic centres and community clinics in 17 countries. Eligible patients were aged 18 years or older with an Eastern Cooperative Oncology Group performance status of 0 or 1 and advanced or metastatic EGFR-mutated NSCLC of any histology, with MET amplification by tissue biopsy fluorescence in-situ hybridisation (FISH; MET gene copy number of ≥5 or MET-to-CEP7 ratio of ≥2) or liquid biopsy next-generation sequencing (MET plasma gene copy number of ≥2·3), following progression on first-line osimertinib. Patients received oral tepotinib 500 mg plus oral osimertinib 80 mg once daily. The primary endpoint was independently assessed objective response in patients with MET amplification by central FISH treated with tepotinib plus osimertinib with at least 9 months of follow-up. Safety was analysed in patients who received at least one study drug dose. This study is registered with ClinicalTrials.gov, NCT03940703 (enrolment complete).\nFINDINGS: Between Feb 13, 2020, and Nov 4, 2022, 128 patients (74 [58%] female, 54 [42%] male) were enrolled and initiated tepotinib plus osimertinib. The primary activity analysis population included 98 patients with MET amplification confirmed by central FISH, previous first-line osimertinib and at least 9 months of follow-up (median 12·7 months [IQR 9·9-20·3]). The confirmed objective response rate was 50·0% (95% CI 39·7-60·3; 49 of 98 patients). The most common treatment-related grade 3 or worse adverse events were peripheral oedema (six [5%] of 128 patients), decreased appetite (five [4%]), prolonged electrocardiogram QT interval (five [4%]), and pneumonitis (four [3%]). Serious treatment-related adverse events were reported in 16 (13%) patients. Deaths of four (3%) patients were assessed as potentially related to either trial drug by the investigator due to pneumonitis (two [2%] patients), decreased platelet count (one [1%]), respiratory failure (one [1%]), and dyspnoea (one [1%]); one death was attributed to both pneumonitis and dyspnoea.\nINTERPRETATION: Tepotinib plus osimertinib showed promising activity and acceptable safety in patients with EGFR-mutated NSCLC and MET amplification as a mechanism of resistance to first-line osimertinib, suggesting a potential chemotherapy-sparing oral targeted therapy option that should be further investigated.\nFUNDING: Merck (CrossRef Funder ID: 10.13039/100009945).","container-title":"The Lancet. Oncology","DOI":"10.1016/S1470-2045(24)00270-5","ISSN":"1474-5488","issue":"8","journalAbbreviation":"Lancet Oncol","language":"eng","note":"TLDR: Tepotinib plus osimertinib showed promising activity and acceptable safety in patients with EGFR-mutated NSCLC and MET amplification as a mechanism of resistance to first-line osimertinib, suggesting a potential chemotherapy-sparing oral targeted therapy option that should be further investigated.","page":"989-1002","PMID":"39089305","source":"PubMed","title":"Tepotinib plus osimertinib in patients with EGFR-mutated non-small-cell lung cancer with MET amplification following progression on first-line osimertinib (INSIGHT 2): a multicentre, open-label, phase 2 trial","title-short":"Tepotinib plus osimertinib in patients with EGFR-mutated non-small-cell lung cancer with MET amplification following progression on first-line osimertinib (INSIGHT 2)","volume":"25","author":[{"family":"Wu","given":"Yi-Long"},{"family":"Guarneri","given":"Valentina"},{"family":"Voon","given":"Pei Jye"},{"family":"Lim","given":"Boon Khaw"},{"family":"Yang","given":"Jin-Ji"},{"family":"Wislez","given":"Marie"},{"family":"Huang","given":"Cheng"},{"family":"Liam","given":"Chong Kin"},{"family":"Mazieres","given":"Julien"},{"family":"Tho","given":"Lye Mun"},{"family":"Hayashi","given":"Hidetoshi"},{"family":"Nhung","given":"Nguyen Viet"},{"family":"Chia","given":"Puey Ling"},{"family":"Marinis","given":"Filippo","non-dropping-particle":"de"},{"family":"Raskin","given":"Jo"},{"family":"Zhou","given":"Qinghua"},{"family":"Finocchiaro","given":"Giovanna"},{"family":"Le","given":"Anh Tuan"},{"family":"Wang","given":"Jialei"},{"family":"Dooms","given":"Christophe"},{"family":"Kato","given":"Terufumi"},{"family":"Nadal","given":"Ernest"},{"family":"Hin","given":"How Soon"},{"family":"Smit","given":"Egbert F."},{"family":"Wermke","given":"Martin"},{"family":"Tan","given":"Daniel"},{"family":"Morise","given":"Masahiro"},{"family":"O'Brate","given":"Aurora"},{"family":"Adrian","given":"Svenja"},{"family":"Pfeiffer","given":"Boris M."},{"family":"Stroh","given":"Christopher"},{"family":"Juraeva","given":"Dilafruz"},{"family":"Strotmann","given":"Rainer"},{"family":"Goteti","given":"Kosalaram"},{"family":"Berghoff","given":"Karin"},{"family":"Ellers-Lenz","given":"Barbara"},{"family":"Karachaliou","given":"Niki"},{"family":"Le","given":"Xiuning"},{"family":"Kim","given":"Tae Min"},{"literal":"INSIGHT 2 investigators"}],"issued":{"date-parts":[["2024",8]]}}}],"schema":"https://github.com/citation-style-language/schema/raw/master/csl-citation.json"} </w:instrText>
      </w:r>
      <w:r w:rsidR="008B18B7">
        <w:rPr>
          <w:rFonts w:ascii="宋体" w:eastAsia="宋体" w:hAnsi="宋体" w:hint="eastAsia"/>
          <w:szCs w:val="21"/>
        </w:rPr>
        <w:fldChar w:fldCharType="separate"/>
      </w:r>
      <w:r w:rsidR="00B525CC" w:rsidRPr="00B525CC">
        <w:rPr>
          <w:rFonts w:ascii="宋体" w:eastAsia="宋体" w:hAnsi="宋体" w:cs="Times New Roman"/>
          <w:kern w:val="0"/>
          <w:vertAlign w:val="superscript"/>
        </w:rPr>
        <w:t>[9]</w:t>
      </w:r>
      <w:r w:rsidR="008B18B7">
        <w:rPr>
          <w:rFonts w:ascii="宋体" w:eastAsia="宋体" w:hAnsi="宋体" w:hint="eastAsia"/>
          <w:szCs w:val="21"/>
        </w:rPr>
        <w:fldChar w:fldCharType="end"/>
      </w:r>
      <w:r w:rsidR="00924D3E" w:rsidRPr="00924D3E">
        <w:rPr>
          <w:rFonts w:ascii="宋体" w:eastAsia="宋体" w:hAnsi="宋体"/>
          <w:szCs w:val="21"/>
        </w:rPr>
        <w:t>。</w:t>
      </w:r>
      <w:r w:rsidR="00055E19" w:rsidRPr="00055E19">
        <w:rPr>
          <w:rFonts w:ascii="宋体" w:eastAsia="宋体" w:hAnsi="宋体" w:hint="eastAsia"/>
          <w:szCs w:val="21"/>
        </w:rPr>
        <w:t>上述研究表明，</w:t>
      </w:r>
      <w:r w:rsidR="00055E19" w:rsidRPr="00055E19">
        <w:rPr>
          <w:rFonts w:ascii="Times New Roman" w:eastAsia="宋体" w:hAnsi="Times New Roman" w:cs="Times New Roman"/>
          <w:szCs w:val="21"/>
        </w:rPr>
        <w:t>EGFR</w:t>
      </w:r>
      <w:r w:rsidR="00055E19" w:rsidRPr="00055E19">
        <w:rPr>
          <w:rFonts w:ascii="Times New Roman" w:eastAsia="宋体" w:hAnsi="Times New Roman" w:cs="Times New Roman"/>
          <w:szCs w:val="21"/>
        </w:rPr>
        <w:t>和</w:t>
      </w:r>
      <w:r w:rsidR="00055E19" w:rsidRPr="00055E19">
        <w:rPr>
          <w:rFonts w:ascii="Times New Roman" w:eastAsia="宋体" w:hAnsi="Times New Roman" w:cs="Times New Roman"/>
          <w:szCs w:val="21"/>
        </w:rPr>
        <w:t>MET</w:t>
      </w:r>
      <w:r w:rsidR="00055E19" w:rsidRPr="00055E19">
        <w:rPr>
          <w:rFonts w:ascii="Times New Roman" w:eastAsia="宋体" w:hAnsi="Times New Roman" w:cs="Times New Roman"/>
          <w:szCs w:val="21"/>
        </w:rPr>
        <w:t>双通路抑制已从早期探索逐步获得</w:t>
      </w:r>
      <w:r w:rsidR="00055E19" w:rsidRPr="00055E19">
        <w:rPr>
          <w:rFonts w:ascii="Times New Roman" w:eastAsia="宋体" w:hAnsi="Times New Roman" w:cs="Times New Roman"/>
          <w:szCs w:val="21"/>
        </w:rPr>
        <w:t>II</w:t>
      </w:r>
      <w:r w:rsidR="00055E19" w:rsidRPr="00055E19">
        <w:rPr>
          <w:rFonts w:ascii="Times New Roman" w:eastAsia="宋体" w:hAnsi="Times New Roman" w:cs="Times New Roman"/>
          <w:szCs w:val="21"/>
        </w:rPr>
        <w:t>期和</w:t>
      </w:r>
      <w:r w:rsidR="00055E19" w:rsidRPr="00055E19">
        <w:rPr>
          <w:rFonts w:ascii="Times New Roman" w:eastAsia="宋体" w:hAnsi="Times New Roman" w:cs="Times New Roman"/>
          <w:szCs w:val="21"/>
        </w:rPr>
        <w:t>III</w:t>
      </w:r>
      <w:r w:rsidR="00055E19" w:rsidRPr="00055E19">
        <w:rPr>
          <w:rFonts w:ascii="Times New Roman" w:eastAsia="宋体" w:hAnsi="Times New Roman" w:cs="Times New Roman"/>
          <w:szCs w:val="21"/>
        </w:rPr>
        <w:t>期临床研究支持。</w:t>
      </w:r>
    </w:p>
    <w:p w14:paraId="70A69BBD" w14:textId="3E223B8F" w:rsidR="00BF0F0B" w:rsidRDefault="00BF0F0B" w:rsidP="00BF0F0B">
      <w:pPr>
        <w:spacing w:line="360" w:lineRule="auto"/>
        <w:ind w:firstLineChars="200" w:firstLine="420"/>
        <w:jc w:val="left"/>
        <w:rPr>
          <w:rFonts w:ascii="Times New Roman" w:eastAsia="宋体" w:hAnsi="Times New Roman" w:cs="Times New Roman"/>
          <w:szCs w:val="21"/>
        </w:rPr>
      </w:pPr>
      <w:r w:rsidRPr="00BF0F0B">
        <w:rPr>
          <w:rFonts w:ascii="宋体" w:eastAsia="宋体" w:hAnsi="宋体" w:hint="eastAsia"/>
          <w:szCs w:val="21"/>
        </w:rPr>
        <w:t>埃万妥单抗</w:t>
      </w:r>
      <w:r w:rsidRPr="00BF0F0B">
        <w:rPr>
          <w:rFonts w:ascii="Times New Roman" w:eastAsia="宋体" w:hAnsi="Times New Roman" w:cs="Times New Roman"/>
          <w:szCs w:val="21"/>
        </w:rPr>
        <w:t>（</w:t>
      </w:r>
      <w:r w:rsidRPr="00BF0F0B">
        <w:rPr>
          <w:rFonts w:ascii="Times New Roman" w:eastAsia="宋体" w:hAnsi="Times New Roman" w:cs="Times New Roman"/>
          <w:szCs w:val="21"/>
        </w:rPr>
        <w:t>amivantamab</w:t>
      </w:r>
      <w:r w:rsidRPr="00BF0F0B">
        <w:rPr>
          <w:rFonts w:ascii="Times New Roman" w:eastAsia="宋体" w:hAnsi="Times New Roman" w:cs="Times New Roman"/>
          <w:szCs w:val="21"/>
        </w:rPr>
        <w:t>）</w:t>
      </w:r>
      <w:r w:rsidRPr="00BF0F0B">
        <w:rPr>
          <w:rFonts w:ascii="宋体" w:eastAsia="宋体" w:hAnsi="宋体" w:hint="eastAsia"/>
          <w:szCs w:val="21"/>
        </w:rPr>
        <w:t>是同时靶向</w:t>
      </w:r>
      <w:r w:rsidRPr="00BF0F0B">
        <w:rPr>
          <w:rFonts w:ascii="Times New Roman" w:eastAsia="宋体" w:hAnsi="Times New Roman" w:cs="Times New Roman"/>
          <w:szCs w:val="21"/>
        </w:rPr>
        <w:t>EGFR</w:t>
      </w:r>
      <w:r w:rsidRPr="00BF0F0B">
        <w:rPr>
          <w:rFonts w:ascii="Times New Roman" w:eastAsia="宋体" w:hAnsi="Times New Roman" w:cs="Times New Roman"/>
          <w:szCs w:val="21"/>
        </w:rPr>
        <w:t>和</w:t>
      </w:r>
      <w:r w:rsidRPr="00BF0F0B">
        <w:rPr>
          <w:rFonts w:ascii="Times New Roman" w:eastAsia="宋体" w:hAnsi="Times New Roman" w:cs="Times New Roman"/>
          <w:szCs w:val="21"/>
        </w:rPr>
        <w:t>MET</w:t>
      </w:r>
      <w:r w:rsidRPr="00BF0F0B">
        <w:rPr>
          <w:rFonts w:ascii="Times New Roman" w:eastAsia="宋体" w:hAnsi="Times New Roman" w:cs="Times New Roman"/>
          <w:szCs w:val="21"/>
        </w:rPr>
        <w:t>的双特异性抗体，为</w:t>
      </w:r>
      <w:r w:rsidRPr="00BF0F0B">
        <w:rPr>
          <w:rFonts w:ascii="Times New Roman" w:eastAsia="宋体" w:hAnsi="Times New Roman" w:cs="Times New Roman"/>
          <w:szCs w:val="21"/>
        </w:rPr>
        <w:t>EGFR-TKI</w:t>
      </w:r>
      <w:r w:rsidRPr="00BF0F0B">
        <w:rPr>
          <w:rFonts w:ascii="Times New Roman" w:eastAsia="宋体" w:hAnsi="Times New Roman" w:cs="Times New Roman"/>
          <w:szCs w:val="21"/>
        </w:rPr>
        <w:t>耐药后的另一种双靶点治疗策略。</w:t>
      </w:r>
      <w:r w:rsidRPr="00BF0F0B">
        <w:rPr>
          <w:rFonts w:ascii="Times New Roman" w:eastAsia="宋体" w:hAnsi="Times New Roman" w:cs="Times New Roman"/>
          <w:szCs w:val="21"/>
        </w:rPr>
        <w:t>III</w:t>
      </w:r>
      <w:r w:rsidRPr="00BF0F0B">
        <w:rPr>
          <w:rFonts w:ascii="Times New Roman" w:eastAsia="宋体" w:hAnsi="Times New Roman" w:cs="Times New Roman"/>
          <w:szCs w:val="21"/>
        </w:rPr>
        <w:t>期</w:t>
      </w:r>
      <w:r w:rsidRPr="00BF0F0B">
        <w:rPr>
          <w:rFonts w:ascii="Times New Roman" w:eastAsia="宋体" w:hAnsi="Times New Roman" w:cs="Times New Roman"/>
          <w:szCs w:val="21"/>
        </w:rPr>
        <w:t>MARIPOSA-2</w:t>
      </w:r>
      <w:r w:rsidRPr="00BF0F0B">
        <w:rPr>
          <w:rFonts w:ascii="Times New Roman" w:eastAsia="宋体" w:hAnsi="Times New Roman" w:cs="Times New Roman"/>
          <w:szCs w:val="21"/>
        </w:rPr>
        <w:t>研究在奥希替尼进展后的</w:t>
      </w:r>
      <w:r w:rsidRPr="00DD64E9">
        <w:rPr>
          <w:rFonts w:ascii="Times New Roman" w:eastAsia="宋体" w:hAnsi="Times New Roman" w:cs="Times New Roman"/>
          <w:i/>
          <w:iCs/>
          <w:szCs w:val="21"/>
        </w:rPr>
        <w:t>EGFR</w:t>
      </w:r>
      <w:r w:rsidRPr="00BF0F0B">
        <w:rPr>
          <w:rFonts w:ascii="Times New Roman" w:eastAsia="宋体" w:hAnsi="Times New Roman" w:cs="Times New Roman"/>
          <w:szCs w:val="21"/>
        </w:rPr>
        <w:t>外显子</w:t>
      </w:r>
      <w:r w:rsidRPr="00BF0F0B">
        <w:rPr>
          <w:rFonts w:ascii="Times New Roman" w:eastAsia="宋体" w:hAnsi="Times New Roman" w:cs="Times New Roman"/>
          <w:szCs w:val="21"/>
        </w:rPr>
        <w:t>19</w:t>
      </w:r>
      <w:r w:rsidRPr="00BF0F0B">
        <w:rPr>
          <w:rFonts w:ascii="Times New Roman" w:eastAsia="宋体" w:hAnsi="Times New Roman" w:cs="Times New Roman"/>
          <w:szCs w:val="21"/>
        </w:rPr>
        <w:t>缺失或</w:t>
      </w:r>
      <w:r w:rsidRPr="008D12C3">
        <w:rPr>
          <w:rFonts w:ascii="Times New Roman" w:eastAsia="宋体" w:hAnsi="Times New Roman" w:cs="Times New Roman"/>
          <w:i/>
          <w:iCs/>
          <w:szCs w:val="21"/>
        </w:rPr>
        <w:t>L858R</w:t>
      </w:r>
      <w:r w:rsidRPr="00BF0F0B">
        <w:rPr>
          <w:rFonts w:ascii="Times New Roman" w:eastAsia="宋体" w:hAnsi="Times New Roman" w:cs="Times New Roman"/>
          <w:szCs w:val="21"/>
        </w:rPr>
        <w:t>突变型晚期</w:t>
      </w:r>
      <w:r w:rsidRPr="00BF0F0B">
        <w:rPr>
          <w:rFonts w:ascii="Times New Roman" w:eastAsia="宋体" w:hAnsi="Times New Roman" w:cs="Times New Roman"/>
          <w:szCs w:val="21"/>
        </w:rPr>
        <w:t>NSCLC</w:t>
      </w:r>
      <w:r w:rsidRPr="00BF0F0B">
        <w:rPr>
          <w:rFonts w:ascii="Times New Roman" w:eastAsia="宋体" w:hAnsi="Times New Roman" w:cs="Times New Roman"/>
          <w:szCs w:val="21"/>
        </w:rPr>
        <w:t>患者中显示，埃万妥单抗联合含铂培美曲塞化疗较单纯化疗显著改善</w:t>
      </w:r>
      <w:r w:rsidRPr="00BF0F0B">
        <w:rPr>
          <w:rFonts w:ascii="Times New Roman" w:eastAsia="宋体" w:hAnsi="Times New Roman" w:cs="Times New Roman"/>
          <w:szCs w:val="21"/>
        </w:rPr>
        <w:t>PFS</w:t>
      </w:r>
      <w:r w:rsidRPr="00BF0F0B">
        <w:rPr>
          <w:rFonts w:ascii="Times New Roman" w:eastAsia="宋体" w:hAnsi="Times New Roman" w:cs="Times New Roman"/>
          <w:szCs w:val="21"/>
        </w:rPr>
        <w:t>，</w:t>
      </w:r>
      <w:r w:rsidRPr="00BF0F0B">
        <w:rPr>
          <w:rFonts w:ascii="Times New Roman" w:eastAsia="宋体" w:hAnsi="Times New Roman" w:cs="Times New Roman"/>
          <w:szCs w:val="21"/>
        </w:rPr>
        <w:t>mPFS</w:t>
      </w:r>
      <w:r w:rsidRPr="00BF0F0B">
        <w:rPr>
          <w:rFonts w:ascii="Times New Roman" w:eastAsia="宋体" w:hAnsi="Times New Roman" w:cs="Times New Roman"/>
          <w:szCs w:val="21"/>
        </w:rPr>
        <w:t>分别为</w:t>
      </w:r>
      <w:r w:rsidRPr="00BF0F0B">
        <w:rPr>
          <w:rFonts w:ascii="Times New Roman" w:eastAsia="宋体" w:hAnsi="Times New Roman" w:cs="Times New Roman"/>
          <w:szCs w:val="21"/>
        </w:rPr>
        <w:t>6.3</w:t>
      </w:r>
      <w:r w:rsidRPr="00BF0F0B">
        <w:rPr>
          <w:rFonts w:ascii="Times New Roman" w:eastAsia="宋体" w:hAnsi="Times New Roman" w:cs="Times New Roman"/>
          <w:szCs w:val="21"/>
        </w:rPr>
        <w:t>个月和</w:t>
      </w:r>
      <w:r w:rsidRPr="00BF0F0B">
        <w:rPr>
          <w:rFonts w:ascii="Times New Roman" w:eastAsia="宋体" w:hAnsi="Times New Roman" w:cs="Times New Roman"/>
          <w:szCs w:val="21"/>
        </w:rPr>
        <w:t>4.2</w:t>
      </w:r>
      <w:r w:rsidRPr="00BF0F0B">
        <w:rPr>
          <w:rFonts w:ascii="Times New Roman" w:eastAsia="宋体" w:hAnsi="Times New Roman" w:cs="Times New Roman"/>
          <w:szCs w:val="21"/>
        </w:rPr>
        <w:t>个月</w:t>
      </w:r>
      <w:r w:rsidR="001B1AFB" w:rsidRPr="001B1AFB">
        <w:rPr>
          <w:rFonts w:ascii="宋体" w:eastAsia="宋体" w:hAnsi="宋体" w:cs="Times New Roman"/>
          <w:szCs w:val="21"/>
        </w:rPr>
        <w:fldChar w:fldCharType="begin"/>
      </w:r>
      <w:r w:rsidR="001B1AFB" w:rsidRPr="001B1AFB">
        <w:rPr>
          <w:rFonts w:ascii="宋体" w:eastAsia="宋体" w:hAnsi="宋体" w:cs="Times New Roman"/>
          <w:szCs w:val="21"/>
        </w:rPr>
        <w:instrText xml:space="preserve"> ADDIN ZOTERO_ITEM CSL_CITATION {"citationID":"ZVOEHYe6","properties":{"unsorted":false,"formattedCitation":"\\super [13]\\nosupersub{}","plainCitation":"[13]","noteIndex":0},"citationItems":[{"id":907,"uris":["http://zotero.org/users/14719789/items/PTAJ4KDB"],"itemData":{"id":907,"type":"article-journal","abstract":"BACKGROUND: Amivantamab plus carboplatin-pemetrexed (chemotherapy) with and without lazertinib demonstrated antitumor activity in patients with refractory epidermal growth factor receptor (EGFR)-mutated advanced non-small-cell lung cancer (NSCLC) in phase I studies. These combinations were evaluated in a global phase III trial.\nPATIENTS AND METHODS: A total of 657 patients with EGFR-mutated (exon 19 deletions or L858R) locally advanced or metastatic NSCLC after disease progression on osimertinib were randomized 2 : 2 : 1 to receive amivantamab-lazertinib-chemotherapy, chemotherapy, or amivantamab-chemotherapy. The dual primary endpoints were progression-free survival (PFS) of amivantamab-chemotherapy and amivantamab-lazertinib-chemotherapy versus chemotherapy. During the study, hematologic toxicities observed in the amivantamab-lazertinib-chemotherapy arm necessitated a regimen change to start lazertinib after carboplatin completion.\nRESULTS: All baseline characteristics were well balanced across the three arms, including by history of brain metastases and prior brain radiation. PFS was significantly longer for amivantamab-chemotherapy and amivantamab-lazertinib-chemotherapy versus chemotherapy [hazard ratio (HR) for disease progression or death 0.48 and 0.44, respectively; P &lt; 0.001 for both; median of 6.3 and 8.3 versus 4.2 months, respectively]. Consistent PFS results were seen by investigator assessment (HR for disease progression or death 0.41 and 0.38 for amivantamab-chemotherapy and amivantamab-lazertinib-chemotherapy, respectively; P &lt; 0.001 for both; median of 8.2 and 8.3 versus 4.2 months, respectively). Objective response rate was significantly higher for amivantamab-chemotherapy and amivantamab-lazertinib-chemotherapy versus chemotherapy (64% and 63% versus 36%, respectively; P &lt; 0.001 for both). Median intracranial PFS was 12.5 and 12.8 versus 8.3 months for amivantamab-chemotherapy and amivantamab-lazertinib-chemotherapy versus chemotherapy (HR for intracranial disease progression or death 0.55 and 0.58, respectively). Predominant adverse events (AEs) in the amivantamab-containing regimens were hematologic, EGFR-, and MET-related toxicities. Amivantamab-chemotherapy had lower rates of hematologic AEs than amivantamab-lazertinib-chemotherapy.\nCONCLUSIONS: Amivantamab-chemotherapy and amivantamab-lazertinib-chemotherapy improved PFS and intracranial PFS versus chemotherapy in a population with limited options after disease progression on osimertinib. Longer follow-up is needed for the modified amivantamab-lazertinib-chemotherapy regimen.","container-title":"Annals of Oncology: Official Journal of the European Society for Medical Oncology","DOI":"10.1016/j.annonc.2023.10.117","ISSN":"1569-8041","issue":"1","journalAbbreviation":"Ann Oncol","language":"eng","page":"77-90","PMID":"37879444","source":"PubMed","title":"Amivantamab plus chemotherapy with and without lazertinib in EGFR-mutant advanced NSCLC after disease progression on osimertinib: primary results from the phase III MARIPOSA-2 study","title-short":"Amivantamab plus chemotherapy with and without lazertinib in EGFR-mutant advanced NSCLC after disease progression on osimertinib","volume":"35","author":[{"family":"Passaro","given":"A."},{"family":"Wang","given":"J."},{"family":"Wang","given":"Y."},{"family":"Lee","given":"S.-H."},{"family":"Melosky","given":"B."},{"family":"Shih","given":"J.-Y."},{"family":"Wang","given":"J."},{"family":"Azuma","given":"K."},{"family":"Juan-Vidal","given":"O."},{"family":"Cobo","given":"M."},{"family":"Felip","given":"E."},{"family":"Girard","given":"N."},{"family":"Cortot","given":"A. B."},{"family":"Califano","given":"R."},{"family":"Cappuzzo","given":"F."},{"family":"Owen","given":"S."},{"family":"Popat","given":"S."},{"family":"Tan","given":"J.-L."},{"family":"Salinas","given":"J."},{"family":"Tomasini","given":"P."},{"family":"Gentzler","given":"R. D."},{"family":"William","given":"W. N."},{"family":"Reckamp","given":"K. L."},{"family":"Takahashi","given":"T."},{"family":"Ganguly","given":"S."},{"family":"Kowalski","given":"D. M."},{"family":"Bearz","given":"A."},{"family":"MacKean","given":"M."},{"family":"Barala","given":"P."},{"family":"Bourla","given":"A. B."},{"family":"Girvin","given":"A."},{"family":"Greger","given":"J."},{"family":"Millington","given":"D."},{"family":"Withelder","given":"M."},{"family":"Xie","given":"J."},{"family":"Sun","given":"T."},{"family":"Shah","given":"S."},{"family":"Diorio","given":"B."},{"family":"Knoblauch","given":"R. E."},{"family":"Bauml","given":"J. M."},{"family":"Campelo","given":"R. G."},{"family":"Cho","given":"B. C."},{"literal":"MARIPOSA-2 Investigators"}],"issued":{"date-parts":[["2024",1]]}}}],"schema":"https://github.com/citation-style-language/schema/raw/master/csl-citation.json"} </w:instrText>
      </w:r>
      <w:r w:rsidR="001B1AFB" w:rsidRPr="001B1AFB">
        <w:rPr>
          <w:rFonts w:ascii="宋体" w:eastAsia="宋体" w:hAnsi="宋体" w:cs="Times New Roman"/>
          <w:szCs w:val="21"/>
        </w:rPr>
        <w:fldChar w:fldCharType="separate"/>
      </w:r>
      <w:r w:rsidR="001B1AFB" w:rsidRPr="001B1AFB">
        <w:rPr>
          <w:rFonts w:ascii="宋体" w:eastAsia="宋体" w:hAnsi="宋体" w:cs="Times New Roman"/>
          <w:kern w:val="0"/>
          <w:vertAlign w:val="superscript"/>
        </w:rPr>
        <w:t>[13]</w:t>
      </w:r>
      <w:r w:rsidR="001B1AFB" w:rsidRPr="001B1AFB">
        <w:rPr>
          <w:rFonts w:ascii="宋体" w:eastAsia="宋体" w:hAnsi="宋体" w:cs="Times New Roman"/>
          <w:szCs w:val="21"/>
        </w:rPr>
        <w:fldChar w:fldCharType="end"/>
      </w:r>
      <w:r>
        <w:rPr>
          <w:rFonts w:ascii="Times New Roman" w:eastAsia="宋体" w:hAnsi="Times New Roman" w:cs="Times New Roman" w:hint="eastAsia"/>
          <w:szCs w:val="21"/>
        </w:rPr>
        <w:t>。</w:t>
      </w:r>
      <w:r w:rsidRPr="00BF0F0B">
        <w:rPr>
          <w:rFonts w:ascii="Times New Roman" w:eastAsia="宋体" w:hAnsi="Times New Roman" w:cs="Times New Roman" w:hint="eastAsia"/>
          <w:szCs w:val="21"/>
        </w:rPr>
        <w:t>MARIPOSA-2</w:t>
      </w:r>
      <w:r w:rsidRPr="00BF0F0B">
        <w:rPr>
          <w:rFonts w:ascii="Times New Roman" w:eastAsia="宋体" w:hAnsi="Times New Roman" w:cs="Times New Roman" w:hint="eastAsia"/>
          <w:szCs w:val="21"/>
        </w:rPr>
        <w:t>并未限定患者必须存在</w:t>
      </w:r>
      <w:r w:rsidRPr="008D12C3">
        <w:rPr>
          <w:rFonts w:ascii="Times New Roman" w:eastAsia="宋体" w:hAnsi="Times New Roman" w:cs="Times New Roman" w:hint="eastAsia"/>
          <w:i/>
          <w:iCs/>
          <w:szCs w:val="21"/>
        </w:rPr>
        <w:t>MET</w:t>
      </w:r>
      <w:r w:rsidRPr="00BF0F0B">
        <w:rPr>
          <w:rFonts w:ascii="Times New Roman" w:eastAsia="宋体" w:hAnsi="Times New Roman" w:cs="Times New Roman" w:hint="eastAsia"/>
          <w:szCs w:val="21"/>
        </w:rPr>
        <w:t>扩增或过表达，因此其结果支持的是奥希替尼进展后</w:t>
      </w:r>
      <w:r w:rsidRPr="00BF0F0B">
        <w:rPr>
          <w:rFonts w:ascii="Times New Roman" w:eastAsia="宋体" w:hAnsi="Times New Roman" w:cs="Times New Roman" w:hint="eastAsia"/>
          <w:szCs w:val="21"/>
        </w:rPr>
        <w:t>EGFR/MET</w:t>
      </w:r>
      <w:r w:rsidRPr="00BF0F0B">
        <w:rPr>
          <w:rFonts w:ascii="Times New Roman" w:eastAsia="宋体" w:hAnsi="Times New Roman" w:cs="Times New Roman" w:hint="eastAsia"/>
          <w:szCs w:val="21"/>
        </w:rPr>
        <w:t>双靶向策略的临床价值，而不能直接等同于</w:t>
      </w:r>
      <w:r w:rsidRPr="008D12C3">
        <w:rPr>
          <w:rFonts w:ascii="Times New Roman" w:eastAsia="宋体" w:hAnsi="Times New Roman" w:cs="Times New Roman" w:hint="eastAsia"/>
          <w:i/>
          <w:iCs/>
          <w:szCs w:val="21"/>
        </w:rPr>
        <w:t>MET</w:t>
      </w:r>
      <w:r w:rsidRPr="00BF0F0B">
        <w:rPr>
          <w:rFonts w:ascii="Times New Roman" w:eastAsia="宋体" w:hAnsi="Times New Roman" w:cs="Times New Roman" w:hint="eastAsia"/>
          <w:szCs w:val="21"/>
        </w:rPr>
        <w:t>扩增特异性治疗证据。</w:t>
      </w:r>
    </w:p>
    <w:p w14:paraId="3891C8C3" w14:textId="764B7D9D" w:rsidR="00055E19" w:rsidRPr="00BF0F0B" w:rsidRDefault="00055E19" w:rsidP="00BF0F0B">
      <w:pPr>
        <w:spacing w:line="360" w:lineRule="auto"/>
        <w:ind w:firstLineChars="200" w:firstLine="420"/>
        <w:jc w:val="left"/>
        <w:rPr>
          <w:rFonts w:ascii="Times New Roman" w:eastAsia="宋体" w:hAnsi="Times New Roman" w:cs="Times New Roman"/>
          <w:szCs w:val="21"/>
        </w:rPr>
      </w:pPr>
      <w:r w:rsidRPr="00055E19">
        <w:rPr>
          <w:rFonts w:ascii="Times New Roman" w:eastAsia="宋体" w:hAnsi="Times New Roman" w:cs="Times New Roman" w:hint="eastAsia"/>
          <w:szCs w:val="21"/>
        </w:rPr>
        <w:t>除小分子</w:t>
      </w:r>
      <w:r w:rsidRPr="00055E19">
        <w:rPr>
          <w:rFonts w:ascii="Times New Roman" w:eastAsia="宋体" w:hAnsi="Times New Roman" w:cs="Times New Roman" w:hint="eastAsia"/>
          <w:szCs w:val="21"/>
        </w:rPr>
        <w:t>MET</w:t>
      </w:r>
      <w:r w:rsidRPr="00055E19">
        <w:rPr>
          <w:rFonts w:ascii="Times New Roman" w:eastAsia="宋体" w:hAnsi="Times New Roman" w:cs="Times New Roman" w:hint="eastAsia"/>
          <w:szCs w:val="21"/>
        </w:rPr>
        <w:t>抑制剂外，针对</w:t>
      </w:r>
      <w:r w:rsidRPr="00055E19">
        <w:rPr>
          <w:rFonts w:ascii="Times New Roman" w:eastAsia="宋体" w:hAnsi="Times New Roman" w:cs="Times New Roman" w:hint="eastAsia"/>
          <w:szCs w:val="21"/>
        </w:rPr>
        <w:t>MET</w:t>
      </w:r>
      <w:r w:rsidRPr="00055E19">
        <w:rPr>
          <w:rFonts w:ascii="Times New Roman" w:eastAsia="宋体" w:hAnsi="Times New Roman" w:cs="Times New Roman" w:hint="eastAsia"/>
          <w:szCs w:val="21"/>
        </w:rPr>
        <w:t>的抗体偶联药物（</w:t>
      </w:r>
      <w:r w:rsidRPr="00055E19">
        <w:rPr>
          <w:rFonts w:ascii="Times New Roman" w:eastAsia="宋体" w:hAnsi="Times New Roman" w:cs="Times New Roman" w:hint="eastAsia"/>
          <w:szCs w:val="21"/>
        </w:rPr>
        <w:t>antibody-drug conjugate</w:t>
      </w:r>
      <w:r w:rsidRPr="00055E19">
        <w:rPr>
          <w:rFonts w:ascii="Times New Roman" w:eastAsia="宋体" w:hAnsi="Times New Roman" w:cs="Times New Roman" w:hint="eastAsia"/>
          <w:szCs w:val="21"/>
        </w:rPr>
        <w:t>，</w:t>
      </w:r>
      <w:r w:rsidRPr="00055E19">
        <w:rPr>
          <w:rFonts w:ascii="Times New Roman" w:eastAsia="宋体" w:hAnsi="Times New Roman" w:cs="Times New Roman" w:hint="eastAsia"/>
          <w:szCs w:val="21"/>
        </w:rPr>
        <w:t>ADC</w:t>
      </w:r>
      <w:r w:rsidRPr="00055E19">
        <w:rPr>
          <w:rFonts w:ascii="Times New Roman" w:eastAsia="宋体" w:hAnsi="Times New Roman" w:cs="Times New Roman" w:hint="eastAsia"/>
          <w:szCs w:val="21"/>
        </w:rPr>
        <w:t>）也成为新的治疗方向。</w:t>
      </w:r>
      <w:r w:rsidRPr="00055E19">
        <w:rPr>
          <w:rFonts w:ascii="Times New Roman" w:eastAsia="宋体" w:hAnsi="Times New Roman" w:cs="Times New Roman" w:hint="eastAsia"/>
          <w:szCs w:val="21"/>
        </w:rPr>
        <w:t>Telisotuzumab vedotin</w:t>
      </w:r>
      <w:r w:rsidRPr="00055E19">
        <w:rPr>
          <w:rFonts w:ascii="Times New Roman" w:eastAsia="宋体" w:hAnsi="Times New Roman" w:cs="Times New Roman" w:hint="eastAsia"/>
          <w:szCs w:val="21"/>
        </w:rPr>
        <w:t>（</w:t>
      </w:r>
      <w:r w:rsidRPr="00055E19">
        <w:rPr>
          <w:rFonts w:ascii="Times New Roman" w:eastAsia="宋体" w:hAnsi="Times New Roman" w:cs="Times New Roman" w:hint="eastAsia"/>
          <w:szCs w:val="21"/>
        </w:rPr>
        <w:t>Teliso-V</w:t>
      </w:r>
      <w:r w:rsidRPr="00055E19">
        <w:rPr>
          <w:rFonts w:ascii="Times New Roman" w:eastAsia="宋体" w:hAnsi="Times New Roman" w:cs="Times New Roman" w:hint="eastAsia"/>
          <w:szCs w:val="21"/>
        </w:rPr>
        <w:t>）是一种靶向</w:t>
      </w:r>
      <w:r w:rsidRPr="00055E19">
        <w:rPr>
          <w:rFonts w:ascii="Times New Roman" w:eastAsia="宋体" w:hAnsi="Times New Roman" w:cs="Times New Roman" w:hint="eastAsia"/>
          <w:szCs w:val="21"/>
        </w:rPr>
        <w:t>c-MET</w:t>
      </w:r>
      <w:r w:rsidRPr="00055E19">
        <w:rPr>
          <w:rFonts w:ascii="Times New Roman" w:eastAsia="宋体" w:hAnsi="Times New Roman" w:cs="Times New Roman" w:hint="eastAsia"/>
          <w:szCs w:val="21"/>
        </w:rPr>
        <w:t>蛋白的</w:t>
      </w:r>
      <w:r w:rsidRPr="00055E19">
        <w:rPr>
          <w:rFonts w:ascii="Times New Roman" w:eastAsia="宋体" w:hAnsi="Times New Roman" w:cs="Times New Roman" w:hint="eastAsia"/>
          <w:szCs w:val="21"/>
        </w:rPr>
        <w:t>ADC</w:t>
      </w:r>
      <w:r w:rsidRPr="00055E19">
        <w:rPr>
          <w:rFonts w:ascii="Times New Roman" w:eastAsia="宋体" w:hAnsi="Times New Roman" w:cs="Times New Roman" w:hint="eastAsia"/>
          <w:szCs w:val="21"/>
        </w:rPr>
        <w:t>。</w:t>
      </w:r>
      <w:r w:rsidRPr="00055E19">
        <w:rPr>
          <w:rFonts w:ascii="Times New Roman" w:eastAsia="宋体" w:hAnsi="Times New Roman" w:cs="Times New Roman" w:hint="eastAsia"/>
          <w:szCs w:val="21"/>
        </w:rPr>
        <w:t>Ib</w:t>
      </w:r>
      <w:r w:rsidRPr="00055E19">
        <w:rPr>
          <w:rFonts w:ascii="Times New Roman" w:eastAsia="宋体" w:hAnsi="Times New Roman" w:cs="Times New Roman" w:hint="eastAsia"/>
          <w:szCs w:val="21"/>
        </w:rPr>
        <w:t>期研究纳入奥希替尼治疗后进展且</w:t>
      </w:r>
      <w:r w:rsidRPr="00055E19">
        <w:rPr>
          <w:rFonts w:ascii="Times New Roman" w:eastAsia="宋体" w:hAnsi="Times New Roman" w:cs="Times New Roman" w:hint="eastAsia"/>
          <w:szCs w:val="21"/>
        </w:rPr>
        <w:t>c-MET</w:t>
      </w:r>
      <w:r w:rsidRPr="00055E19">
        <w:rPr>
          <w:rFonts w:ascii="Times New Roman" w:eastAsia="宋体" w:hAnsi="Times New Roman" w:cs="Times New Roman" w:hint="eastAsia"/>
          <w:szCs w:val="21"/>
        </w:rPr>
        <w:t>蛋白过表达的</w:t>
      </w:r>
      <w:r w:rsidRPr="00E203CA">
        <w:rPr>
          <w:rFonts w:ascii="Times New Roman" w:eastAsia="宋体" w:hAnsi="Times New Roman" w:cs="Times New Roman" w:hint="eastAsia"/>
          <w:i/>
          <w:iCs/>
          <w:szCs w:val="21"/>
        </w:rPr>
        <w:t>EGFR</w:t>
      </w:r>
      <w:r w:rsidRPr="00055E19">
        <w:rPr>
          <w:rFonts w:ascii="Times New Roman" w:eastAsia="宋体" w:hAnsi="Times New Roman" w:cs="Times New Roman" w:hint="eastAsia"/>
          <w:szCs w:val="21"/>
        </w:rPr>
        <w:t>突变型非鳞</w:t>
      </w:r>
      <w:r w:rsidRPr="00055E19">
        <w:rPr>
          <w:rFonts w:ascii="Times New Roman" w:eastAsia="宋体" w:hAnsi="Times New Roman" w:cs="Times New Roman" w:hint="eastAsia"/>
          <w:szCs w:val="21"/>
        </w:rPr>
        <w:lastRenderedPageBreak/>
        <w:t>NSCLC</w:t>
      </w:r>
      <w:r w:rsidRPr="00055E19">
        <w:rPr>
          <w:rFonts w:ascii="Times New Roman" w:eastAsia="宋体" w:hAnsi="Times New Roman" w:cs="Times New Roman" w:hint="eastAsia"/>
          <w:szCs w:val="21"/>
        </w:rPr>
        <w:t>患者，</w:t>
      </w:r>
      <w:r w:rsidRPr="00055E19">
        <w:rPr>
          <w:rFonts w:ascii="Times New Roman" w:eastAsia="宋体" w:hAnsi="Times New Roman" w:cs="Times New Roman" w:hint="eastAsia"/>
          <w:szCs w:val="21"/>
        </w:rPr>
        <w:t>Teliso-V</w:t>
      </w:r>
      <w:r w:rsidRPr="00055E19">
        <w:rPr>
          <w:rFonts w:ascii="Times New Roman" w:eastAsia="宋体" w:hAnsi="Times New Roman" w:cs="Times New Roman" w:hint="eastAsia"/>
          <w:szCs w:val="21"/>
        </w:rPr>
        <w:t>联合奥希替尼的独立评审</w:t>
      </w:r>
      <w:r w:rsidRPr="00055E19">
        <w:rPr>
          <w:rFonts w:ascii="Times New Roman" w:eastAsia="宋体" w:hAnsi="Times New Roman" w:cs="Times New Roman" w:hint="eastAsia"/>
          <w:szCs w:val="21"/>
        </w:rPr>
        <w:t>ORR</w:t>
      </w:r>
      <w:r w:rsidRPr="00055E19">
        <w:rPr>
          <w:rFonts w:ascii="Times New Roman" w:eastAsia="宋体" w:hAnsi="Times New Roman" w:cs="Times New Roman" w:hint="eastAsia"/>
          <w:szCs w:val="21"/>
        </w:rPr>
        <w:t>为</w:t>
      </w:r>
      <w:r w:rsidRPr="00055E19">
        <w:rPr>
          <w:rFonts w:ascii="Times New Roman" w:eastAsia="宋体" w:hAnsi="Times New Roman" w:cs="Times New Roman" w:hint="eastAsia"/>
          <w:szCs w:val="21"/>
        </w:rPr>
        <w:t>50.0%</w:t>
      </w:r>
      <w:r w:rsidRPr="00055E19">
        <w:rPr>
          <w:rFonts w:ascii="Times New Roman" w:eastAsia="宋体" w:hAnsi="Times New Roman" w:cs="Times New Roman" w:hint="eastAsia"/>
          <w:szCs w:val="21"/>
        </w:rPr>
        <w:t>，</w:t>
      </w:r>
      <w:r w:rsidRPr="00055E19">
        <w:rPr>
          <w:rFonts w:ascii="Times New Roman" w:eastAsia="宋体" w:hAnsi="Times New Roman" w:cs="Times New Roman" w:hint="eastAsia"/>
          <w:szCs w:val="21"/>
        </w:rPr>
        <w:t>mPFS</w:t>
      </w:r>
      <w:r w:rsidRPr="00055E19">
        <w:rPr>
          <w:rFonts w:ascii="Times New Roman" w:eastAsia="宋体" w:hAnsi="Times New Roman" w:cs="Times New Roman" w:hint="eastAsia"/>
          <w:szCs w:val="21"/>
        </w:rPr>
        <w:t>为</w:t>
      </w:r>
      <w:r w:rsidRPr="00055E19">
        <w:rPr>
          <w:rFonts w:ascii="Times New Roman" w:eastAsia="宋体" w:hAnsi="Times New Roman" w:cs="Times New Roman" w:hint="eastAsia"/>
          <w:szCs w:val="21"/>
        </w:rPr>
        <w:t>7.4</w:t>
      </w:r>
      <w:r w:rsidRPr="00055E19">
        <w:rPr>
          <w:rFonts w:ascii="Times New Roman" w:eastAsia="宋体" w:hAnsi="Times New Roman" w:cs="Times New Roman" w:hint="eastAsia"/>
          <w:szCs w:val="21"/>
        </w:rPr>
        <w:t>个月，提示</w:t>
      </w:r>
      <w:r w:rsidRPr="00055E19">
        <w:rPr>
          <w:rFonts w:ascii="Times New Roman" w:eastAsia="宋体" w:hAnsi="Times New Roman" w:cs="Times New Roman" w:hint="eastAsia"/>
          <w:szCs w:val="21"/>
        </w:rPr>
        <w:t>MET</w:t>
      </w:r>
      <w:r w:rsidRPr="00055E19">
        <w:rPr>
          <w:rFonts w:ascii="Times New Roman" w:eastAsia="宋体" w:hAnsi="Times New Roman" w:cs="Times New Roman" w:hint="eastAsia"/>
          <w:szCs w:val="21"/>
        </w:rPr>
        <w:t>蛋白过表达可能成为</w:t>
      </w:r>
      <w:r w:rsidRPr="00055E19">
        <w:rPr>
          <w:rFonts w:ascii="Times New Roman" w:eastAsia="宋体" w:hAnsi="Times New Roman" w:cs="Times New Roman" w:hint="eastAsia"/>
          <w:szCs w:val="21"/>
        </w:rPr>
        <w:t>ADC</w:t>
      </w:r>
      <w:r w:rsidRPr="00055E19">
        <w:rPr>
          <w:rFonts w:ascii="Times New Roman" w:eastAsia="宋体" w:hAnsi="Times New Roman" w:cs="Times New Roman" w:hint="eastAsia"/>
          <w:szCs w:val="21"/>
        </w:rPr>
        <w:t>治疗的潜在生物标志物</w:t>
      </w:r>
      <w:r w:rsidR="00DF1ED3">
        <w:rPr>
          <w:rFonts w:ascii="Times New Roman" w:eastAsia="宋体" w:hAnsi="Times New Roman" w:cs="Times New Roman"/>
          <w:szCs w:val="21"/>
        </w:rPr>
        <w:fldChar w:fldCharType="begin"/>
      </w:r>
      <w:r w:rsidR="00DF1ED3">
        <w:rPr>
          <w:rFonts w:ascii="Times New Roman" w:eastAsia="宋体" w:hAnsi="Times New Roman" w:cs="Times New Roman"/>
          <w:szCs w:val="21"/>
        </w:rPr>
        <w:instrText xml:space="preserve"> ADDIN ZOTERO_ITEM CSL_CITATION {"citationID":"DmncCVPK","properties":{"unsorted":false,"formattedCitation":"\\super [14]\\nosupersub{}","plainCitation":"[14]","noteIndex":0},"citationItems":[{"id":910,"uris":["http://zotero.org/users/14719789/items/ERGZN3TT"],"itemData":{"id":910,"type":"article-journal","abstract":"BACKGROUND: Osimertinib is the standard first-line treatment for advanced epidermal growth factor receptor (EGFR)-mutated non-small-cell lung cancer (NSCLC). However, treatment resistance is inevitable and increased c-Met protein expression correlates with resistance. Telisotuzumab vedotin (Teliso-V) is an antibody-drug conjugate that targets c-Met protein overexpression. In this article, we report the results of a phase I/Ib trial evaluating Teliso-V plus osimertinib in patients with NSCLC after progression on osimertinib.\nPATIENTS AND METHODS: This multicenter, open-label study (NCT02099058) enrolled patients with advanced EGFR-mutated, c-Met protein-overexpressing, non-squamous NSCLC that had progressed on prior osimertinib. Patients received Teliso-V (intravenously, every 2 weeks) plus osimertinib (orally, 80 mg once daily). Teliso-V was evaluated at 1.6 mg/kg in a safety lead-in phase and escalated to 1.9 mg/kg. Dose expansion included both doses. Endpoints included safety and tolerability, pharmacokinetics, objective response rate (ORR), duration of response (DOR), and progression-free survival (PFS).\nRESULTS: A total of 38 patients received Teliso-V (1.6 mg/kg, n = 20; 1.9 mg/kg, n = 18) plus osimertinib and were included in this analysis. No dose-limiting toxicities were observed. Most frequent any-grade treatment-emergent adverse events (TEAEs) were peripheral sensory neuropathy (50%), peripheral edema (32%), and nausea (24%). Most common grade 3/4 TEAEs were anemia (11%) and pulmonary embolism (8%). Five TEAEs led to death; none were reported as being related to Teliso-V or osimertinib. The pharmacokinetic profile of Teliso-V plus osimertinib was similar to Teliso-V monotherapy. After a median follow-up of 7.4 months, the ORR was 50.0% per independent central review (ICR) (DOR not reached), and median PFS per ICR was 7.4 months (95% confidence interval 5.4 months-not reached).\nCONCLUSIONS: Teliso-V plus osimertinib had promising activity and a manageable safety profile in patients with c-Met protein-overexpressing, EGFR-mutated non-squamous NSCLC after progression on osimertinib. This combination has the potential to address an unmet medical need in this patient population.","container-title":"Annals of Oncology: Official Journal of the European Society for Medical Oncology","DOI":"10.1016/j.annonc.2025.01.001","ISSN":"1569-8041","issue":"5","journalAbbreviation":"Ann Oncol","language":"eng","page":"583-591","PMID":"39805351","source":"PubMed","title":"Results from a phase Ib study of telisotuzumab vedotin in combination with osimertinib in patients with c-Met protein-overexpressing, EGFR-mutated locally advanced/metastatic non-small-cell lung cancer (NSCLC) after progression on prior osimertinib","volume":"36","author":[{"family":"Horinouchi","given":"H."},{"family":"Cho","given":"B. C."},{"family":"Camidge","given":"D. R."},{"family":"Goto","given":"K."},{"family":"Tomasini","given":"P."},{"family":"Li","given":"Y."},{"family":"Vasilopoulos","given":"A."},{"family":"Brunsdon","given":"P."},{"family":"Hoffman","given":"D."},{"family":"Shi","given":"W."},{"family":"Bolotin","given":"E."},{"family":"Blot","given":"V."},{"family":"Goldman","given":"J."}],"issued":{"date-parts":[["2025",5]]}}}],"schema":"https://github.com/citation-style-language/schema/raw/master/csl-citation.json"} </w:instrText>
      </w:r>
      <w:r w:rsidR="00DF1ED3">
        <w:rPr>
          <w:rFonts w:ascii="Times New Roman" w:eastAsia="宋体" w:hAnsi="Times New Roman" w:cs="Times New Roman"/>
          <w:szCs w:val="21"/>
        </w:rPr>
        <w:fldChar w:fldCharType="separate"/>
      </w:r>
      <w:r w:rsidR="00DF1ED3" w:rsidRPr="00DF1ED3">
        <w:rPr>
          <w:rFonts w:ascii="Times New Roman" w:hAnsi="Times New Roman" w:cs="Times New Roman"/>
          <w:kern w:val="0"/>
          <w:vertAlign w:val="superscript"/>
        </w:rPr>
        <w:t>[14]</w:t>
      </w:r>
      <w:r w:rsidR="00DF1ED3">
        <w:rPr>
          <w:rFonts w:ascii="Times New Roman" w:eastAsia="宋体" w:hAnsi="Times New Roman" w:cs="Times New Roman"/>
          <w:szCs w:val="21"/>
        </w:rPr>
        <w:fldChar w:fldCharType="end"/>
      </w:r>
      <w:r w:rsidRPr="00055E19">
        <w:rPr>
          <w:rFonts w:ascii="Times New Roman" w:eastAsia="宋体" w:hAnsi="Times New Roman" w:cs="Times New Roman" w:hint="eastAsia"/>
          <w:szCs w:val="21"/>
        </w:rPr>
        <w:t>。与依赖</w:t>
      </w:r>
      <w:r w:rsidRPr="00055E19">
        <w:rPr>
          <w:rFonts w:ascii="Times New Roman" w:eastAsia="宋体" w:hAnsi="Times New Roman" w:cs="Times New Roman" w:hint="eastAsia"/>
          <w:szCs w:val="21"/>
        </w:rPr>
        <w:t>MET</w:t>
      </w:r>
      <w:r w:rsidRPr="00055E19">
        <w:rPr>
          <w:rFonts w:ascii="Times New Roman" w:eastAsia="宋体" w:hAnsi="Times New Roman" w:cs="Times New Roman" w:hint="eastAsia"/>
          <w:szCs w:val="21"/>
        </w:rPr>
        <w:t>激酶活性的</w:t>
      </w:r>
      <w:r w:rsidRPr="00055E19">
        <w:rPr>
          <w:rFonts w:ascii="Times New Roman" w:eastAsia="宋体" w:hAnsi="Times New Roman" w:cs="Times New Roman" w:hint="eastAsia"/>
          <w:szCs w:val="21"/>
        </w:rPr>
        <w:t>MET-TKI</w:t>
      </w:r>
      <w:r w:rsidRPr="00055E19">
        <w:rPr>
          <w:rFonts w:ascii="Times New Roman" w:eastAsia="宋体" w:hAnsi="Times New Roman" w:cs="Times New Roman" w:hint="eastAsia"/>
          <w:szCs w:val="21"/>
        </w:rPr>
        <w:t>不同，</w:t>
      </w:r>
      <w:r w:rsidRPr="00055E19">
        <w:rPr>
          <w:rFonts w:ascii="Times New Roman" w:eastAsia="宋体" w:hAnsi="Times New Roman" w:cs="Times New Roman" w:hint="eastAsia"/>
          <w:szCs w:val="21"/>
        </w:rPr>
        <w:t>MET ADC</w:t>
      </w:r>
      <w:r w:rsidRPr="00055E19">
        <w:rPr>
          <w:rFonts w:ascii="Times New Roman" w:eastAsia="宋体" w:hAnsi="Times New Roman" w:cs="Times New Roman" w:hint="eastAsia"/>
          <w:szCs w:val="21"/>
        </w:rPr>
        <w:t>主要利用肿瘤细胞表面</w:t>
      </w:r>
      <w:r w:rsidRPr="00055E19">
        <w:rPr>
          <w:rFonts w:ascii="Times New Roman" w:eastAsia="宋体" w:hAnsi="Times New Roman" w:cs="Times New Roman" w:hint="eastAsia"/>
          <w:szCs w:val="21"/>
        </w:rPr>
        <w:t>MET</w:t>
      </w:r>
      <w:r w:rsidRPr="00055E19">
        <w:rPr>
          <w:rFonts w:ascii="Times New Roman" w:eastAsia="宋体" w:hAnsi="Times New Roman" w:cs="Times New Roman" w:hint="eastAsia"/>
          <w:szCs w:val="21"/>
        </w:rPr>
        <w:t>蛋白作为药物递送靶点，因此其优势人群及生物标志物判定标准仍需进一步研究。</w:t>
      </w:r>
    </w:p>
    <w:p w14:paraId="15CA8873" w14:textId="5198EB09" w:rsidR="001D6F1C" w:rsidRDefault="001D6F1C" w:rsidP="00F36EDA">
      <w:pPr>
        <w:spacing w:line="360" w:lineRule="auto"/>
        <w:jc w:val="left"/>
        <w:rPr>
          <w:rFonts w:ascii="宋体" w:eastAsia="宋体" w:hAnsi="宋体" w:hint="eastAsia"/>
          <w:szCs w:val="21"/>
        </w:rPr>
      </w:pPr>
      <w:r>
        <w:rPr>
          <w:rFonts w:ascii="宋体" w:eastAsia="宋体" w:hAnsi="宋体" w:hint="eastAsia"/>
          <w:szCs w:val="21"/>
        </w:rPr>
        <w:t>2.</w:t>
      </w:r>
      <w:r w:rsidR="006F53EE">
        <w:rPr>
          <w:rFonts w:ascii="宋体" w:eastAsia="宋体" w:hAnsi="宋体" w:hint="eastAsia"/>
          <w:szCs w:val="21"/>
        </w:rPr>
        <w:t>2</w:t>
      </w:r>
      <w:r w:rsidRPr="008D12C3">
        <w:rPr>
          <w:i/>
          <w:iCs/>
        </w:rPr>
        <w:t xml:space="preserve"> </w:t>
      </w:r>
      <w:r w:rsidRPr="008D12C3">
        <w:rPr>
          <w:rFonts w:ascii="Times New Roman" w:eastAsia="宋体" w:hAnsi="Times New Roman" w:cs="Times New Roman"/>
          <w:i/>
          <w:iCs/>
          <w:szCs w:val="21"/>
        </w:rPr>
        <w:t>HER2</w:t>
      </w:r>
      <w:r w:rsidRPr="007834CA">
        <w:rPr>
          <w:rFonts w:ascii="宋体" w:eastAsia="宋体" w:hAnsi="宋体"/>
          <w:szCs w:val="21"/>
        </w:rPr>
        <w:t>扩增</w:t>
      </w:r>
    </w:p>
    <w:p w14:paraId="26AC9E5D" w14:textId="3BC12D16" w:rsidR="002C7C4C" w:rsidRDefault="001D6F1C" w:rsidP="006248D6">
      <w:pPr>
        <w:spacing w:line="360" w:lineRule="auto"/>
        <w:ind w:firstLineChars="200" w:firstLine="420"/>
        <w:jc w:val="left"/>
        <w:rPr>
          <w:rFonts w:ascii="Times New Roman" w:eastAsia="宋体" w:hAnsi="Times New Roman" w:cs="Times New Roman"/>
          <w:szCs w:val="21"/>
        </w:rPr>
      </w:pPr>
      <w:r w:rsidRPr="008D12C3">
        <w:rPr>
          <w:rFonts w:ascii="Times New Roman" w:eastAsia="宋体" w:hAnsi="Times New Roman" w:cs="Times New Roman"/>
          <w:i/>
          <w:iCs/>
          <w:szCs w:val="21"/>
        </w:rPr>
        <w:t>HER2</w:t>
      </w:r>
      <w:r w:rsidRPr="00001A57">
        <w:rPr>
          <w:rFonts w:ascii="宋体" w:eastAsia="宋体" w:hAnsi="宋体"/>
          <w:szCs w:val="21"/>
        </w:rPr>
        <w:t>扩增</w:t>
      </w:r>
      <w:r w:rsidR="0075442A" w:rsidRPr="00001A57">
        <w:rPr>
          <w:rFonts w:ascii="宋体" w:eastAsia="宋体" w:hAnsi="宋体"/>
          <w:szCs w:val="21"/>
        </w:rPr>
        <w:t>可见于约</w:t>
      </w:r>
      <w:r w:rsidR="0075442A" w:rsidRPr="00001A57">
        <w:rPr>
          <w:rFonts w:ascii="Times New Roman" w:eastAsia="宋体" w:hAnsi="Times New Roman" w:cs="Times New Roman"/>
          <w:szCs w:val="21"/>
        </w:rPr>
        <w:t>5%</w:t>
      </w:r>
      <w:r w:rsidR="006641DC" w:rsidRPr="006641DC">
        <w:rPr>
          <w:rFonts w:ascii="Times New Roman" w:eastAsia="宋体" w:hAnsi="Times New Roman" w:cs="Times New Roman"/>
          <w:szCs w:val="21"/>
        </w:rPr>
        <w:t>～</w:t>
      </w:r>
      <w:r w:rsidR="0075442A" w:rsidRPr="00001A57">
        <w:rPr>
          <w:rFonts w:ascii="Times New Roman" w:eastAsia="宋体" w:hAnsi="Times New Roman" w:cs="Times New Roman"/>
          <w:szCs w:val="21"/>
        </w:rPr>
        <w:t>10%</w:t>
      </w:r>
      <w:r w:rsidR="0075442A" w:rsidRPr="00001A57">
        <w:rPr>
          <w:rFonts w:ascii="宋体" w:eastAsia="宋体" w:hAnsi="宋体"/>
          <w:szCs w:val="21"/>
        </w:rPr>
        <w:t>的</w:t>
      </w:r>
      <w:r w:rsidR="0075442A" w:rsidRPr="00001A57">
        <w:rPr>
          <w:rFonts w:ascii="Times New Roman" w:eastAsia="宋体" w:hAnsi="Times New Roman" w:cs="Times New Roman"/>
          <w:szCs w:val="21"/>
        </w:rPr>
        <w:t>EGFR-TKI</w:t>
      </w:r>
      <w:r w:rsidR="0075442A" w:rsidRPr="00001A57">
        <w:rPr>
          <w:rFonts w:ascii="宋体" w:eastAsia="宋体" w:hAnsi="宋体"/>
          <w:szCs w:val="21"/>
        </w:rPr>
        <w:t>耐药病例</w:t>
      </w:r>
      <w:r>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{"citationID":"h99lBndn","properties":{"formattedCitation":"\\super [15]\\nosupersub{}","plainCitation":"[15]","noteIndex":0},"citationItems":[{"id":778,"uris":["http://zotero.org/users/14719789/items/SJEVIZQI"],"itemData":{"id":778,"type":"article-journal","abstract":"BACKGROUND: HER2 (or ERBB2) amplification is an important mechanism for acquired resistance to EGFR tyrosine kinase inhibitors (TKI). The benefits of HER2-targeted therapy have been limited. Herein, we investigated the molecular and clinical patterns of HER2 amplification in non-small cell lung cancer (NSCLC) patients during progression on EGFR-TKIs and the potential of combining EGFR-TKI and pyrotinib to overcome resistance.\nMETHODS: In this study, 1,637 NSCLC cases from Geneseeq after progression of EGFR-TKIs were screened and analyzed by next generation sequencing (NGS), in which 48 patients with HER2 amplification were eligible and enrolled. A total of 403 patients from Sun Yat-sen University Cancer Center (SYSUCC) were screened and five patients with concomitant EGFR mutations and HER2 amplification were retrospectively collected to assess the effect of afatinib or combination of EGFR-TKI and pyrotinib.\nRESULTS: In the 48 patients from the Geneseeq cohort, 27 (56.2%) patients suffered from resistance of 1st/2nd generation EGFR-TKI, and 21 (43.8%) patients from 3rd generation. As for the five patients forming the SYSUCC cohort, three patients were treated with afatinib, one achieved partial response (PR) with progression-free survival (PFS) of 6 months and two quickly developed disease progression. Two patients were treated with EGFR-TKIs plus pyrotinib, one receiving gefitinib plus pyrotinib achieved PR with PFS of 8 months and benefited from osimertinib plus pyrotinib for 3 months till data-off; one receiving osimertinib plus pyrotinib achieved SD for 4 months till data-off. The most common co-occurring alteration was TP53 (91.7%) in the mutation profile of the 48 patients from the Geneseeq cohort, and four patients had TP53 co-mutations of the five patients from the SYSUCC cohort.\nCONCLUSION: In this study, we detected 7% HER2 amplification present in EGFR-TKIs resistance. Patients with concomitant EGFR mutation and HER2 amplification may derive clinical benefit from therapies that target both EGFR and HER2.","container-title":"OncoTargets and Therapy","DOI":"10.2147/OTT.S335217","ISSN":"1178-6930","journalAbbreviation":"Onco Targets Ther","language":"eng","note":"TLDR: The molecular and clinical patterns of HER2 amplification in non-small cell lung cancer (NSCLC) patients during progression on EGFR-TKIs and the potential of combining EGfr-TKI and pyrotinib to overcome resistance are investigated.","page":"5297-5307","PMID":"34824536","PMCID":"PMC8609241","source":"PubMed","title":"HER2 Amplification in Advanced NSCLC Patients After Progression on EGFR-TKI and Clinical Response to EGFR-TKI Plus Pyrotinib Combination Therapy","volume":"14","author":[{"family":"Gan","given":"Jiadi"},{"family":"Huang","given":"Yihua"},{"family":"Liao","given":"Jun"},{"family":"Pang","given":"Lanlan"},{"family":"Fang","given":"Wenfeng"}],"issued":{"date-parts":[["2021"]]}}}],"schema":"https://github.com/citation-style-language/schema/raw/master/csl-citation.json"} </w:instrText>
      </w:r>
      <w:r>
        <w:rPr>
          <w:rFonts w:ascii="宋体" w:eastAsia="宋体" w:hAnsi="宋体" w:hint="eastAsia"/>
          <w:szCs w:val="21"/>
        </w:rPr>
        <w:fldChar w:fldCharType="separate"/>
      </w:r>
      <w:r w:rsidR="00DF1ED3" w:rsidRPr="00DF1ED3">
        <w:rPr>
          <w:rFonts w:ascii="宋体" w:eastAsia="宋体" w:hAnsi="宋体" w:cs="Times New Roman"/>
          <w:kern w:val="0"/>
          <w:vertAlign w:val="superscript"/>
        </w:rPr>
        <w:t>[15]</w:t>
      </w:r>
      <w:r>
        <w:rPr>
          <w:rFonts w:ascii="宋体" w:eastAsia="宋体" w:hAnsi="宋体" w:hint="eastAsia"/>
          <w:szCs w:val="21"/>
        </w:rPr>
        <w:fldChar w:fldCharType="end"/>
      </w:r>
      <w:r w:rsidR="005C6FA4">
        <w:rPr>
          <w:rFonts w:ascii="宋体" w:eastAsia="宋体" w:hAnsi="宋体" w:hint="eastAsia"/>
          <w:szCs w:val="21"/>
        </w:rPr>
        <w:t>，</w:t>
      </w:r>
      <w:r w:rsidR="008B5E1C" w:rsidRPr="008D12C3">
        <w:rPr>
          <w:rFonts w:ascii="Times New Roman" w:eastAsia="宋体" w:hAnsi="Times New Roman" w:cs="Times New Roman"/>
          <w:i/>
          <w:iCs/>
          <w:szCs w:val="21"/>
        </w:rPr>
        <w:t>HER2</w:t>
      </w:r>
      <w:r w:rsidR="008B5E1C" w:rsidRPr="008B5E1C">
        <w:rPr>
          <w:rFonts w:ascii="Times New Roman" w:eastAsia="宋体" w:hAnsi="Times New Roman" w:cs="Times New Roman"/>
          <w:szCs w:val="21"/>
        </w:rPr>
        <w:t>扩增导致受体表达增加，并促进</w:t>
      </w:r>
      <w:r w:rsidR="008B5E1C" w:rsidRPr="008D12C3">
        <w:rPr>
          <w:rFonts w:ascii="Times New Roman" w:eastAsia="宋体" w:hAnsi="Times New Roman" w:cs="Times New Roman"/>
          <w:szCs w:val="21"/>
        </w:rPr>
        <w:t>HER2</w:t>
      </w:r>
      <w:r w:rsidR="008B5E1C" w:rsidRPr="008D12C3">
        <w:rPr>
          <w:rFonts w:ascii="Times New Roman" w:eastAsia="宋体" w:hAnsi="Times New Roman" w:cs="Times New Roman"/>
          <w:szCs w:val="21"/>
        </w:rPr>
        <w:t>与</w:t>
      </w:r>
      <w:r w:rsidR="008B5E1C" w:rsidRPr="008D12C3">
        <w:rPr>
          <w:rFonts w:ascii="Times New Roman" w:eastAsia="宋体" w:hAnsi="Times New Roman" w:cs="Times New Roman"/>
          <w:szCs w:val="21"/>
        </w:rPr>
        <w:t>EGFR</w:t>
      </w:r>
      <w:r w:rsidR="008B5E1C" w:rsidRPr="008D12C3">
        <w:rPr>
          <w:rFonts w:ascii="Times New Roman" w:eastAsia="宋体" w:hAnsi="Times New Roman" w:cs="Times New Roman"/>
          <w:szCs w:val="21"/>
        </w:rPr>
        <w:t>、</w:t>
      </w:r>
      <w:r w:rsidR="004F5A3D" w:rsidRPr="004F5A3D">
        <w:rPr>
          <w:rFonts w:ascii="Times New Roman" w:eastAsia="宋体" w:hAnsi="Times New Roman" w:cs="Times New Roman" w:hint="eastAsia"/>
          <w:szCs w:val="21"/>
        </w:rPr>
        <w:t>人表皮生长因子受体</w:t>
      </w:r>
      <w:r w:rsidR="004F5A3D" w:rsidRPr="004F5A3D">
        <w:rPr>
          <w:rFonts w:ascii="Times New Roman" w:eastAsia="宋体" w:hAnsi="Times New Roman" w:cs="Times New Roman" w:hint="eastAsia"/>
          <w:szCs w:val="21"/>
        </w:rPr>
        <w:t>3</w:t>
      </w:r>
      <w:r w:rsidR="004F5A3D" w:rsidRPr="004F5A3D">
        <w:rPr>
          <w:rFonts w:ascii="Times New Roman" w:eastAsia="宋体" w:hAnsi="Times New Roman" w:cs="Times New Roman" w:hint="eastAsia"/>
          <w:szCs w:val="21"/>
        </w:rPr>
        <w:t>（</w:t>
      </w:r>
      <w:r w:rsidR="004F5A3D" w:rsidRPr="004F5A3D">
        <w:rPr>
          <w:rFonts w:ascii="Times New Roman" w:eastAsia="宋体" w:hAnsi="Times New Roman" w:cs="Times New Roman" w:hint="eastAsia"/>
          <w:szCs w:val="21"/>
        </w:rPr>
        <w:t>human epidermal growth factor receptor 3</w:t>
      </w:r>
      <w:r w:rsidR="004F5A3D" w:rsidRPr="004F5A3D">
        <w:rPr>
          <w:rFonts w:ascii="Times New Roman" w:eastAsia="宋体" w:hAnsi="Times New Roman" w:cs="Times New Roman" w:hint="eastAsia"/>
          <w:szCs w:val="21"/>
        </w:rPr>
        <w:t>，</w:t>
      </w:r>
      <w:r w:rsidR="004F5A3D" w:rsidRPr="008D12C3">
        <w:rPr>
          <w:rFonts w:ascii="Times New Roman" w:eastAsia="宋体" w:hAnsi="Times New Roman" w:cs="Times New Roman" w:hint="eastAsia"/>
          <w:szCs w:val="21"/>
        </w:rPr>
        <w:t>HER3</w:t>
      </w:r>
      <w:r w:rsidR="004F5A3D" w:rsidRPr="004F5A3D">
        <w:rPr>
          <w:rFonts w:ascii="Times New Roman" w:eastAsia="宋体" w:hAnsi="Times New Roman" w:cs="Times New Roman" w:hint="eastAsia"/>
          <w:szCs w:val="21"/>
        </w:rPr>
        <w:t>）</w:t>
      </w:r>
      <w:r w:rsidR="008B5E1C" w:rsidRPr="008B5E1C">
        <w:rPr>
          <w:rFonts w:ascii="Times New Roman" w:eastAsia="宋体" w:hAnsi="Times New Roman" w:cs="Times New Roman"/>
          <w:szCs w:val="21"/>
        </w:rPr>
        <w:t>等</w:t>
      </w:r>
      <w:r w:rsidR="008B5E1C" w:rsidRPr="008B5E1C">
        <w:rPr>
          <w:rFonts w:ascii="Times New Roman" w:eastAsia="宋体" w:hAnsi="Times New Roman" w:cs="Times New Roman"/>
          <w:szCs w:val="21"/>
        </w:rPr>
        <w:t>HER</w:t>
      </w:r>
      <w:r w:rsidR="008B5E1C" w:rsidRPr="008B5E1C">
        <w:rPr>
          <w:rFonts w:ascii="Times New Roman" w:eastAsia="宋体" w:hAnsi="Times New Roman" w:cs="Times New Roman"/>
          <w:szCs w:val="21"/>
        </w:rPr>
        <w:t>家族成员形成二聚体，持续激活</w:t>
      </w:r>
      <w:r w:rsidR="008B5E1C" w:rsidRPr="00E203CA">
        <w:rPr>
          <w:rFonts w:ascii="Times New Roman" w:eastAsia="宋体" w:hAnsi="Times New Roman" w:cs="Times New Roman"/>
          <w:szCs w:val="21"/>
        </w:rPr>
        <w:t>PI3K/AKT</w:t>
      </w:r>
      <w:r w:rsidR="008B5E1C" w:rsidRPr="008B5E1C">
        <w:rPr>
          <w:rFonts w:ascii="Times New Roman" w:eastAsia="宋体" w:hAnsi="Times New Roman" w:cs="Times New Roman"/>
          <w:szCs w:val="21"/>
        </w:rPr>
        <w:t>和</w:t>
      </w:r>
      <w:r w:rsidR="008B5E1C" w:rsidRPr="00E203CA">
        <w:rPr>
          <w:rFonts w:ascii="Times New Roman" w:eastAsia="宋体" w:hAnsi="Times New Roman" w:cs="Times New Roman"/>
          <w:szCs w:val="21"/>
        </w:rPr>
        <w:t>RAS/MAPK</w:t>
      </w:r>
      <w:r w:rsidR="008B5E1C" w:rsidRPr="008B5E1C">
        <w:rPr>
          <w:rFonts w:ascii="Times New Roman" w:eastAsia="宋体" w:hAnsi="Times New Roman" w:cs="Times New Roman"/>
          <w:szCs w:val="21"/>
        </w:rPr>
        <w:t>等下游通路，从而降低肿瘤细胞对</w:t>
      </w:r>
      <w:r w:rsidR="008B5E1C" w:rsidRPr="008B5E1C">
        <w:rPr>
          <w:rFonts w:ascii="Times New Roman" w:eastAsia="宋体" w:hAnsi="Times New Roman" w:cs="Times New Roman"/>
          <w:szCs w:val="21"/>
        </w:rPr>
        <w:t>EGFR</w:t>
      </w:r>
      <w:r w:rsidR="008B5E1C" w:rsidRPr="008B5E1C">
        <w:rPr>
          <w:rFonts w:ascii="Times New Roman" w:eastAsia="宋体" w:hAnsi="Times New Roman" w:cs="Times New Roman"/>
          <w:szCs w:val="21"/>
        </w:rPr>
        <w:t>信号的依赖。既往研究显示，</w:t>
      </w:r>
      <w:r w:rsidR="008B5E1C" w:rsidRPr="008D12C3">
        <w:rPr>
          <w:rFonts w:ascii="Times New Roman" w:eastAsia="宋体" w:hAnsi="Times New Roman" w:cs="Times New Roman"/>
          <w:i/>
          <w:iCs/>
          <w:szCs w:val="21"/>
        </w:rPr>
        <w:t>HER2</w:t>
      </w:r>
      <w:r w:rsidR="008B5E1C" w:rsidRPr="008B5E1C">
        <w:rPr>
          <w:rFonts w:ascii="Times New Roman" w:eastAsia="宋体" w:hAnsi="Times New Roman" w:cs="Times New Roman"/>
          <w:szCs w:val="21"/>
        </w:rPr>
        <w:t>扩增可独立于</w:t>
      </w:r>
      <w:r w:rsidR="008B5E1C" w:rsidRPr="00E203CA">
        <w:rPr>
          <w:rFonts w:ascii="Times New Roman" w:eastAsia="宋体" w:hAnsi="Times New Roman" w:cs="Times New Roman"/>
          <w:szCs w:val="21"/>
        </w:rPr>
        <w:t>T790M</w:t>
      </w:r>
      <w:r w:rsidR="008B5E1C" w:rsidRPr="008B5E1C">
        <w:rPr>
          <w:rFonts w:ascii="Times New Roman" w:eastAsia="宋体" w:hAnsi="Times New Roman" w:cs="Times New Roman"/>
          <w:szCs w:val="21"/>
        </w:rPr>
        <w:t>出现，提示其可作为替代性驱动信号维持肿瘤细胞存活</w:t>
      </w:r>
      <w:r>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{"citationID":"W5qeiP3U","properties":{"formattedCitation":"\\super [16]\\nosupersub{}","plainCitation":"[16]","noteIndex":0},"citationItems":[{"id":775,"uris":["http://zotero.org/users/14719789/items/MYSJH5PU"],"itemData":{"id":775,"type":"article-journal","abstract":"EGFR-mutant lung cancers eventually become resistant to treatment with EGFR tyrosine kinase inhibitors (TKIs). The combination of EGFR-TKI afatinib and anti-EGFR antibody cetuximab can overcome acquired resistance in mouse models and human patients. Since afatinib is also a potent HER2 inhibitor, we investigated the role of HER2 in EGFR-mutant tumor cells. We show in vitro and in vivo that afatinib plus cetuximab significantly inhibits HER2 phosphorylation. HER2 overexpression or knockdown confers resistance or sensitivity, respectively, in all studied cell line models. Fluorescent in situ hybridization analysis revealed that HER2 was amplified in 12% of tumors with acquired resistance versus only 1% of untreated lung adenocarcinomas. Notably, HER2 amplification and EGFR T790M were mutually exclusive. Collectively, these results reveal a previously unrecognized mechanism of resistance to EGFR TKIs and provide a rationale to assess the status and possibly target HER2 in EGFR mutant tumors with acquired resistance to EGFR TKIs.","container-title":"Cancer discovery","DOI":"10.1158/2159-8290.CD-12-0108","ISSN":"2159-8274","issue":"10","journalAbbreviation":"Cancer Discov","note":"TLDR: It is shown in vitro and in vivo that afatinib plus cetuximab significantly inhibits HER2 phosphorylation, and this results reveal a previously unrecognized mechanism of resistance to EGFR-TKIs and provide a rationale to assess the status and possibly target HER2 in EG FR-mutant tumors with acquired resistance toEGFR- TKIs.","page":"922-933","PMID":"22956644","PMCID":"PMC3473100","source":"PubMed Central","title":"HER2 amplification: a potential mechanism of acquired resistance to EGFR inhibition in EGFR mutant lung cancers that lack the second-site EGFR T790M mutation","title-short":"HER2 amplification","volume":"2","author":[{"family":"Takezawa","given":"Ken"},{"family":"Pirazzoli","given":"Valentina"},{"family":"Arcila","given":"Maria E."},{"family":"Nebhan","given":"Caroline A."},{"family":"Song","given":"Xiaoling"},{"family":"Stanchina","given":"Elisa","non-dropping-particle":"de"},{"family":"Ohashi","given":"Kadoaki"},{"family":"Janjigian","given":"Yelena Y."},{"family":"Spitzler","given":"Paula J."},{"family":"Melnick","given":"Mary Ann"},{"family":"Riely","given":"Greg J."},{"family":"Kris","given":"Mark G."},{"family":"Miller","given":"Vincent A."},{"family":"Ladanyi","given":"Marc"},{"family":"Politi","given":"Katerina"},{"family":"Pao","given":"William"}],"issued":{"date-parts":[["2012",10]]}}}],"schema":"https://github.com/citation-style-language/schema/raw/master/csl-citation.json"} </w:instrText>
      </w:r>
      <w:r>
        <w:rPr>
          <w:rFonts w:ascii="宋体" w:eastAsia="宋体" w:hAnsi="宋体" w:hint="eastAsia"/>
          <w:szCs w:val="21"/>
        </w:rPr>
        <w:fldChar w:fldCharType="separate"/>
      </w:r>
      <w:r w:rsidR="00DF1ED3" w:rsidRPr="00DF1ED3">
        <w:rPr>
          <w:rFonts w:ascii="宋体" w:eastAsia="宋体" w:hAnsi="宋体" w:cs="Times New Roman"/>
          <w:kern w:val="0"/>
          <w:vertAlign w:val="superscript"/>
        </w:rPr>
        <w:t>[16]</w:t>
      </w:r>
      <w:r>
        <w:rPr>
          <w:rFonts w:ascii="宋体" w:eastAsia="宋体" w:hAnsi="宋体" w:hint="eastAsia"/>
          <w:szCs w:val="21"/>
        </w:rPr>
        <w:fldChar w:fldCharType="end"/>
      </w:r>
      <w:r w:rsidRPr="00001A57">
        <w:rPr>
          <w:rFonts w:ascii="宋体" w:eastAsia="宋体" w:hAnsi="宋体"/>
          <w:szCs w:val="21"/>
        </w:rPr>
        <w:t>。</w:t>
      </w:r>
      <w:r w:rsidR="008F24A5" w:rsidRPr="008F24A5">
        <w:rPr>
          <w:rFonts w:ascii="宋体" w:eastAsia="宋体" w:hAnsi="宋体" w:hint="eastAsia"/>
          <w:szCs w:val="21"/>
        </w:rPr>
        <w:t>目前</w:t>
      </w:r>
      <w:r w:rsidR="008F24A5" w:rsidRPr="008F24A5">
        <w:rPr>
          <w:rFonts w:ascii="Times New Roman" w:eastAsia="宋体" w:hAnsi="Times New Roman" w:cs="Times New Roman"/>
          <w:szCs w:val="21"/>
        </w:rPr>
        <w:t>EGFR-TKI</w:t>
      </w:r>
      <w:r w:rsidR="008F24A5" w:rsidRPr="008F24A5">
        <w:rPr>
          <w:rFonts w:ascii="Times New Roman" w:eastAsia="宋体" w:hAnsi="Times New Roman" w:cs="Times New Roman"/>
          <w:szCs w:val="21"/>
        </w:rPr>
        <w:t>耐药后</w:t>
      </w:r>
      <w:r w:rsidR="008F24A5" w:rsidRPr="008D12C3">
        <w:rPr>
          <w:rFonts w:ascii="Times New Roman" w:eastAsia="宋体" w:hAnsi="Times New Roman" w:cs="Times New Roman"/>
          <w:i/>
          <w:iCs/>
          <w:szCs w:val="21"/>
        </w:rPr>
        <w:t>HER2</w:t>
      </w:r>
      <w:r w:rsidR="008F24A5" w:rsidRPr="008F24A5">
        <w:rPr>
          <w:rFonts w:ascii="Times New Roman" w:eastAsia="宋体" w:hAnsi="Times New Roman" w:cs="Times New Roman"/>
          <w:szCs w:val="21"/>
        </w:rPr>
        <w:t>扩</w:t>
      </w:r>
      <w:r w:rsidR="008F24A5" w:rsidRPr="008F24A5">
        <w:rPr>
          <w:rFonts w:ascii="宋体" w:eastAsia="宋体" w:hAnsi="宋体" w:hint="eastAsia"/>
          <w:szCs w:val="21"/>
        </w:rPr>
        <w:t>增尚无统一标准治疗</w:t>
      </w:r>
      <w:r w:rsidRPr="00001A57">
        <w:rPr>
          <w:rFonts w:ascii="宋体" w:eastAsia="宋体" w:hAnsi="宋体"/>
          <w:szCs w:val="21"/>
        </w:rPr>
        <w:t>。</w:t>
      </w:r>
      <w:r w:rsidR="00A00FBF" w:rsidRPr="00A00FBF">
        <w:rPr>
          <w:rFonts w:ascii="Times New Roman" w:eastAsia="宋体" w:hAnsi="Times New Roman" w:cs="Times New Roman"/>
          <w:szCs w:val="21"/>
        </w:rPr>
        <w:t>Ⅱ</w:t>
      </w:r>
      <w:r w:rsidR="00A00FBF" w:rsidRPr="00A00FBF">
        <w:rPr>
          <w:rFonts w:ascii="Times New Roman" w:eastAsia="宋体" w:hAnsi="Times New Roman" w:cs="Times New Roman"/>
          <w:szCs w:val="21"/>
        </w:rPr>
        <w:t>期前瞻性、多中心、单臂研究纳入</w:t>
      </w:r>
      <w:r w:rsidR="00A00FBF" w:rsidRPr="00A00FBF">
        <w:rPr>
          <w:rFonts w:ascii="Times New Roman" w:eastAsia="宋体" w:hAnsi="Times New Roman" w:cs="Times New Roman"/>
          <w:szCs w:val="21"/>
        </w:rPr>
        <w:t>27</w:t>
      </w:r>
      <w:r w:rsidR="00A00FBF" w:rsidRPr="00A00FBF">
        <w:rPr>
          <w:rFonts w:ascii="Times New Roman" w:eastAsia="宋体" w:hAnsi="Times New Roman" w:cs="Times New Roman"/>
          <w:szCs w:val="21"/>
        </w:rPr>
        <w:t>例</w:t>
      </w:r>
      <w:r w:rsidR="00A00FBF" w:rsidRPr="008D12C3">
        <w:rPr>
          <w:rFonts w:ascii="Times New Roman" w:eastAsia="宋体" w:hAnsi="Times New Roman" w:cs="Times New Roman"/>
          <w:i/>
          <w:iCs/>
          <w:szCs w:val="21"/>
        </w:rPr>
        <w:t>HER2</w:t>
      </w:r>
      <w:r w:rsidR="00A00FBF" w:rsidRPr="00A00FBF">
        <w:rPr>
          <w:rFonts w:ascii="Times New Roman" w:eastAsia="宋体" w:hAnsi="Times New Roman" w:cs="Times New Roman"/>
          <w:szCs w:val="21"/>
        </w:rPr>
        <w:t>扩增晚期</w:t>
      </w:r>
      <w:r w:rsidR="00A00FBF" w:rsidRPr="00A00FBF">
        <w:rPr>
          <w:rFonts w:ascii="Times New Roman" w:eastAsia="宋体" w:hAnsi="Times New Roman" w:cs="Times New Roman"/>
          <w:szCs w:val="21"/>
        </w:rPr>
        <w:t>NSCLC</w:t>
      </w:r>
      <w:r w:rsidR="00A00FBF" w:rsidRPr="00A00FBF">
        <w:rPr>
          <w:rFonts w:ascii="Times New Roman" w:eastAsia="宋体" w:hAnsi="Times New Roman" w:cs="Times New Roman"/>
          <w:szCs w:val="21"/>
        </w:rPr>
        <w:t>患者，结果显示吡咯替尼治疗的</w:t>
      </w:r>
      <w:r w:rsidR="00A00FBF" w:rsidRPr="00A00FBF">
        <w:rPr>
          <w:rFonts w:ascii="Times New Roman" w:eastAsia="宋体" w:hAnsi="Times New Roman" w:cs="Times New Roman"/>
          <w:szCs w:val="21"/>
        </w:rPr>
        <w:t>6</w:t>
      </w:r>
      <w:r w:rsidR="00A00FBF" w:rsidRPr="00A00FBF">
        <w:rPr>
          <w:rFonts w:ascii="Times New Roman" w:eastAsia="宋体" w:hAnsi="Times New Roman" w:cs="Times New Roman"/>
          <w:szCs w:val="21"/>
        </w:rPr>
        <w:t>个月</w:t>
      </w:r>
      <w:r w:rsidR="00A00FBF" w:rsidRPr="00A00FBF">
        <w:rPr>
          <w:rFonts w:ascii="Times New Roman" w:eastAsia="宋体" w:hAnsi="Times New Roman" w:cs="Times New Roman"/>
          <w:szCs w:val="21"/>
        </w:rPr>
        <w:t>PFS</w:t>
      </w:r>
      <w:r w:rsidR="00A00FBF" w:rsidRPr="00A00FBF">
        <w:rPr>
          <w:rFonts w:ascii="Times New Roman" w:eastAsia="宋体" w:hAnsi="Times New Roman" w:cs="Times New Roman"/>
          <w:szCs w:val="21"/>
        </w:rPr>
        <w:t>率为</w:t>
      </w:r>
      <w:r w:rsidR="00A00FBF" w:rsidRPr="00A00FBF">
        <w:rPr>
          <w:rFonts w:ascii="Times New Roman" w:eastAsia="宋体" w:hAnsi="Times New Roman" w:cs="Times New Roman"/>
          <w:szCs w:val="21"/>
        </w:rPr>
        <w:t>51.9%</w:t>
      </w:r>
      <w:r w:rsidR="00A00FBF" w:rsidRPr="00A00FBF">
        <w:rPr>
          <w:rFonts w:ascii="Times New Roman" w:eastAsia="宋体" w:hAnsi="Times New Roman" w:cs="Times New Roman"/>
          <w:szCs w:val="21"/>
        </w:rPr>
        <w:t>，确认</w:t>
      </w:r>
      <w:r w:rsidR="00A00FBF" w:rsidRPr="00A00FBF">
        <w:rPr>
          <w:rFonts w:ascii="Times New Roman" w:eastAsia="宋体" w:hAnsi="Times New Roman" w:cs="Times New Roman"/>
          <w:szCs w:val="21"/>
        </w:rPr>
        <w:t>ORR</w:t>
      </w:r>
      <w:r w:rsidR="00A00FBF" w:rsidRPr="00A00FBF">
        <w:rPr>
          <w:rFonts w:ascii="Times New Roman" w:eastAsia="宋体" w:hAnsi="Times New Roman" w:cs="Times New Roman"/>
          <w:szCs w:val="21"/>
        </w:rPr>
        <w:t>为</w:t>
      </w:r>
      <w:r w:rsidR="00A00FBF" w:rsidRPr="00A00FBF">
        <w:rPr>
          <w:rFonts w:ascii="Times New Roman" w:eastAsia="宋体" w:hAnsi="Times New Roman" w:cs="Times New Roman"/>
          <w:szCs w:val="21"/>
        </w:rPr>
        <w:t>22.2%</w:t>
      </w:r>
      <w:r w:rsidR="00A00FBF" w:rsidRPr="00A00FBF">
        <w:rPr>
          <w:rFonts w:ascii="Times New Roman" w:eastAsia="宋体" w:hAnsi="Times New Roman" w:cs="Times New Roman"/>
          <w:szCs w:val="21"/>
        </w:rPr>
        <w:t>，</w:t>
      </w:r>
      <w:r w:rsidR="00A00FBF" w:rsidRPr="00A00FBF">
        <w:rPr>
          <w:rFonts w:ascii="Times New Roman" w:eastAsia="宋体" w:hAnsi="Times New Roman" w:cs="Times New Roman"/>
          <w:szCs w:val="21"/>
        </w:rPr>
        <w:t>mPFS</w:t>
      </w:r>
      <w:r w:rsidR="00A00FBF" w:rsidRPr="00A00FBF">
        <w:rPr>
          <w:rFonts w:ascii="Times New Roman" w:eastAsia="宋体" w:hAnsi="Times New Roman" w:cs="Times New Roman"/>
          <w:szCs w:val="21"/>
        </w:rPr>
        <w:t>为</w:t>
      </w:r>
      <w:r w:rsidR="00A00FBF" w:rsidRPr="00A00FBF">
        <w:rPr>
          <w:rFonts w:ascii="Times New Roman" w:eastAsia="宋体" w:hAnsi="Times New Roman" w:cs="Times New Roman"/>
          <w:szCs w:val="21"/>
        </w:rPr>
        <w:t>6.3</w:t>
      </w:r>
      <w:r w:rsidR="00A00FBF" w:rsidRPr="00A00FBF">
        <w:rPr>
          <w:rFonts w:ascii="Times New Roman" w:eastAsia="宋体" w:hAnsi="Times New Roman" w:cs="Times New Roman"/>
          <w:szCs w:val="21"/>
        </w:rPr>
        <w:t>个月</w:t>
      </w:r>
      <w:r w:rsidR="00A00FBF">
        <w:rPr>
          <w:rFonts w:ascii="Times New Roman" w:eastAsia="宋体" w:hAnsi="Times New Roman" w:cs="Times New Roman" w:hint="eastAsia"/>
          <w:szCs w:val="21"/>
        </w:rPr>
        <w:t>，</w:t>
      </w:r>
      <w:r w:rsidR="00A00FBF" w:rsidRPr="00A00FBF">
        <w:rPr>
          <w:rFonts w:ascii="Times New Roman" w:eastAsia="宋体" w:hAnsi="Times New Roman" w:cs="Times New Roman" w:hint="eastAsia"/>
          <w:szCs w:val="21"/>
        </w:rPr>
        <w:t>提示其在</w:t>
      </w:r>
      <w:r w:rsidR="00A00FBF" w:rsidRPr="008D12C3">
        <w:rPr>
          <w:rFonts w:ascii="Times New Roman" w:eastAsia="宋体" w:hAnsi="Times New Roman" w:cs="Times New Roman" w:hint="eastAsia"/>
          <w:i/>
          <w:iCs/>
          <w:szCs w:val="21"/>
        </w:rPr>
        <w:t>HER2</w:t>
      </w:r>
      <w:r w:rsidR="00A00FBF" w:rsidRPr="00A00FBF">
        <w:rPr>
          <w:rFonts w:ascii="Times New Roman" w:eastAsia="宋体" w:hAnsi="Times New Roman" w:cs="Times New Roman" w:hint="eastAsia"/>
          <w:szCs w:val="21"/>
        </w:rPr>
        <w:t>扩增人群中具有一定抗肿瘤活性</w:t>
      </w:r>
      <w:r>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{"citationID":"iUGkTaKW","properties":{"formattedCitation":"\\super [17]\\nosupersub{}","plainCitation":"[17]","noteIndex":0},"citationItems":[{"id":781,"uris":["http://zotero.org/users/14719789/items/P92SNABF"],"itemData":{"id":781,"type":"article-journal","abstract":"PURPOSE: In this study, we aimed to evaluate the efficacy and safety of pyrotinib, a pan-HER inhibitor, in patients with HER2-amplified non-small cell lung cancer (NSCLC).\nPATIENTS AND METHODS: In this prospective, multicenter, single-arm trial (ChiCTR1800020262), patients with advanced NSCLC with HER2 amplification, as determined by next-generation sequencing, were enrolled and administered pyrotinib orally at 400 mg per day. The primary endpoint was 6-month progression-free survival (PFS) rate. Other endpoints included objective response rate (ORR), disease control rate (DCR), PFS, overall survival (OS), and safety.\nRESULTS: The enrolled cohort included 27 patients with HER2 amplification. The 6-month PFS rate was 51.9% [95% confidence interval (CI), 34.0-69.3]. The median PFS (mPFS) was 6.3 months (95% CI, 3.0-9.6 months), and median OS was 12.5 months (95% CI, 8.2-16.8 months). Pyrotinib elicited a confirmed ORR of 22.2% (95% CI, 10.6%-40.8%). Patients administered pyrotinib as first-line treatment achieved an mPFS of 12.4 months. Moreover, 30.8% of the patients who had progressed on EGFR tyrosine kinase inhibitor (TKI) responded to pyrotinib. Patients with brain metastases had an ORR of 40%. Treatment-related adverse events (TRAE) occurred in all patients (grade 3, 22.2%), but no grade 4 or higher TRAEs were documented. Diarrhea was the most frequent TRAE (all, 92.6%; grade 3, 7.4%). Loss of HER2 amplification was detected upon disease progression.\nCONCLUSIONS: Pyrotinib provided antitumor efficacy with a manageable safety profile in HER2-amplified patients with NSCLC.","container-title":"Clinical Cancer Research: An Official Journal of the American Association for Cancer Research","DOI":"10.1158/1078-0432.CCR-21-2936","ISSN":"1557-3265","issue":"3","journalAbbreviation":"Clin Cancer Res","language":"eng","note":"TLDR: Pyrotinib provided antitumor efficacy with a manageable safety profile in HER2-amplified patients with NSCLC and was detected upon disease progression.","page":"461-467","PMID":"34753778","source":"PubMed","title":"Pyrotinib in Patients with HER2-Amplified Advanced Non-Small Cell Lung Cancer: A Prospective, Multicenter, Single-Arm Trial","title-short":"Pyrotinib in Patients with HER2-Amplified Advanced Non-Small Cell Lung Cancer","volume":"28","author":[{"family":"Song","given":"Zhengbo"},{"family":"Lv","given":"Dongqing"},{"family":"Chen","given":"Shi-Qing"},{"family":"Huang","given":"Jianjin"},{"family":"Li","given":"Yuping"},{"family":"Ying","given":"Shenpeng"},{"family":"Wu","given":"Xiaoyu"},{"family":"Hua","given":"Feng"},{"family":"Wang","given":"Wenxian"},{"family":"Xu","given":"Chunwei"},{"family":"Bei","given":"Ting"},{"family":"Gao","given":"Chan"},{"family":"Sun","given":"Zhijian"},{"family":"Zhang","given":"Yiping"},{"family":"Lu","given":"Shun"}],"issued":{"date-parts":[["2022",2,1]]}}}],"schema":"https://github.com/citation-style-language/schema/raw/master/csl-citation.json"} </w:instrText>
      </w:r>
      <w:r>
        <w:rPr>
          <w:rFonts w:ascii="宋体" w:eastAsia="宋体" w:hAnsi="宋体" w:hint="eastAsia"/>
          <w:szCs w:val="21"/>
        </w:rPr>
        <w:fldChar w:fldCharType="separate"/>
      </w:r>
      <w:r w:rsidR="00DF1ED3" w:rsidRPr="00DF1ED3">
        <w:rPr>
          <w:rFonts w:ascii="宋体" w:eastAsia="宋体" w:hAnsi="宋体" w:cs="Times New Roman"/>
          <w:kern w:val="0"/>
          <w:vertAlign w:val="superscript"/>
        </w:rPr>
        <w:t>[17]</w:t>
      </w:r>
      <w:r>
        <w:rPr>
          <w:rFonts w:ascii="宋体" w:eastAsia="宋体" w:hAnsi="宋体" w:hint="eastAsia"/>
          <w:szCs w:val="21"/>
        </w:rPr>
        <w:fldChar w:fldCharType="end"/>
      </w:r>
      <w:r w:rsidRPr="00E3022A">
        <w:rPr>
          <w:rFonts w:ascii="宋体" w:eastAsia="宋体" w:hAnsi="宋体" w:hint="eastAsia"/>
          <w:szCs w:val="21"/>
        </w:rPr>
        <w:t>。</w:t>
      </w:r>
      <w:r w:rsidR="00EA0A65" w:rsidRPr="00EA0A65">
        <w:rPr>
          <w:rFonts w:ascii="宋体" w:eastAsia="宋体" w:hAnsi="宋体"/>
          <w:szCs w:val="21"/>
        </w:rPr>
        <w:t>需要注意的是</w:t>
      </w:r>
      <w:r w:rsidR="00A00FBF" w:rsidRPr="008D12C3">
        <w:rPr>
          <w:rFonts w:ascii="Times New Roman" w:eastAsia="宋体" w:hAnsi="Times New Roman" w:cs="Times New Roman" w:hint="eastAsia"/>
          <w:i/>
          <w:iCs/>
          <w:szCs w:val="21"/>
        </w:rPr>
        <w:t>HER2</w:t>
      </w:r>
      <w:r w:rsidR="00A00FBF" w:rsidRPr="00A00FBF">
        <w:rPr>
          <w:rFonts w:ascii="Times New Roman" w:eastAsia="宋体" w:hAnsi="Times New Roman" w:cs="Times New Roman" w:hint="eastAsia"/>
          <w:szCs w:val="21"/>
        </w:rPr>
        <w:t>扩增、</w:t>
      </w:r>
      <w:r w:rsidR="00A00FBF" w:rsidRPr="008D12C3">
        <w:rPr>
          <w:rFonts w:ascii="Times New Roman" w:eastAsia="宋体" w:hAnsi="Times New Roman" w:cs="Times New Roman" w:hint="eastAsia"/>
          <w:i/>
          <w:iCs/>
          <w:szCs w:val="21"/>
        </w:rPr>
        <w:t>HER2</w:t>
      </w:r>
      <w:r w:rsidR="00A00FBF" w:rsidRPr="00A00FBF">
        <w:rPr>
          <w:rFonts w:ascii="Times New Roman" w:eastAsia="宋体" w:hAnsi="Times New Roman" w:cs="Times New Roman" w:hint="eastAsia"/>
          <w:szCs w:val="21"/>
        </w:rPr>
        <w:t>突变和</w:t>
      </w:r>
      <w:r w:rsidR="00A00FBF" w:rsidRPr="00A00FBF">
        <w:rPr>
          <w:rFonts w:ascii="Times New Roman" w:eastAsia="宋体" w:hAnsi="Times New Roman" w:cs="Times New Roman" w:hint="eastAsia"/>
          <w:szCs w:val="21"/>
        </w:rPr>
        <w:t>HER2</w:t>
      </w:r>
      <w:r w:rsidR="00A00FBF" w:rsidRPr="00A00FBF">
        <w:rPr>
          <w:rFonts w:ascii="Times New Roman" w:eastAsia="宋体" w:hAnsi="Times New Roman" w:cs="Times New Roman" w:hint="eastAsia"/>
          <w:szCs w:val="21"/>
        </w:rPr>
        <w:t>蛋白过表达在生物学基础、检测方式及治疗敏感性方面并不完全一致，相关研究结果不能简单外推至</w:t>
      </w:r>
      <w:r w:rsidR="00A00FBF" w:rsidRPr="00A00FBF">
        <w:rPr>
          <w:rFonts w:ascii="Times New Roman" w:eastAsia="宋体" w:hAnsi="Times New Roman" w:cs="Times New Roman" w:hint="eastAsia"/>
          <w:szCs w:val="21"/>
        </w:rPr>
        <w:t>EGFR-TKI</w:t>
      </w:r>
      <w:r w:rsidR="00A00FBF" w:rsidRPr="00A00FBF">
        <w:rPr>
          <w:rFonts w:ascii="Times New Roman" w:eastAsia="宋体" w:hAnsi="Times New Roman" w:cs="Times New Roman" w:hint="eastAsia"/>
          <w:szCs w:val="21"/>
        </w:rPr>
        <w:t>耐药后获得性</w:t>
      </w:r>
      <w:r w:rsidR="00A00FBF" w:rsidRPr="008D12C3">
        <w:rPr>
          <w:rFonts w:ascii="Times New Roman" w:eastAsia="宋体" w:hAnsi="Times New Roman" w:cs="Times New Roman" w:hint="eastAsia"/>
          <w:i/>
          <w:iCs/>
          <w:szCs w:val="21"/>
        </w:rPr>
        <w:t>HER2</w:t>
      </w:r>
      <w:r w:rsidR="00A00FBF" w:rsidRPr="00A00FBF">
        <w:rPr>
          <w:rFonts w:ascii="Times New Roman" w:eastAsia="宋体" w:hAnsi="Times New Roman" w:cs="Times New Roman" w:hint="eastAsia"/>
          <w:szCs w:val="21"/>
        </w:rPr>
        <w:t>扩增患者</w:t>
      </w:r>
      <w:r w:rsidR="006248D6" w:rsidRPr="006248D6">
        <w:rPr>
          <w:rFonts w:ascii="Times New Roman" w:eastAsia="宋体" w:hAnsi="Times New Roman" w:cs="Times New Roman"/>
          <w:szCs w:val="21"/>
        </w:rPr>
        <w:t>。因此，后续研究应区分</w:t>
      </w:r>
      <w:r w:rsidR="006248D6" w:rsidRPr="006248D6">
        <w:rPr>
          <w:rFonts w:ascii="Times New Roman" w:eastAsia="宋体" w:hAnsi="Times New Roman" w:cs="Times New Roman"/>
          <w:szCs w:val="21"/>
        </w:rPr>
        <w:t>HER2</w:t>
      </w:r>
      <w:r w:rsidR="006248D6" w:rsidRPr="006248D6">
        <w:rPr>
          <w:rFonts w:ascii="Times New Roman" w:eastAsia="宋体" w:hAnsi="Times New Roman" w:cs="Times New Roman"/>
          <w:szCs w:val="21"/>
        </w:rPr>
        <w:t>异常类型，明确检测阈值、优势人群和联合治疗策略。</w:t>
      </w:r>
    </w:p>
    <w:p w14:paraId="54E21423" w14:textId="4A973A83" w:rsidR="006F53EE" w:rsidRPr="006248D6" w:rsidRDefault="006F53EE" w:rsidP="002C7C4C">
      <w:pPr>
        <w:spacing w:line="360" w:lineRule="auto"/>
        <w:jc w:val="left"/>
        <w:rPr>
          <w:rFonts w:ascii="宋体" w:eastAsia="宋体" w:hAnsi="宋体" w:hint="eastAsia"/>
          <w:szCs w:val="21"/>
        </w:rPr>
      </w:pPr>
      <w:r w:rsidRPr="002C7C4C">
        <w:rPr>
          <w:rFonts w:ascii="宋体" w:eastAsia="宋体" w:hAnsi="宋体" w:cs="Times New Roman"/>
          <w:szCs w:val="21"/>
        </w:rPr>
        <w:t>2.3</w:t>
      </w:r>
      <w:r w:rsidRPr="00DD64E9">
        <w:rPr>
          <w:rFonts w:ascii="Times New Roman" w:eastAsia="宋体" w:hAnsi="Times New Roman" w:cs="Times New Roman"/>
          <w:i/>
          <w:iCs/>
          <w:szCs w:val="21"/>
        </w:rPr>
        <w:t xml:space="preserve"> EGFR</w:t>
      </w:r>
      <w:r w:rsidRPr="006248D6">
        <w:rPr>
          <w:rFonts w:ascii="Times New Roman" w:eastAsia="宋体" w:hAnsi="Times New Roman" w:cs="Times New Roman"/>
          <w:szCs w:val="21"/>
        </w:rPr>
        <w:t>二次位点突变谱</w:t>
      </w:r>
    </w:p>
    <w:p w14:paraId="46A602A2" w14:textId="6F63FF6D" w:rsidR="006F53EE" w:rsidRDefault="006F53EE" w:rsidP="006F53EE">
      <w:pPr>
        <w:spacing w:line="360" w:lineRule="auto"/>
        <w:jc w:val="left"/>
        <w:rPr>
          <w:rFonts w:ascii="宋体" w:eastAsia="宋体" w:hAnsi="宋体" w:hint="eastAsia"/>
          <w:szCs w:val="21"/>
        </w:rPr>
      </w:pPr>
      <w:r w:rsidRPr="00252B55">
        <w:rPr>
          <w:rFonts w:ascii="宋体" w:eastAsia="宋体" w:hAnsi="宋体" w:hint="eastAsia"/>
          <w:szCs w:val="21"/>
        </w:rPr>
        <w:t>2.</w:t>
      </w:r>
      <w:bookmarkStart w:id="1" w:name="OLE_LINK1"/>
      <w:r w:rsidRPr="00252B55">
        <w:rPr>
          <w:rFonts w:ascii="宋体" w:eastAsia="宋体" w:hAnsi="宋体" w:hint="eastAsia"/>
          <w:szCs w:val="21"/>
        </w:rPr>
        <w:t>3.1</w:t>
      </w:r>
      <w:r w:rsidRPr="008D12C3">
        <w:rPr>
          <w:rFonts w:ascii="宋体" w:eastAsia="宋体" w:hAnsi="宋体" w:hint="eastAsia"/>
          <w:i/>
          <w:iCs/>
          <w:szCs w:val="21"/>
        </w:rPr>
        <w:t xml:space="preserve"> </w:t>
      </w:r>
      <w:r w:rsidRPr="008D12C3">
        <w:rPr>
          <w:rFonts w:ascii="Times New Roman" w:eastAsia="宋体" w:hAnsi="Times New Roman" w:cs="Times New Roman"/>
          <w:szCs w:val="21"/>
        </w:rPr>
        <w:t>T790M</w:t>
      </w:r>
      <w:r w:rsidRPr="00252B55">
        <w:rPr>
          <w:rFonts w:ascii="宋体" w:eastAsia="宋体" w:hAnsi="宋体" w:hint="eastAsia"/>
          <w:szCs w:val="21"/>
        </w:rPr>
        <w:t>突变</w:t>
      </w:r>
      <w:bookmarkEnd w:id="1"/>
    </w:p>
    <w:p w14:paraId="1DE1C7C7" w14:textId="20C4BBFE" w:rsidR="007272AC" w:rsidRPr="00BB2401" w:rsidRDefault="006F53EE" w:rsidP="007A7736">
      <w:pPr>
        <w:spacing w:line="360" w:lineRule="auto"/>
        <w:ind w:firstLineChars="200" w:firstLine="420"/>
        <w:jc w:val="left"/>
        <w:rPr>
          <w:rFonts w:ascii="宋体" w:eastAsia="宋体" w:hAnsi="宋体" w:hint="eastAsia"/>
          <w:szCs w:val="21"/>
        </w:rPr>
      </w:pPr>
      <w:r w:rsidRPr="008D12C3">
        <w:rPr>
          <w:rFonts w:ascii="Times New Roman" w:eastAsia="宋体" w:hAnsi="Times New Roman" w:cs="Times New Roman"/>
          <w:szCs w:val="21"/>
        </w:rPr>
        <w:t>T790M</w:t>
      </w:r>
      <w:r w:rsidRPr="00BB2401">
        <w:rPr>
          <w:rFonts w:ascii="宋体" w:eastAsia="宋体" w:hAnsi="宋体"/>
          <w:szCs w:val="21"/>
        </w:rPr>
        <w:t>突变是第一代</w:t>
      </w:r>
      <w:r>
        <w:rPr>
          <w:rFonts w:ascii="宋体" w:eastAsia="宋体" w:hAnsi="宋体" w:hint="eastAsia"/>
          <w:szCs w:val="21"/>
        </w:rPr>
        <w:t>、</w:t>
      </w:r>
      <w:r w:rsidRPr="00BB2401">
        <w:rPr>
          <w:rFonts w:ascii="宋体" w:eastAsia="宋体" w:hAnsi="宋体"/>
          <w:szCs w:val="21"/>
        </w:rPr>
        <w:t>第二代</w:t>
      </w:r>
      <w:r w:rsidRPr="00BB2401">
        <w:rPr>
          <w:rFonts w:ascii="Times New Roman" w:eastAsia="宋体" w:hAnsi="Times New Roman" w:cs="Times New Roman"/>
          <w:szCs w:val="21"/>
        </w:rPr>
        <w:t>EGFR-TKI</w:t>
      </w:r>
      <w:r w:rsidRPr="00BB2401">
        <w:rPr>
          <w:rFonts w:ascii="宋体" w:eastAsia="宋体" w:hAnsi="宋体"/>
          <w:szCs w:val="21"/>
        </w:rPr>
        <w:t>治疗后获得性耐药中最常见的靶内耐药机制之一，</w:t>
      </w:r>
      <w:r w:rsidR="00655635" w:rsidRPr="00BB2401">
        <w:rPr>
          <w:rFonts w:ascii="宋体" w:eastAsia="宋体" w:hAnsi="宋体"/>
          <w:szCs w:val="21"/>
        </w:rPr>
        <w:t>约占</w:t>
      </w:r>
      <w:r w:rsidR="00655635" w:rsidRPr="00456129">
        <w:rPr>
          <w:rFonts w:ascii="Times New Roman" w:eastAsia="宋体" w:hAnsi="Times New Roman" w:cs="Times New Roman"/>
          <w:szCs w:val="21"/>
        </w:rPr>
        <w:t>EGFR-TKI</w:t>
      </w:r>
      <w:r w:rsidR="00655635">
        <w:rPr>
          <w:rFonts w:ascii="宋体" w:eastAsia="宋体" w:hAnsi="宋体" w:hint="eastAsia"/>
          <w:szCs w:val="21"/>
        </w:rPr>
        <w:t>耐药突变的</w:t>
      </w:r>
      <w:r w:rsidR="00655635" w:rsidRPr="00BB2401">
        <w:rPr>
          <w:rFonts w:ascii="Times New Roman" w:eastAsia="宋体" w:hAnsi="Times New Roman" w:cs="Times New Roman"/>
          <w:szCs w:val="21"/>
        </w:rPr>
        <w:t>50%</w:t>
      </w:r>
      <w:r w:rsidR="006641DC" w:rsidRPr="006641DC">
        <w:rPr>
          <w:rFonts w:ascii="Times New Roman" w:eastAsia="宋体" w:hAnsi="Times New Roman" w:cs="Times New Roman"/>
          <w:szCs w:val="21"/>
        </w:rPr>
        <w:t>～</w:t>
      </w:r>
      <w:r w:rsidR="00655635" w:rsidRPr="006641DC">
        <w:rPr>
          <w:rFonts w:ascii="Times New Roman" w:eastAsia="宋体" w:hAnsi="Times New Roman" w:cs="Times New Roman"/>
          <w:szCs w:val="21"/>
        </w:rPr>
        <w:t>6</w:t>
      </w:r>
      <w:r w:rsidR="00655635" w:rsidRPr="00BB2401">
        <w:rPr>
          <w:rFonts w:ascii="Times New Roman" w:eastAsia="宋体" w:hAnsi="Times New Roman" w:cs="Times New Roman"/>
          <w:szCs w:val="21"/>
        </w:rPr>
        <w:t>0%</w:t>
      </w:r>
      <w:r w:rsidR="00655635" w:rsidRPr="00A00FBF">
        <w:rPr>
          <w:rFonts w:ascii="宋体" w:eastAsia="宋体" w:hAnsi="宋体" w:cs="Times New Roman"/>
          <w:szCs w:val="21"/>
        </w:rPr>
        <w:fldChar w:fldCharType="begin"/>
      </w:r>
      <w:r w:rsidR="00DF1ED3" w:rsidRPr="00A00FBF">
        <w:rPr>
          <w:rFonts w:ascii="宋体" w:eastAsia="宋体" w:hAnsi="宋体" w:cs="Times New Roman"/>
          <w:szCs w:val="21"/>
        </w:rPr>
        <w:instrText xml:space="preserve"> ADDIN ZOTERO_ITEM CSL_CITATION {"citationID":"UXrZFS54","properties":{"formattedCitation":"\\super [18,19]\\nosupersub{}","plainCitation":"[18,19]","noteIndex":0},"citationItems":[{"id":722,"uris":["http://zotero.org/users/14719789/items/3MZKUTKZ"],"itemData":{"id":722,"type":"article-journal","abstract":"Purpose\nAll patients with EGFR mutant lung cancers eventually develop acquired resistance to EGFR tyrosine kinase inhibitors (TKIs). Smaller series have identified various mechanisms of resistance, but systematic evaluation of a large number of patients to definitively establish the frequency of various mechanisms has not been performed.\n\nExperimental Design\nPatients with lung adenocarcinomas and acquired resistance to erlotinib or gefitinib enrolled onto a prospective biopsy protocol and underwent a re-biopsy after the development of acquired resistance. Histology was reviewed. Samples underwent genotyping for mutations in EGFR, AKT1, BRAF, ERBB2, KRAS, MEK1, NRAS and PIK3CA, and FISH for MET and HER2.\n\nResults\nAdequate tumor samples for molecular analysis were obtained in 155 patients. Ninety-eight had second-site EGFR T790M mutations (63%, 95% CI 55-70%) and four had small cell transformation (3%, 95% CI 0-6%). MET amplification was seen in 4/75 (5%, 95% CI 1-13%). HER2 amplification was seen in 3/24 (13%, 95% CI 3-32%). We did not detect any acquired mutations in PIK3CA, AKT1, BRAF, ERBB2, KRAS, MEK1, or NRAS. (0/88, 0%, 95% CI 0-4%). Overlap among mechanisms of acquired resistance was seen in 4%.\n\nConclusions\nThis is the largest series reporting mechanisms of acquired resistance to EGFR TKI therapy. We identified EGFR T790M as the most common mechanism of acquired resistance, while MET amplification, HER2 amplification, and small cell histologic transformation occur less frequently. More comprehensive methods to characterize molecular alterations in this setting are needed to improve our understanding of acquired resistance to EGFR TKIs.","container-title":"Clinical cancer research : an official journal of the American Association for Cancer Research","DOI":"10.1158/1078-0432.CCR-12-2246","ISSN":"1078-0432","issue":"8","journalAbbreviation":"Clin Cancer Res","note":"TLDR: This is the largest series reporting mechanisms of acquired resistance to EGFR-TKI therapy and identifies EGFR T790M as the most common mechanism of acquired Resistance, whereas MET amplification, HER2 amplification, and small cell histologic transformation occur less frequently.","page":"2240-2247","PMID":"23470965","PMCID":"PMC3630270","source":"PubMed Central","title":"Analysis of Tumor Specimens at the Time of Acquired Resistance to EGFR TKI therapy in 155 patients with EGFR mutant Lung Cancers","volume":"19","author":[{"family":"Yu","given":"Helena A."},{"family":"Arcila","given":"Maria E."},{"family":"Rekhtman","given":"Natasha"},{"family":"Sima","given":"Camelia S."},{"family":"Zakowski","given":"Maureen F."},{"family":"Pao","given":"William"},{"family":"Kris","given":"Mark G."},{"family":"Miller","given":"Vincent A."},{"family":"Ladanyi","given":"Marc"},{"family":"Riely","given":"Gregory J."}],"issued":{"date-parts":[["2013",4,15]]}}},{"id":719,"uris":["http://zotero.org/users/14719789/items/6QK9E92W"],"itemData":{"id":719,"type":"article-journal","abstract":"Lung cancers harboring mutations in the epidermal growth factor receptor (EGFR) respond to EGFR tyrosine kinase inhibitors, but drug resistance invariably emerges. To elucidate mechanisms of acquired drug resistance, we performed systematic genetic and histological analyses of tumor biopsies from 37 patients with drug-resistant non–small cell lung cancers (NSCLCs) carrying EGFR mutations. All drug-resistant tumors retained their original activating EGFR mutations, and some acquired known mechanisms of resistance including the EGFR T790M mutation or MET gene amplification. Some resistant cancers showed unexpected genetic changes including EGFR amplification and mutations in the PIK3CA gene, whereas others underwent a pronounced epithelial-to-mesenchymal transition. Surprisingly, five resistant tumors (14%) transformed from NSCLC into small cell lung cancer (SCLC) and were sensitive to standard SCLC treatments. In three patients, serial biopsies revealed that genetic mechanisms of resistance were lost in the absence of the continued selective pressure of EGFR inhibitor treatment, and such cancers were sensitive to a second round of treatment with EGFR inhibitors. Collectively, these results deepen our understanding of resistance to EGFR inhibitors and underscore the importance of repeatedly assessing cancers throughout the course of the disease.","container-title":"Science translational medicine","DOI":"10.1126/scitranslmed.3002003","ISSN":"1946-6234","issue":"75","journalAbbreviation":"Sci Transl Med","note":"TLDR: Detailed genetic and histological analysis of 37 patients with drug-resistant non–small cell lung cancers carrying EGFR mutations provides new insights into the shifting sands of drug resistance evolution in lung cancers and suggests that serial biopsies may be essential in the quest to reverse or even prevent the development ofdrug resistance.","page":"75ra26","PMID":"21430269","PMCID":"PMC3132801","source":"PubMed Central","title":"Genotypic and Histological Evolution of Lung Cancers Acquiring Resistance to EGFR Inhibitors","volume":"3","author":[{"family":"Sequist","given":"Lecia V."},{"family":"Waltman","given":"Belinda A."},{"family":"Dias-Santagata","given":"Dora"},{"family":"Digumarthy","given":"Subba"},{"family":"Turke","given":"Alexa B."},{"family":"Fidias","given":"Panos"},{"family":"Bergethon","given":"Kristin"},{"family":"Shaw","given":"Alice T."},{"family":"Gettinger","given":"Scott"},{"family":"Cosper","given":"Arjola K."},{"family":"Akhavanfard","given":"Sara"},{"family":"Heist","given":"Rebecca S."},{"family":"Temel","given":"Jennifer"},{"family":"Christensen","given":"James G."},{"family":"Wain","given":"John C."},{"family":"Lynch","given":"Thomas J."},{"family":"Vernovsky","given":"Kathy"},{"family":"Mark","given":"Eugene J."},{"family":"Lanuti","given":"Michael"},{"family":"Iafrate","given":"A. John"},{"family":"Mino-Kenudson","given":"Mari"},{"family":"Engelman","given":"Jeffrey A."}],"issued":{"date-parts":[["2011",3,23]]}}}],"schema":"https://github.com/citation-style-language/schema/raw/master/csl-citation.json"} </w:instrText>
      </w:r>
      <w:r w:rsidR="00655635" w:rsidRPr="00A00FBF">
        <w:rPr>
          <w:rFonts w:ascii="宋体" w:eastAsia="宋体" w:hAnsi="宋体" w:cs="Times New Roman"/>
          <w:szCs w:val="21"/>
        </w:rPr>
        <w:fldChar w:fldCharType="separate"/>
      </w:r>
      <w:r w:rsidR="00DF1ED3" w:rsidRPr="00A00FBF">
        <w:rPr>
          <w:rFonts w:ascii="宋体" w:eastAsia="宋体" w:hAnsi="宋体" w:cs="Times New Roman"/>
          <w:kern w:val="0"/>
          <w:vertAlign w:val="superscript"/>
        </w:rPr>
        <w:t>[18,19]</w:t>
      </w:r>
      <w:r w:rsidR="00655635" w:rsidRPr="00A00FBF">
        <w:rPr>
          <w:rFonts w:ascii="宋体" w:eastAsia="宋体" w:hAnsi="宋体" w:cs="Times New Roman"/>
          <w:szCs w:val="21"/>
        </w:rPr>
        <w:fldChar w:fldCharType="end"/>
      </w:r>
      <w:r w:rsidR="00655635">
        <w:rPr>
          <w:rFonts w:ascii="Times New Roman" w:eastAsia="宋体" w:hAnsi="Times New Roman" w:cs="Times New Roman" w:hint="eastAsia"/>
          <w:szCs w:val="21"/>
        </w:rPr>
        <w:t>，</w:t>
      </w:r>
      <w:r w:rsidR="00376060" w:rsidRPr="00376060">
        <w:rPr>
          <w:rFonts w:ascii="Times New Roman" w:eastAsia="宋体" w:hAnsi="Times New Roman" w:cs="Times New Roman"/>
          <w:szCs w:val="21"/>
        </w:rPr>
        <w:t>T790M</w:t>
      </w:r>
      <w:r w:rsidR="00376060" w:rsidRPr="00376060">
        <w:rPr>
          <w:rFonts w:ascii="Times New Roman" w:eastAsia="宋体" w:hAnsi="Times New Roman" w:cs="Times New Roman"/>
          <w:szCs w:val="21"/>
        </w:rPr>
        <w:t>位于</w:t>
      </w:r>
      <w:r w:rsidR="00376060" w:rsidRPr="00376060">
        <w:rPr>
          <w:rFonts w:ascii="Times New Roman" w:eastAsia="宋体" w:hAnsi="Times New Roman" w:cs="Times New Roman"/>
          <w:szCs w:val="21"/>
        </w:rPr>
        <w:t>EGFR</w:t>
      </w:r>
      <w:r w:rsidR="00376060" w:rsidRPr="00376060">
        <w:rPr>
          <w:rFonts w:ascii="Times New Roman" w:eastAsia="宋体" w:hAnsi="Times New Roman" w:cs="Times New Roman"/>
          <w:szCs w:val="21"/>
        </w:rPr>
        <w:t>激酶结构域的</w:t>
      </w:r>
      <w:r w:rsidR="00376060" w:rsidRPr="00376060">
        <w:rPr>
          <w:rFonts w:ascii="Times New Roman" w:eastAsia="宋体" w:hAnsi="Times New Roman" w:cs="Times New Roman"/>
          <w:szCs w:val="21"/>
        </w:rPr>
        <w:t>“</w:t>
      </w:r>
      <w:r w:rsidR="00376060" w:rsidRPr="00376060">
        <w:rPr>
          <w:rFonts w:ascii="Times New Roman" w:eastAsia="宋体" w:hAnsi="Times New Roman" w:cs="Times New Roman"/>
          <w:szCs w:val="21"/>
        </w:rPr>
        <w:t>守门</w:t>
      </w:r>
      <w:r w:rsidR="00376060" w:rsidRPr="00376060">
        <w:rPr>
          <w:rFonts w:ascii="Times New Roman" w:eastAsia="宋体" w:hAnsi="Times New Roman" w:cs="Times New Roman"/>
          <w:szCs w:val="21"/>
        </w:rPr>
        <w:t>”</w:t>
      </w:r>
      <w:r w:rsidR="00376060" w:rsidRPr="00376060">
        <w:rPr>
          <w:rFonts w:ascii="Times New Roman" w:eastAsia="宋体" w:hAnsi="Times New Roman" w:cs="Times New Roman"/>
          <w:szCs w:val="21"/>
        </w:rPr>
        <w:t>位点，突变后可改变</w:t>
      </w:r>
      <w:r w:rsidR="004F5A3D" w:rsidRPr="004F5A3D">
        <w:rPr>
          <w:rFonts w:ascii="Times New Roman" w:eastAsia="宋体" w:hAnsi="Times New Roman" w:cs="Times New Roman" w:hint="eastAsia"/>
          <w:szCs w:val="21"/>
        </w:rPr>
        <w:t>三磷酸腺苷（</w:t>
      </w:r>
      <w:r w:rsidR="004F5A3D" w:rsidRPr="004F5A3D">
        <w:rPr>
          <w:rFonts w:ascii="Times New Roman" w:eastAsia="宋体" w:hAnsi="Times New Roman" w:cs="Times New Roman" w:hint="eastAsia"/>
          <w:szCs w:val="21"/>
        </w:rPr>
        <w:t>adenosine triphosphate</w:t>
      </w:r>
      <w:r w:rsidR="004F5A3D" w:rsidRPr="004F5A3D">
        <w:rPr>
          <w:rFonts w:ascii="Times New Roman" w:eastAsia="宋体" w:hAnsi="Times New Roman" w:cs="Times New Roman" w:hint="eastAsia"/>
          <w:szCs w:val="21"/>
        </w:rPr>
        <w:t>，</w:t>
      </w:r>
      <w:r w:rsidR="004F5A3D" w:rsidRPr="004F5A3D">
        <w:rPr>
          <w:rFonts w:ascii="Times New Roman" w:eastAsia="宋体" w:hAnsi="Times New Roman" w:cs="Times New Roman" w:hint="eastAsia"/>
          <w:szCs w:val="21"/>
        </w:rPr>
        <w:t>ATP</w:t>
      </w:r>
      <w:r w:rsidR="004F5A3D" w:rsidRPr="004F5A3D">
        <w:rPr>
          <w:rFonts w:ascii="Times New Roman" w:eastAsia="宋体" w:hAnsi="Times New Roman" w:cs="Times New Roman" w:hint="eastAsia"/>
          <w:szCs w:val="21"/>
        </w:rPr>
        <w:t>）</w:t>
      </w:r>
      <w:r w:rsidR="00376060" w:rsidRPr="00376060">
        <w:rPr>
          <w:rFonts w:ascii="Times New Roman" w:eastAsia="宋体" w:hAnsi="Times New Roman" w:cs="Times New Roman"/>
          <w:szCs w:val="21"/>
        </w:rPr>
        <w:t>结合口袋的结构并提高</w:t>
      </w:r>
      <w:r w:rsidR="00376060" w:rsidRPr="00376060">
        <w:rPr>
          <w:rFonts w:ascii="Times New Roman" w:eastAsia="宋体" w:hAnsi="Times New Roman" w:cs="Times New Roman"/>
          <w:szCs w:val="21"/>
        </w:rPr>
        <w:t>EGFR</w:t>
      </w:r>
      <w:r w:rsidR="00376060" w:rsidRPr="00376060">
        <w:rPr>
          <w:rFonts w:ascii="Times New Roman" w:eastAsia="宋体" w:hAnsi="Times New Roman" w:cs="Times New Roman"/>
          <w:szCs w:val="21"/>
        </w:rPr>
        <w:t>对</w:t>
      </w:r>
      <w:r w:rsidR="00376060" w:rsidRPr="00376060">
        <w:rPr>
          <w:rFonts w:ascii="Times New Roman" w:eastAsia="宋体" w:hAnsi="Times New Roman" w:cs="Times New Roman"/>
          <w:szCs w:val="21"/>
        </w:rPr>
        <w:t>ATP</w:t>
      </w:r>
      <w:r w:rsidR="00376060" w:rsidRPr="00376060">
        <w:rPr>
          <w:rFonts w:ascii="Times New Roman" w:eastAsia="宋体" w:hAnsi="Times New Roman" w:cs="Times New Roman"/>
          <w:szCs w:val="21"/>
        </w:rPr>
        <w:t>的亲和力，使吉非替尼、厄洛替尼等可逆性</w:t>
      </w:r>
      <w:r w:rsidR="00376060" w:rsidRPr="00376060">
        <w:rPr>
          <w:rFonts w:ascii="Times New Roman" w:eastAsia="宋体" w:hAnsi="Times New Roman" w:cs="Times New Roman"/>
          <w:szCs w:val="21"/>
        </w:rPr>
        <w:t>EGFR-TKI</w:t>
      </w:r>
      <w:r w:rsidR="00376060" w:rsidRPr="00376060">
        <w:rPr>
          <w:rFonts w:ascii="Times New Roman" w:eastAsia="宋体" w:hAnsi="Times New Roman" w:cs="Times New Roman"/>
          <w:szCs w:val="21"/>
        </w:rPr>
        <w:t>难以与</w:t>
      </w:r>
      <w:r w:rsidR="00376060" w:rsidRPr="00376060">
        <w:rPr>
          <w:rFonts w:ascii="Times New Roman" w:eastAsia="宋体" w:hAnsi="Times New Roman" w:cs="Times New Roman"/>
          <w:szCs w:val="21"/>
        </w:rPr>
        <w:t>ATP</w:t>
      </w:r>
      <w:r w:rsidR="00376060" w:rsidRPr="00376060">
        <w:rPr>
          <w:rFonts w:ascii="Times New Roman" w:eastAsia="宋体" w:hAnsi="Times New Roman" w:cs="Times New Roman"/>
          <w:szCs w:val="21"/>
        </w:rPr>
        <w:t>有效竞争，从而恢复下游增殖和存活信号</w:t>
      </w:r>
      <w:r>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{"citationID":"dI2LnUuw","properties":{"formattedCitation":"\\super [20]\\nosupersub{}","plainCitation":"[20]","noteIndex":0},"citationItems":[{"id":734,"uris":["http://zotero.org/users/14719789/items/42LK9KPQ"],"itemData":{"id":734,"type":"article-journal","abstract":"Lung cancers caused by activating mutations in the epidermal growth factor receptor (EGFR) are initially responsive to small molecule tyrosine kinase inhibitors (TKIs), but the efficacy of these agents is often limited because of the emergence of drug resistance conferred by a second mutation, T790M. Threonine 790 is the \"gatekeeper\" residue, an important determinant of inhibitor specificity in the ATP binding pocket. The T790M mutation has been thought to cause resistance by sterically blocking binding of TKIs such as gefitinib and erlotinib, but this explanation is difficult to reconcile with the fact that it remains sensitive to structurally similar irreversible inhibitors. Here, we show by using a direct binding assay that T790M mutants retain low-nanomolar affinity for gefitinib. Furthermore, we show that the T790M mutation activates WT EGFR and that introduction of the T790M mutation increases the ATP affinity of the oncogenic L858R mutant by more than an order of magnitude. The increased ATP affinity is the primary mechanism by which the T790M mutation confers drug resistance. Crystallographic analysis of the T790M mutant shows how it can adapt to accommodate tight binding of diverse inhibitors, including the irreversible inhibitor HKI-272, and also suggests a structural mechanism for catalytic activation. We conclude that the T790M mutation is a \"generic\" resistance mutation that will reduce the potency of any ATP-competitive kinase inhibitor and that irreversible inhibitors overcome this resistance simply through covalent binding, not as a result of an alternative binding mode.","container-title":"Proceedings of the National Academy of Sciences of the United States of America","DOI":"10.1073/pnas.0709662105","ISSN":"1091-6490","issue":"6","journalAbbreviation":"Proc Natl Acad Sci U S A","language":"eng","note":"TLDR: It is concluded that the T790M mutation is a “generic” resistance mutation that will reduce the potency of any ATP-competitive kinase inhibitor and that irreversible inhibitors overcome this resistance simply through covalent binding, not as a result of an alternative binding mode.","page":"2070-2075","PMID":"18227510","PMCID":"PMC2538882","source":"PubMed","title":"The T790M mutation in EGFR kinase causes drug resistance by increasing the affinity for ATP","volume":"105","author":[{"family":"Yun","given":"Cai-Hong"},{"family":"Mengwasser","given":"Kristen E."},{"family":"Toms","given":"Angela V."},{"family":"Woo","given":"Michele S."},{"family":"Greulich","given":"Heidi"},{"family":"Wong","given":"Kwok-Kin"},{"family":"Meyerson","given":"Matthew"},{"family":"Eck","given":"Michael J."}],"issued":{"date-parts":[["2008",2,12]]}}}],"schema":"https://github.com/citation-style-language/schema/raw/master/csl-citation.json"} </w:instrText>
      </w:r>
      <w:r>
        <w:rPr>
          <w:rFonts w:ascii="宋体" w:eastAsia="宋体" w:hAnsi="宋体" w:hint="eastAsia"/>
          <w:szCs w:val="21"/>
        </w:rPr>
        <w:fldChar w:fldCharType="separate"/>
      </w:r>
      <w:r w:rsidR="00DF1ED3" w:rsidRPr="00DF1ED3">
        <w:rPr>
          <w:rFonts w:ascii="宋体" w:eastAsia="宋体" w:hAnsi="宋体" w:cs="Times New Roman"/>
          <w:kern w:val="0"/>
          <w:vertAlign w:val="superscript"/>
        </w:rPr>
        <w:t>[20]</w:t>
      </w:r>
      <w:r>
        <w:rPr>
          <w:rFonts w:ascii="宋体" w:eastAsia="宋体" w:hAnsi="宋体" w:hint="eastAsia"/>
          <w:szCs w:val="21"/>
        </w:rPr>
        <w:fldChar w:fldCharType="end"/>
      </w:r>
      <w:r w:rsidRPr="00BB2401">
        <w:rPr>
          <w:rFonts w:ascii="宋体" w:eastAsia="宋体" w:hAnsi="宋体"/>
          <w:szCs w:val="21"/>
        </w:rPr>
        <w:t>。</w:t>
      </w:r>
      <w:r w:rsidR="00A00FBF" w:rsidRPr="00A14D16">
        <w:rPr>
          <w:rFonts w:ascii="Times New Roman" w:eastAsia="宋体" w:hAnsi="Times New Roman" w:cs="Times New Roman"/>
          <w:szCs w:val="21"/>
        </w:rPr>
        <w:t>Ⅲ</w:t>
      </w:r>
      <w:r w:rsidR="00A00FBF" w:rsidRPr="00A00FBF">
        <w:rPr>
          <w:rFonts w:ascii="Times New Roman" w:eastAsia="宋体" w:hAnsi="Times New Roman" w:cs="Times New Roman" w:hint="eastAsia"/>
          <w:szCs w:val="21"/>
        </w:rPr>
        <w:t>期</w:t>
      </w:r>
      <w:r w:rsidR="00A00FBF" w:rsidRPr="00A00FBF">
        <w:rPr>
          <w:rFonts w:ascii="Times New Roman" w:eastAsia="宋体" w:hAnsi="Times New Roman" w:cs="Times New Roman" w:hint="eastAsia"/>
          <w:szCs w:val="21"/>
        </w:rPr>
        <w:t>AURA3</w:t>
      </w:r>
      <w:r w:rsidR="00A00FBF" w:rsidRPr="00A00FBF">
        <w:rPr>
          <w:rFonts w:ascii="Times New Roman" w:eastAsia="宋体" w:hAnsi="Times New Roman" w:cs="Times New Roman" w:hint="eastAsia"/>
          <w:szCs w:val="21"/>
        </w:rPr>
        <w:t>随机研究纳入</w:t>
      </w:r>
      <w:r w:rsidR="00A00FBF" w:rsidRPr="00A00FBF">
        <w:rPr>
          <w:rFonts w:ascii="Times New Roman" w:eastAsia="宋体" w:hAnsi="Times New Roman" w:cs="Times New Roman" w:hint="eastAsia"/>
          <w:szCs w:val="21"/>
        </w:rPr>
        <w:t>419</w:t>
      </w:r>
      <w:r w:rsidR="00A00FBF" w:rsidRPr="00A00FBF">
        <w:rPr>
          <w:rFonts w:ascii="Times New Roman" w:eastAsia="宋体" w:hAnsi="Times New Roman" w:cs="Times New Roman" w:hint="eastAsia"/>
          <w:szCs w:val="21"/>
        </w:rPr>
        <w:t>例既往</w:t>
      </w:r>
      <w:r w:rsidR="00A00FBF" w:rsidRPr="00A00FBF">
        <w:rPr>
          <w:rFonts w:ascii="Times New Roman" w:eastAsia="宋体" w:hAnsi="Times New Roman" w:cs="Times New Roman" w:hint="eastAsia"/>
          <w:szCs w:val="21"/>
        </w:rPr>
        <w:t>EGFR-TKI</w:t>
      </w:r>
      <w:r w:rsidR="00A00FBF" w:rsidRPr="00A00FBF">
        <w:rPr>
          <w:rFonts w:ascii="Times New Roman" w:eastAsia="宋体" w:hAnsi="Times New Roman" w:cs="Times New Roman" w:hint="eastAsia"/>
          <w:szCs w:val="21"/>
        </w:rPr>
        <w:t>治疗后进展的</w:t>
      </w:r>
      <w:r w:rsidR="00A00FBF" w:rsidRPr="00A00FBF">
        <w:rPr>
          <w:rFonts w:ascii="Times New Roman" w:eastAsia="宋体" w:hAnsi="Times New Roman" w:cs="Times New Roman" w:hint="eastAsia"/>
          <w:szCs w:val="21"/>
        </w:rPr>
        <w:t>T790M</w:t>
      </w:r>
      <w:r w:rsidR="00A00FBF" w:rsidRPr="00A00FBF">
        <w:rPr>
          <w:rFonts w:ascii="Times New Roman" w:eastAsia="宋体" w:hAnsi="Times New Roman" w:cs="Times New Roman" w:hint="eastAsia"/>
          <w:szCs w:val="21"/>
        </w:rPr>
        <w:t>阳性晚期</w:t>
      </w:r>
      <w:r w:rsidR="00A00FBF" w:rsidRPr="00A00FBF">
        <w:rPr>
          <w:rFonts w:ascii="Times New Roman" w:eastAsia="宋体" w:hAnsi="Times New Roman" w:cs="Times New Roman" w:hint="eastAsia"/>
          <w:szCs w:val="21"/>
        </w:rPr>
        <w:t>NSCLC</w:t>
      </w:r>
      <w:r w:rsidR="00A00FBF" w:rsidRPr="00A00FBF">
        <w:rPr>
          <w:rFonts w:ascii="Times New Roman" w:eastAsia="宋体" w:hAnsi="Times New Roman" w:cs="Times New Roman" w:hint="eastAsia"/>
          <w:szCs w:val="21"/>
        </w:rPr>
        <w:t>患者，奥希替尼较含铂培美曲塞化疗显著延长</w:t>
      </w:r>
      <w:r w:rsidR="00A00FBF" w:rsidRPr="00A00FBF">
        <w:rPr>
          <w:rFonts w:ascii="Times New Roman" w:eastAsia="宋体" w:hAnsi="Times New Roman" w:cs="Times New Roman" w:hint="eastAsia"/>
          <w:szCs w:val="21"/>
        </w:rPr>
        <w:t>mPFS</w:t>
      </w:r>
      <w:r w:rsidR="00A00FBF">
        <w:rPr>
          <w:rFonts w:ascii="Times New Roman" w:eastAsia="宋体" w:hAnsi="Times New Roman" w:cs="Times New Roman" w:hint="eastAsia"/>
          <w:szCs w:val="21"/>
        </w:rPr>
        <w:t>至</w:t>
      </w:r>
      <w:r w:rsidR="00A00FBF" w:rsidRPr="00A00FBF">
        <w:rPr>
          <w:rFonts w:ascii="Times New Roman" w:eastAsia="宋体" w:hAnsi="Times New Roman" w:cs="Times New Roman" w:hint="eastAsia"/>
          <w:szCs w:val="21"/>
        </w:rPr>
        <w:t>10.1</w:t>
      </w:r>
      <w:r w:rsidR="00A00FBF" w:rsidRPr="00A00FBF">
        <w:rPr>
          <w:rFonts w:ascii="Times New Roman" w:eastAsia="宋体" w:hAnsi="Times New Roman" w:cs="Times New Roman" w:hint="eastAsia"/>
          <w:szCs w:val="21"/>
        </w:rPr>
        <w:t>个月，</w:t>
      </w:r>
      <w:r w:rsidR="00A00FBF" w:rsidRPr="00A00FBF">
        <w:rPr>
          <w:rFonts w:ascii="Times New Roman" w:eastAsia="宋体" w:hAnsi="Times New Roman" w:cs="Times New Roman" w:hint="eastAsia"/>
          <w:szCs w:val="21"/>
        </w:rPr>
        <w:t>ORR</w:t>
      </w:r>
      <w:r w:rsidR="00A00FBF" w:rsidRPr="00A00FBF">
        <w:rPr>
          <w:rFonts w:ascii="Times New Roman" w:eastAsia="宋体" w:hAnsi="Times New Roman" w:cs="Times New Roman" w:hint="eastAsia"/>
          <w:szCs w:val="21"/>
        </w:rPr>
        <w:t>明显提高</w:t>
      </w:r>
      <w:r w:rsidR="00A00FBF">
        <w:rPr>
          <w:rFonts w:ascii="Times New Roman" w:eastAsia="宋体" w:hAnsi="Times New Roman" w:cs="Times New Roman" w:hint="eastAsia"/>
          <w:szCs w:val="21"/>
        </w:rPr>
        <w:t>至</w:t>
      </w:r>
      <w:r w:rsidR="00A00FBF" w:rsidRPr="00A00FBF">
        <w:rPr>
          <w:rFonts w:ascii="Times New Roman" w:eastAsia="宋体" w:hAnsi="Times New Roman" w:cs="Times New Roman" w:hint="eastAsia"/>
          <w:szCs w:val="21"/>
        </w:rPr>
        <w:t>71%</w:t>
      </w:r>
      <w:r>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{"citationID":"Un6d4Tsq","properties":{"formattedCitation":"\\super [21,22]\\nosupersub{}","plainCitation":"[21,22]","noteIndex":0},"citationItems":[{"id":737,"uris":["http://zotero.org/users/14719789/items/GEUFCRXV"],"itemData":{"id":737,"type":"article-journal","abstract":"BACKGROUND: In AURA3 (NCT02151981), osimertinib, a third-generation epidermal growth factor receptor (EGFR)-tyrosine kinase inhibitor (TKI), significantly prolonged progression-free survival and improved response in patients with EGFR T790M advanced non-small-cell lung cancer (NSCLC) and progression on prior EGFR-TKI treatment. We report the final AURA3 overall survival (OS) analysis.\nPATIENTS AND METHODS: Adult patients were randomized 2 : 1 to osimertinib (80 mg orally, once daily) or pemetrexed plus carboplatin/cisplatin (platinum-pemetrexed) intravenously, every 3 weeks (≤6 cycles). Patients could crossover to osimertinib on progression confirmed by blinded independent central review. OS and safety were secondary end points.\nRESULTS: A total of 279 patients were randomly assigned to receive osimertinib and 140 to platinum-pemetrexed (136 received treatment). At data cut-off (DCO; 15 March 2019), 188 patients (67%) receiving osimertinib versus 93 (66%) receiving platinum-pemetrexed had died. The hazard ratio (HR) for OS was 0.87 [95% confidence interval (CI) 0.67-1.12; P = 0.277]; the median OS was 26.8 months (95% CI 23.5-31.5) versus 22.5 months (95% CI 20.2-28.8) for osimertinib and platinum-pemetrexed, respectively. The estimated 24- and 36-month survival was 55% versus 43% and 37% versus 30%, respectively. After crossover adjustment, there was an HR of 0.54 (95% CI 0.18-1.6). Time to first subsequent therapy or death showed a clinically meaningful advantage toward osimertinib (HR 0.21, 95% CI 0.16-0.28; P &lt; 0.001). At DCO, 99/136 (73%) patients in the platinum-pemetrexed arm had crossed over to osimertinib, 66/99 (67%) of whom had died. The most common adverse events possibly related to study treatment were diarrhea (32%; grade ≥3, 1%) and rash (grouped term; 32%; grade ≥3, &lt;1%) in the osimertinib arm, versus nausea (47%; grade ≥3, 3%) in the platinum-pemetrexed arm.\nCONCLUSIONS: In patients with T790M advanced NSCLC, no statistically significant benefit in OS was observed for osimertinib versus platinum-pemetrexed, which possibly reflects the high crossover rate of patients from platinum-pemetrexed to osimertinib.\nCLINICAL TRIALS NUMBER: ClinicalTrials.gov NCT02151981; https://clinicaltrials.gov/ct2/show/NCT02151981.","container-title":"Annals of Oncology: Official Journal of the European Society for Medical Oncology","DOI":"10.1016/j.annonc.2020.08.2100","ISSN":"1569-8041","issue":"11","journalAbbreviation":"Ann Oncol","language":"eng","note":"TLDR: In patients with T790M advanced NSCLC, no statistically significant benefit in OS was observed for osimertinib versus platinum-pemetrexed, which possibly reflects the high crossover rate of patients from platinum- pemetrexing to osimERTinib.","page":"1536-1544","PMID":"32861806","source":"PubMed","title":"Osimertinib versus platinum-pemetrexed for patients with EGFR T790M advanced NSCLC and progression on a prior EGFR-tyrosine kinase inhibitor: AURA3 overall survival analysis","title-short":"Osimertinib versus platinum-pemetrexed for patients with EGFR T790M advanced NSCLC and progression on a prior EGFR-tyrosine kinase inhibitor","volume":"31","author":[{"family":"Papadimitrakopoulou","given":"V. A."},{"family":"Mok","given":"T. S."},{"family":"Han","given":"J.-Y."},{"family":"Ahn","given":"M.-J."},{"family":"Delmonte","given":"A."},{"family":"Ramalingam","given":"S. S."},{"family":"Kim","given":"S. W."},{"family":"Shepherd","given":"F. A."},{"family":"Laskin","given":"J."},{"family":"He","given":"Y."},{"family":"Akamatsu","given":"H."},{"family":"Theelen","given":"W. S. M. E."},{"family":"Su","given":"W.-C."},{"family":"John","given":"T."},{"family":"Sebastian","given":"M."},{"family":"Mann","given":"H."},{"family":"Miranda","given":"M."},{"family":"Laus","given":"G."},{"family":"Rukazenkov","given":"Y."},{"family":"Wu","given":"Y.-L."}],"issued":{"date-parts":[["2020",11]]}}},{"id":729,"uris":["http://zotero.org/users/14719789/items/RIBZJY6J"],"itemData":{"id":729,"type":"article-journal","container-title":"The New England Journal of Medicine","DOI":"10.1056/NEJMoa1612674","ISSN":"1533-4406","issue":"7","language":"English","note":"TLDR: Osimertinib had significantly greater efficacy than platinum therapy plus pemetrexed in patients with T790M‐positive advanced non‐small‐cell lung cancer (including those with CNS metastases) in whom disease had progressed during first‐line EGFR‐TKI therapy.","page":"629-640","publisher":"Massachussetts Medical Society","source":"research.manchester.ac.uk","title":"Osimertinib or Platinum-Pemetrexed in EGFR T790M-Positive Lung Cancer","volume":"376","author":[{"family":"Mok","given":"T. S."},{"family":"Wu","given":"Y.-L."},{"family":"Ahn","given":"Myung Ju"},{"family":"Garassino","given":"Marina Chiara"},{"family":"Kim","given":"H. R."},{"family":"Ramalingham","given":"S. S."},{"family":"Shepherd","given":"F. A."},{"family":"He","given":"Y."},{"family":"Akamatsu","given":"H."},{"family":"Theelen","given":"W."},{"family":"Lee","given":"C. K."},{"family":"Sebastian","given":"M."},{"family":"Templeton","given":"A."},{"family":"Mann","given":"H."},{"family":"Marotti","given":"M."},{"family":"Ghiorghiu","given":"S."},{"family":"Papadimitrakopoulou","given":"V. A."},{"family":"John","given":"T."},{"family":"Hasani","given":"A."},{"family":"Lee","given":"C."},{"family":"Dear","given":"R."},{"family":"O'Byrne","given":"K."},{"family":"Wheatley-Price","given":"P."},{"family":"Shepherd","given":"F."},{"family":"Chu","given":"Q."},{"family":"Laskin","given":"J."},{"family":"Blais","given":"N."},{"family":"Morzycki","given":"W."},{"family":"Zhou","given":"Q."},{"family":"Zhang","given":"L."},{"family":"Wang","given":"J."},{"family":"Zhou","given":"C."},{"family":"Lu","given":"S."},{"family":"Han","given":"B."},{"family":"Zhou","given":"J."},{"family":"Cheng","given":"Y."},{"family":"Zhou","given":"X."},{"family":"Zhang","given":"W."},{"family":"Chen","given":"G."},{"family":"Shi","given":"Y."},{"family":"He","given":"Y."},{"family":"Zhuang","given":"C."},{"family":"Zhao","given":"Y."},{"family":"Shan","given":"L."},{"family":"Jiang","given":"L."},{"family":"Li","given":"K."},{"family":"Cadranel","given":"J."},{"family":"Merle","given":"P."},{"family":"Quoix","given":"E."},{"family":"Planchard","given":"D."},{"family":"Barlesi","given":"F."},{"family":"Dansin","given":"E."},{"family":"Mazieres","given":"J."},{"family":"Coudert","given":"B."},{"family":"Schuler","given":"M."},{"family":"Deschler-Baier","given":"B."},{"family":"Griesinger","given":"F."},{"family":"Schulz","given":"C."},{"family":"Sebastian","given":"M."},{"family":"Kimmich","given":"M."},{"family":"Mok","given":"T."},{"family":"Ho","given":"J."},{"family":"Chan","given":"O. S. H."},{"family":"Lee","given":"V. H. F."},{"family":"Li","given":"Y. C."},{"family":"Ostoros","given":"G."},{"family":"Delmonte","given":"A."},{"family":"Novello","given":"S."},{"family":"Tonini","given":"G."},{"family":"Garassino","given":"M."},{"family":"Gridelli","given":"C."},{"family":"Ikeda","given":"N."},{"family":"Sakai","given":"H."},{"family":"Sekine","given":"A."},{"family":"Takahashi","given":"T."},{"family":"Fujisaka","given":"Y."},{"family":"Akamatsu","given":"H."},{"family":"Yoshioka","given":"H."},{"family":"Shimokawaji","given":"T."},{"family":"Tanaka","given":"H."},{"family":"Hida","given":"T."},{"family":"Kasahara","given":"K."},{"family":"Imamura","given":"F."},{"family":"Atagi","given":"S."},{"family":"Takeda","given":"K."},{"family":"Katakami","given":"N."},{"family":"Satouchi","given":"M."},{"family":"Nogami","given":"N."},{"family":"Okamoto","given":"I."},{"family":"Koyama","given":"R."},{"family":"Nakagawa","given":"K."},{"family":"Yokoi","given":"T."},{"family":"Kiura","given":"K."},{"family":"Maemondo","given":"M."},{"family":"Murakami","given":"S."},{"family":"Kim","given":"Y. H."},{"family":"Alexander","given":"J. Alatorre"},{"family":"Hernández","given":"C. Hernández"},{"family":"Engelsman-Theelen","given":"W."},{"family":"Langen","given":"A.","dropping-particle":"de"},{"family":"Groen","given":"H."},{"family":"Bulavina","given":"I."},{"family":"Poltoratskiy","given":"A."},{"family":"Laktionov","given":"K."},{"family":"Statsenko","given":"G."},{"family":"South","given":"S. O."},{"family":"Ahn","given":"M.-J."},{"family":"Kang","given":"J. H."},{"family":"Lee","given":"J. S."},{"family":"Kim","given":"H. R."},{"family":"Han","given":"J. Y."},{"family":"Kim","given":"S.-W."},{"family":"Cho","given":"E. K."},{"family":"Min","given":"Y. J."},{"family":"Lee","given":"K. H."},{"family":"Choi","given":"J.-H."},{"family":"Lee","given":"G.-W."},{"family":"Lee","given":"S. S."},{"family":"Kim","given":"J.-S."},{"family":"Font","given":"E. Felip"},{"family":"Casado","given":"D. Isla"},{"family":"Jaime","given":"J. Corral"},{"family":"Aix","given":"S. Ponce"},{"family":"Garrido-Lopez","given":"P."},{"family":"Dols","given":"M. Cobo"},{"family":"Ohman","given":"R."},{"family":"Bergman","given":"B."},{"family":"Kolbeck","given":"K.-G."},{"family":"Yang","given":"C.-H."},{"family":"Su","given":"W.-C."},{"family":"Hsia","given":"T.-C."},{"family":"Tsai","given":"C.-M."},{"family":"Chang","given":"G.-C."},{"family":"Yang","given":"C.-T."},{"family":"Wang","given":"C.-C."},{"family":"Ho","given":"M.-L."},{"family":"Lai","given":"R.-S."},{"family":"Wei","given":"Y.-F."},{"family":"Ko","given":"J.-C."},{"family":"Blackhall","given":"Fiona"},{"family":"Dangoor","given":"A."},{"family":"Koh","given":"P."},{"family":"Steele","given":"N."},{"family":"Price","given":"A."},{"family":"Nicolson","given":"M."},{"family":"Arkenau","given":"H.-T."},{"family":"Newsom-Davis","given":"T."},{"family":"Potter","given":"V."},{"family":"Greystoke","given":"A."},{"family":"Brown","given":"N."},{"family":"Gold","given":"K."},{"family":"Rizvi","given":"N."},{"family":"Ramalingham","given":"S."},{"family":"Ou","given":"S.-H."},{"family":"Cosgriff","given":"T."},{"family":"Frank","given":"R."},{"family":"Hanna","given":"N."},{"family":"Dragnev","given":"K."},{"family":"Mekhail","given":"T."},{"family":"Menon","given":"S."},{"family":"Charu","given":"V."},{"family":"Kaye","given":"F."},{"family":"Wrangle","given":"J."},{"family":"Smith","given":"F."},{"family":"Agrawal","given":"A."},{"family":"Anderson","given":"I."},{"family":"Hirsch","given":"R."},{"family":"Gill","given":"N."},{"family":"Harris","given":"M."},{"family":"Sui","given":"X."},{"family":"Belani","given":"C."}],"issued":{"date-parts":[["2017",2,16]]}}}],"schema":"https://github.com/citation-style-language/schema/raw/master/csl-citation.json"} </w:instrText>
      </w:r>
      <w:r>
        <w:rPr>
          <w:rFonts w:ascii="宋体" w:eastAsia="宋体" w:hAnsi="宋体" w:hint="eastAsia"/>
          <w:szCs w:val="21"/>
        </w:rPr>
        <w:fldChar w:fldCharType="separate"/>
      </w:r>
      <w:r w:rsidR="00DF1ED3" w:rsidRPr="00DF1ED3">
        <w:rPr>
          <w:rFonts w:ascii="宋体" w:eastAsia="宋体" w:hAnsi="宋体" w:cs="Times New Roman"/>
          <w:kern w:val="0"/>
          <w:vertAlign w:val="superscript"/>
        </w:rPr>
        <w:t>[21,22]</w:t>
      </w:r>
      <w:r>
        <w:rPr>
          <w:rFonts w:ascii="宋体" w:eastAsia="宋体" w:hAnsi="宋体" w:hint="eastAsia"/>
          <w:szCs w:val="21"/>
        </w:rPr>
        <w:fldChar w:fldCharType="end"/>
      </w:r>
      <w:r w:rsidR="00DC0C88">
        <w:rPr>
          <w:rFonts w:ascii="宋体" w:eastAsia="宋体" w:hAnsi="宋体" w:hint="eastAsia"/>
          <w:szCs w:val="21"/>
        </w:rPr>
        <w:t>。</w:t>
      </w:r>
      <w:r w:rsidR="00A00FBF" w:rsidRPr="00A00FBF">
        <w:rPr>
          <w:rFonts w:ascii="Times New Roman" w:eastAsia="宋体" w:hAnsi="Times New Roman" w:cs="Times New Roman"/>
          <w:szCs w:val="21"/>
        </w:rPr>
        <w:t>Ⅱb</w:t>
      </w:r>
      <w:r w:rsidR="00A00FBF" w:rsidRPr="00A00FBF">
        <w:rPr>
          <w:rFonts w:ascii="Times New Roman" w:eastAsia="宋体" w:hAnsi="Times New Roman" w:cs="Times New Roman"/>
          <w:szCs w:val="21"/>
        </w:rPr>
        <w:t>期伏美替尼研究纳入</w:t>
      </w:r>
      <w:r w:rsidR="00A00FBF" w:rsidRPr="00A00FBF">
        <w:rPr>
          <w:rFonts w:ascii="Times New Roman" w:eastAsia="宋体" w:hAnsi="Times New Roman" w:cs="Times New Roman"/>
          <w:szCs w:val="21"/>
        </w:rPr>
        <w:t>220</w:t>
      </w:r>
      <w:r w:rsidR="00A00FBF" w:rsidRPr="00A00FBF">
        <w:rPr>
          <w:rFonts w:ascii="Times New Roman" w:eastAsia="宋体" w:hAnsi="Times New Roman" w:cs="Times New Roman"/>
          <w:szCs w:val="21"/>
        </w:rPr>
        <w:t>例</w:t>
      </w:r>
      <w:r w:rsidR="00A00FBF" w:rsidRPr="00A00FBF">
        <w:rPr>
          <w:rFonts w:ascii="Times New Roman" w:eastAsia="宋体" w:hAnsi="Times New Roman" w:cs="Times New Roman"/>
          <w:szCs w:val="21"/>
        </w:rPr>
        <w:t>T790M</w:t>
      </w:r>
      <w:r w:rsidR="00A00FBF" w:rsidRPr="00A00FBF">
        <w:rPr>
          <w:rFonts w:ascii="Times New Roman" w:eastAsia="宋体" w:hAnsi="Times New Roman" w:cs="Times New Roman"/>
          <w:szCs w:val="21"/>
        </w:rPr>
        <w:t>阳性患者，</w:t>
      </w:r>
      <w:r w:rsidR="00A00FBF" w:rsidRPr="00A00FBF">
        <w:rPr>
          <w:rFonts w:ascii="Times New Roman" w:eastAsia="宋体" w:hAnsi="Times New Roman" w:cs="Times New Roman"/>
          <w:szCs w:val="21"/>
        </w:rPr>
        <w:t>ORR</w:t>
      </w:r>
      <w:r w:rsidR="00A00FBF" w:rsidRPr="00A00FBF">
        <w:rPr>
          <w:rFonts w:ascii="Times New Roman" w:eastAsia="宋体" w:hAnsi="Times New Roman" w:cs="Times New Roman"/>
          <w:szCs w:val="21"/>
        </w:rPr>
        <w:t>为</w:t>
      </w:r>
      <w:r w:rsidR="00A00FBF" w:rsidRPr="00A00FBF">
        <w:rPr>
          <w:rFonts w:ascii="Times New Roman" w:eastAsia="宋体" w:hAnsi="Times New Roman" w:cs="Times New Roman"/>
          <w:szCs w:val="21"/>
        </w:rPr>
        <w:t>74%</w:t>
      </w:r>
      <w:r w:rsidR="00A00FBF" w:rsidRPr="00A00FBF">
        <w:rPr>
          <w:rFonts w:ascii="Times New Roman" w:eastAsia="宋体" w:hAnsi="Times New Roman" w:cs="Times New Roman"/>
          <w:szCs w:val="21"/>
        </w:rPr>
        <w:t>，</w:t>
      </w:r>
      <w:r w:rsidR="00A00FBF" w:rsidRPr="00A00FBF">
        <w:rPr>
          <w:rFonts w:ascii="Times New Roman" w:eastAsia="宋体" w:hAnsi="Times New Roman" w:cs="Times New Roman"/>
          <w:szCs w:val="21"/>
        </w:rPr>
        <w:t>mPFS</w:t>
      </w:r>
      <w:r w:rsidR="00A00FBF" w:rsidRPr="00A00FBF">
        <w:rPr>
          <w:rFonts w:ascii="Times New Roman" w:eastAsia="宋体" w:hAnsi="Times New Roman" w:cs="Times New Roman"/>
          <w:szCs w:val="21"/>
        </w:rPr>
        <w:t>为</w:t>
      </w:r>
      <w:r w:rsidR="00A00FBF" w:rsidRPr="00A00FBF">
        <w:rPr>
          <w:rFonts w:ascii="Times New Roman" w:eastAsia="宋体" w:hAnsi="Times New Roman" w:cs="Times New Roman"/>
          <w:szCs w:val="21"/>
        </w:rPr>
        <w:t>9.6</w:t>
      </w:r>
      <w:r w:rsidR="00A00FBF" w:rsidRPr="00A00FBF">
        <w:rPr>
          <w:rFonts w:ascii="Times New Roman" w:eastAsia="宋体" w:hAnsi="Times New Roman" w:cs="Times New Roman"/>
          <w:szCs w:val="21"/>
        </w:rPr>
        <w:t>个月；</w:t>
      </w:r>
      <w:r w:rsidR="00A00FBF" w:rsidRPr="00A14D16">
        <w:rPr>
          <w:rFonts w:ascii="Times New Roman" w:eastAsia="宋体" w:hAnsi="Times New Roman" w:cs="Times New Roman"/>
          <w:szCs w:val="21"/>
        </w:rPr>
        <w:t>Ⅱ</w:t>
      </w:r>
      <w:r w:rsidR="00A00FBF" w:rsidRPr="00A00FBF">
        <w:rPr>
          <w:rFonts w:ascii="Times New Roman" w:eastAsia="宋体" w:hAnsi="Times New Roman" w:cs="Times New Roman"/>
          <w:szCs w:val="21"/>
        </w:rPr>
        <w:t>期</w:t>
      </w:r>
      <w:r w:rsidR="00A00FBF" w:rsidRPr="00A00FBF">
        <w:rPr>
          <w:rFonts w:ascii="Times New Roman" w:eastAsia="宋体" w:hAnsi="Times New Roman" w:cs="Times New Roman"/>
          <w:szCs w:val="21"/>
        </w:rPr>
        <w:t>APOLLO</w:t>
      </w:r>
      <w:r w:rsidR="00A00FBF" w:rsidRPr="00A00FBF">
        <w:rPr>
          <w:rFonts w:ascii="Times New Roman" w:eastAsia="宋体" w:hAnsi="Times New Roman" w:cs="Times New Roman"/>
          <w:szCs w:val="21"/>
        </w:rPr>
        <w:t>研究中，阿美替尼治疗</w:t>
      </w:r>
      <w:r w:rsidR="00A00FBF" w:rsidRPr="00A00FBF">
        <w:rPr>
          <w:rFonts w:ascii="Times New Roman" w:eastAsia="宋体" w:hAnsi="Times New Roman" w:cs="Times New Roman"/>
          <w:szCs w:val="21"/>
        </w:rPr>
        <w:t>244</w:t>
      </w:r>
      <w:r w:rsidR="00A00FBF" w:rsidRPr="00A00FBF">
        <w:rPr>
          <w:rFonts w:ascii="Times New Roman" w:eastAsia="宋体" w:hAnsi="Times New Roman" w:cs="Times New Roman"/>
          <w:szCs w:val="21"/>
        </w:rPr>
        <w:t>例</w:t>
      </w:r>
      <w:r w:rsidR="00A00FBF" w:rsidRPr="00A00FBF">
        <w:rPr>
          <w:rFonts w:ascii="Times New Roman" w:eastAsia="宋体" w:hAnsi="Times New Roman" w:cs="Times New Roman"/>
          <w:szCs w:val="21"/>
        </w:rPr>
        <w:t>T790M</w:t>
      </w:r>
      <w:r w:rsidR="00A00FBF" w:rsidRPr="00A00FBF">
        <w:rPr>
          <w:rFonts w:ascii="Times New Roman" w:eastAsia="宋体" w:hAnsi="Times New Roman" w:cs="Times New Roman"/>
          <w:szCs w:val="21"/>
        </w:rPr>
        <w:t>阳性患者的</w:t>
      </w:r>
      <w:r w:rsidR="00A00FBF" w:rsidRPr="00A00FBF">
        <w:rPr>
          <w:rFonts w:ascii="Times New Roman" w:eastAsia="宋体" w:hAnsi="Times New Roman" w:cs="Times New Roman"/>
          <w:szCs w:val="21"/>
        </w:rPr>
        <w:t>ORR</w:t>
      </w:r>
      <w:r w:rsidR="00A00FBF" w:rsidRPr="00A00FBF">
        <w:rPr>
          <w:rFonts w:ascii="Times New Roman" w:eastAsia="宋体" w:hAnsi="Times New Roman" w:cs="Times New Roman"/>
          <w:szCs w:val="21"/>
        </w:rPr>
        <w:t>为</w:t>
      </w:r>
      <w:r w:rsidR="00A00FBF" w:rsidRPr="00A00FBF">
        <w:rPr>
          <w:rFonts w:ascii="Times New Roman" w:eastAsia="宋体" w:hAnsi="Times New Roman" w:cs="Times New Roman"/>
          <w:szCs w:val="21"/>
        </w:rPr>
        <w:t>68.9%</w:t>
      </w:r>
      <w:r w:rsidR="00A00FBF" w:rsidRPr="00A00FBF">
        <w:rPr>
          <w:rFonts w:ascii="Times New Roman" w:eastAsia="宋体" w:hAnsi="Times New Roman" w:cs="Times New Roman"/>
          <w:szCs w:val="21"/>
        </w:rPr>
        <w:t>，</w:t>
      </w:r>
      <w:r w:rsidR="00A00FBF" w:rsidRPr="00A00FBF">
        <w:rPr>
          <w:rFonts w:ascii="Times New Roman" w:eastAsia="宋体" w:hAnsi="Times New Roman" w:cs="Times New Roman"/>
          <w:szCs w:val="21"/>
        </w:rPr>
        <w:t>mPFS</w:t>
      </w:r>
      <w:r w:rsidR="00A00FBF" w:rsidRPr="00A00FBF">
        <w:rPr>
          <w:rFonts w:ascii="Times New Roman" w:eastAsia="宋体" w:hAnsi="Times New Roman" w:cs="Times New Roman"/>
          <w:szCs w:val="21"/>
        </w:rPr>
        <w:t>为</w:t>
      </w:r>
      <w:r w:rsidR="00A00FBF" w:rsidRPr="00A00FBF">
        <w:rPr>
          <w:rFonts w:ascii="Times New Roman" w:eastAsia="宋体" w:hAnsi="Times New Roman" w:cs="Times New Roman"/>
          <w:szCs w:val="21"/>
        </w:rPr>
        <w:t>12.4</w:t>
      </w:r>
      <w:r w:rsidR="00A00FBF" w:rsidRPr="00A00FBF">
        <w:rPr>
          <w:rFonts w:ascii="Times New Roman" w:eastAsia="宋体" w:hAnsi="Times New Roman" w:cs="Times New Roman"/>
          <w:szCs w:val="21"/>
        </w:rPr>
        <w:t>个月，</w:t>
      </w:r>
      <w:r w:rsidR="00660D4E" w:rsidRPr="00A00FBF">
        <w:rPr>
          <w:rFonts w:ascii="Times New Roman" w:eastAsia="宋体" w:hAnsi="Times New Roman" w:cs="Times New Roman"/>
          <w:szCs w:val="21"/>
        </w:rPr>
        <w:t>显示出良好抗肿瘤活性与可耐受性</w:t>
      </w:r>
      <w:r w:rsidRPr="00F645FF">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{"citationID":"dpFq7mv2","properties":{"formattedCitation":"\\super [23,24]\\nosupersub{}","plainCitation":"[23,24]","noteIndex":0},"citationItems":[{"id":742,"uris":["http://zotero.org/users/14719789/items/5SRZGPPY"],"itemData":{"id":742,"type":"article-journal","abstract":"BACKGROUND: Furmonertinib (AST2818) is a third-generation epidermal growth factor receptor (EGFR) tyrosine kinase inhibitor (TKI) targeting both sensitising EGFR and EGFR Thr790Met (T790M) mutations. This study aimed to assess the efficacy and safety of furmonertinib in patients with EGFR T790M mutated advanced non-small-cell lung cancer (NSCLC).\nMETHODS: This study was a single-arm, open-label, phase 2b study at 46 hospitals across mainland China. Patients with locally advanced or metastatic NSCLC with centrally confirmed EGFR T790M mutations in tumour tissue who progressed after first or second generation EGFR TKIs or with primary EGFR T790M mutations received furmonertinib 80 mg orally once daily. The primary endpoint was objective response rate. Efficacy was assessed by blinded independent central review as per the Response Evaluation Criteria in Solid Tumors (version 1.1) in all patients who had measurable disease at baseline and received at least one dose of furmonertinib. Safety was assessed as per the Common Terminology Criteria for Adverse Events (version 4.03) in all patients who received at least one dose of furmonertinib with at least one safety assessment during follow-up. This study is registered with ClinicalTrials.gov (NCT03452592) and is ongoing for survival follow-up.\nFINDINGS: From Jun 4, 2018, to Dec 8, 2018, 220 patients received furmonertinib treatment. All 220 patients were included in the efficacy and safety analyses. At the data cutoff point of Jan 29, 2020, 71 (32%) patients remained on treatment. The median duration of follow-up was 9·6 months (range 0·7-19·4). The objective response rate was 74% (163 of 220 [95% CI 68-80]). Grade 3 or higher adverse events occurred in 58 (26%) patients and treatment-related grade 3 or higher adverse events occurred in 25 (11%) patients. The most common all-cause grade 3 or higher adverse events were increased γ-glutamyltransferase (five; 2%), increased aspartate aminotransferase, increased alanine aminotransferase, hyponatraemia, hypertension, pulmonary infection, hypermagnesaemia, and pericardial effusion (three each; 1%). Treatment-related diarrhoea was reported in ten (5%) patients and rashes were reported in 16 (7%) patients, all grade 1-2. Serious adverse events were reported in 52 (24%) patients, of which 12 (5%) were possibly treatment-related as evaluated by the investigator.\nINTERPRETATION: Furmonertinib has promising efficacy and an acceptable safety profile for the treatment of patients with EGFR T790M mutated NSCLC. Furmonertinib is expected to become a new treatment option after first or second generation EGFR TKIs in the Chinese population.\nFUNDING: Shanghai Allist Pharmaceutical Technology, Ministry of Science and Technology of the People's Republic of China, and Chinese Academy of Medical Sciences.\nTRANSLATION: For the Chinese translation of the abstract see Supplementary Materials section.","container-title":"The Lancet. Respiratory Medicine","DOI":"10.1016/S2213-2600(20)30455-0","ISSN":"2213-2619","issue":"8","journalAbbreviation":"Lancet Respir Med","language":"eng","note":"TLDR: Furmonertinib has promising efficacy and an acceptable safety profile for the treatment of patients with EG FR T790M mutated NSCLC and is expected to become a new treatment option after first or second generation EGFR TKIs in the Chinese population.","page":"829-839","PMID":"33780662","source":"PubMed","title":"Efficacy, safety, and genetic analysis of furmonertinib (AST2818) in patients with EGFR T790M mutated non-small-cell lung cancer: a phase 2b, multicentre, single-arm, open-label study","title-short":"Efficacy, safety, and genetic analysis of furmonertinib (AST2818) in patients with EGFR T790M mutated non-small-cell lung cancer","volume":"9","author":[{"family":"Shi","given":"Yuankai"},{"family":"Hu","given":"Xingsheng"},{"family":"Zhang","given":"Shucai"},{"family":"Lv","given":"Dongqing"},{"family":"Wu","given":"Lin"},{"family":"Yu","given":"Qitao"},{"family":"Zhang","given":"Yiping"},{"family":"Liu","given":"Li"},{"family":"Wang","given":"Xiang"},{"family":"Cheng","given":"Ying"},{"family":"Ma","given":"Zhiyong"},{"family":"Niu","given":"Hongrui"},{"family":"Wang","given":"Dong"},{"family":"Feng","given":"Jifeng"},{"family":"Huang","given":"Cheng"},{"family":"Liu","given":"Chunling"},{"family":"Zhao","given":"Hui"},{"family":"Li","given":"Jingzhang"},{"family":"Zhang","given":"Xiaodong"},{"family":"Jiang","given":"Yong"},{"family":"Gu","given":"Chuan"}],"issued":{"date-parts":[["2021",8]]}}},{"id":740,"uris":["http://zotero.org/users/14719789/items/EF339U3T"],"itemData":{"id":740,"type":"article-journal","abstract":"INTRODUCTION: Aumolertinib (formerly almonertinib; HS-10296) is a novel third-generation EGFR tyrosine kinase inhibitor (TKI) with revealed activity against EGFR-sensitizing mutations and EGFR T790M mutation.\nMETHODS: Patients with locally advanced or metastatic NSCLC who developed an EGFR T790M mutation after progression on first- or second-generation EGFR TKI therapy were enrolled in this registrational phase 2 trial of aumolertinib at 110 mg orally once daily (NCT02981108). The primary end point was objective response rate (ORR) by independent central review.\nRESULTS: A total of 244 patients with EGFR T790M-positive NSCLC were enrolled. The ORR by independent central review was 68.9% (95% confidence interval [CI]: 62.6-74.6). The disease control rate was 93.4% (95% CI: 89.6-96.2). The median duration of response was 15.1 months (95% CI: 12.5-16.6). The median progression-free survival was 12.4 months (95% CI: 9.7-15.0). Among 23 patients with assessable central nervous system (CNS) metastases, the CNS-ORR and CNS-disease control rate were 60.9% (95% CI: 38.5-80.3) and 91.3% (95% CI: 72.0-98.9), respectively. The median CNS-duration of response was 12.5 months (95% CI: 5.6-not reached). Treatment-related adverse events of more than or equal to grade 3 occurred in 16.4% of the patients, with the most common being increased blood creatine phosphokinase level (7%) and increased alanine aminotransferase level (1.2%). The relative dose density of aumolertinib was 99.2% in this study.\nCONCLUSIONS: Aumolertinib is an effective and well-tolerated third-generation EGFR TKI for patients with EGFR T790M-positive advanced NSCLC after disease progression on first- and second-generation EGFR TKI therapy. On the basis of these findings, aumolertinib was approved in the People's Republic of China for patients positive for EGFR T790M NSCLC.","container-title":"Journal of Thoracic Oncology: Official Publication of the International Association for the Study of Lung Cancer","DOI":"10.1016/j.jtho.2021.10.024","ISSN":"1556-1380","issue":"3","journalAbbreviation":"J Thorac Oncol","language":"eng","note":"TLDR: Aumolertinib is an effective and well-tolerated third-generation EG FR TKI for patients with EGFR T790M-positive advanced NSCLC after disease progression on first- and second-generationEGFR TKI therapy.","page":"411-422","PMID":"34801749","source":"PubMed","title":"Efficacy of Aumolertinib (HS-10296) in Patients With Advanced EGFR T790M+ NSCLC: Updated Post-National Medical Products Administration Approval Results From the APOLLO Registrational Trial","title-short":"Efficacy of Aumolertinib (HS-10296) in Patients With Advanced EGFR T790M+ NSCLC","volume":"17","author":[{"family":"Lu","given":"Shun"},{"family":"Wang","given":"Qiming"},{"family":"Zhang","given":"Guojun"},{"family":"Dong","given":"Xiaorong"},{"family":"Yang","given":"Cheng-Ta"},{"family":"Song","given":"Yong"},{"family":"Chang","given":"Gee-Chen"},{"family":"Lu","given":"You"},{"family":"Pan","given":"Hongming"},{"family":"Chiu","given":"Chao-Hua"},{"family":"Wang","given":"Zhehai"},{"family":"Feng","given":"Jifeng"},{"family":"Zhou","given":"Jianying"},{"family":"Xu","given":"Xingxiang"},{"family":"Guo","given":"Renhua"},{"family":"Chen","given":"Jianhua"},{"family":"Yang","given":"Haihua"},{"family":"Chen","given":"Yuan"},{"family":"Yu","given":"Zhuang"},{"family":"Shiah","given":"Her-Shyong"},{"family":"Wang","given":"Chin-Chou"},{"family":"Yang","given":"Nong"},{"family":"Fang","given":"Jian"},{"family":"Wang","given":"Ping"},{"family":"Wang","given":"Kai"},{"family":"Hu","given":"Yanping"},{"family":"He","given":"Jianxing"},{"family":"Wang","given":"Ziping"},{"family":"Shi","given":"Jianhua"},{"family":"Chen","given":"Shaoshui"},{"family":"Wu","given":"Qiong"},{"family":"Sun","given":"Changan"},{"family":"Li","given":"Chuan"},{"family":"Wei","given":"Hongying"},{"family":"Cheng","given":"Ying"},{"family":"Su","given":"Wu-Chou"},{"family":"Hsia","given":"Te-Chun"},{"family":"Cui","given":"Jiuwei"},{"family":"Sun","given":"Yuping"},{"family":"Ou","given":"Sai-Hong Ignatius"},{"family":"Zhu","given":"Viola W."},{"family":"Chih-Hsin Yang","given":"James"}],"issued":{"date-parts":[["2022",3]]}}}],"schema":"https://github.com/citation-style-language/schema/raw/master/csl-citation.json"} </w:instrText>
      </w:r>
      <w:r w:rsidRPr="00F645FF">
        <w:rPr>
          <w:rFonts w:ascii="宋体" w:eastAsia="宋体" w:hAnsi="宋体" w:hint="eastAsia"/>
          <w:szCs w:val="21"/>
        </w:rPr>
        <w:fldChar w:fldCharType="separate"/>
      </w:r>
      <w:r w:rsidR="00DF1ED3" w:rsidRPr="00DF1ED3">
        <w:rPr>
          <w:rFonts w:ascii="宋体" w:eastAsia="宋体" w:hAnsi="宋体" w:cs="Times New Roman"/>
          <w:kern w:val="0"/>
          <w:vertAlign w:val="superscript"/>
        </w:rPr>
        <w:t>[23,24]</w:t>
      </w:r>
      <w:r w:rsidRPr="00F645FF">
        <w:rPr>
          <w:rFonts w:ascii="宋体" w:eastAsia="宋体" w:hAnsi="宋体" w:hint="eastAsia"/>
          <w:szCs w:val="21"/>
        </w:rPr>
        <w:fldChar w:fldCharType="end"/>
      </w:r>
      <w:r w:rsidRPr="00F645FF">
        <w:rPr>
          <w:rFonts w:ascii="宋体" w:eastAsia="宋体" w:hAnsi="宋体"/>
          <w:szCs w:val="21"/>
        </w:rPr>
        <w:t>。</w:t>
      </w:r>
      <w:r w:rsidR="007272AC" w:rsidRPr="005B07FE">
        <w:rPr>
          <w:rFonts w:ascii="宋体" w:eastAsia="宋体" w:hAnsi="宋体" w:hint="eastAsia"/>
          <w:szCs w:val="21"/>
        </w:rPr>
        <w:t>随着第三代</w:t>
      </w:r>
      <w:r w:rsidR="007272AC" w:rsidRPr="005B07FE">
        <w:rPr>
          <w:rFonts w:ascii="Times New Roman" w:eastAsia="宋体" w:hAnsi="Times New Roman" w:cs="Times New Roman"/>
          <w:szCs w:val="21"/>
        </w:rPr>
        <w:t>EGFR-TKI</w:t>
      </w:r>
      <w:r w:rsidR="007272AC" w:rsidRPr="005B07FE">
        <w:rPr>
          <w:rFonts w:ascii="Times New Roman" w:eastAsia="宋体" w:hAnsi="Times New Roman" w:cs="Times New Roman"/>
          <w:szCs w:val="21"/>
        </w:rPr>
        <w:t>逐渐前移至一线治疗，</w:t>
      </w:r>
      <w:r w:rsidR="007272AC" w:rsidRPr="005B07FE">
        <w:rPr>
          <w:rFonts w:ascii="Times New Roman" w:eastAsia="宋体" w:hAnsi="Times New Roman" w:cs="Times New Roman"/>
          <w:szCs w:val="21"/>
        </w:rPr>
        <w:t>T790M</w:t>
      </w:r>
      <w:r w:rsidR="007272AC" w:rsidRPr="005B07FE">
        <w:rPr>
          <w:rFonts w:ascii="Times New Roman" w:eastAsia="宋体" w:hAnsi="Times New Roman" w:cs="Times New Roman"/>
          <w:szCs w:val="21"/>
        </w:rPr>
        <w:t>作为后续耐药靶点正在发生变化。一代或二代</w:t>
      </w:r>
      <w:r w:rsidR="007272AC" w:rsidRPr="005B07FE">
        <w:rPr>
          <w:rFonts w:ascii="Times New Roman" w:eastAsia="宋体" w:hAnsi="Times New Roman" w:cs="Times New Roman"/>
          <w:szCs w:val="21"/>
        </w:rPr>
        <w:t>EGFR-TKI</w:t>
      </w:r>
      <w:r w:rsidR="007272AC" w:rsidRPr="005B07FE">
        <w:rPr>
          <w:rFonts w:ascii="Times New Roman" w:eastAsia="宋体" w:hAnsi="Times New Roman" w:cs="Times New Roman"/>
          <w:szCs w:val="21"/>
        </w:rPr>
        <w:t>后</w:t>
      </w:r>
      <w:r w:rsidR="007272AC" w:rsidRPr="005B07FE">
        <w:rPr>
          <w:rFonts w:ascii="Times New Roman" w:eastAsia="宋体" w:hAnsi="Times New Roman" w:cs="Times New Roman"/>
          <w:szCs w:val="21"/>
        </w:rPr>
        <w:t>T790M</w:t>
      </w:r>
      <w:r w:rsidR="007272AC" w:rsidRPr="005B07FE">
        <w:rPr>
          <w:rFonts w:ascii="Times New Roman" w:eastAsia="宋体" w:hAnsi="Times New Roman" w:cs="Times New Roman"/>
          <w:szCs w:val="21"/>
        </w:rPr>
        <w:t>阳性患者已有明确的序贯治疗路径，而一线奥希替尼进展后，</w:t>
      </w:r>
      <w:r w:rsidR="007272AC" w:rsidRPr="005B07FE">
        <w:rPr>
          <w:rFonts w:ascii="Times New Roman" w:eastAsia="宋体" w:hAnsi="Times New Roman" w:cs="Times New Roman"/>
          <w:szCs w:val="21"/>
        </w:rPr>
        <w:t>T790M</w:t>
      </w:r>
      <w:r w:rsidR="007272AC" w:rsidRPr="005B07FE">
        <w:rPr>
          <w:rFonts w:ascii="Times New Roman" w:eastAsia="宋体" w:hAnsi="Times New Roman" w:cs="Times New Roman"/>
          <w:szCs w:val="21"/>
        </w:rPr>
        <w:t>不再是主要耐药问题，</w:t>
      </w:r>
      <w:r w:rsidR="007272AC" w:rsidRPr="00E203CA">
        <w:rPr>
          <w:rFonts w:ascii="Times New Roman" w:eastAsia="宋体" w:hAnsi="Times New Roman" w:cs="Times New Roman"/>
          <w:i/>
          <w:iCs/>
          <w:szCs w:val="21"/>
        </w:rPr>
        <w:t>MET</w:t>
      </w:r>
      <w:r w:rsidR="007272AC" w:rsidRPr="005B07FE">
        <w:rPr>
          <w:rFonts w:ascii="Times New Roman" w:eastAsia="宋体" w:hAnsi="Times New Roman" w:cs="Times New Roman"/>
          <w:szCs w:val="21"/>
        </w:rPr>
        <w:t>扩增、</w:t>
      </w:r>
      <w:r w:rsidR="007272AC" w:rsidRPr="005B07FE">
        <w:rPr>
          <w:rFonts w:ascii="Times New Roman" w:eastAsia="宋体" w:hAnsi="Times New Roman" w:cs="Times New Roman"/>
          <w:szCs w:val="21"/>
        </w:rPr>
        <w:t>C797S</w:t>
      </w:r>
      <w:r w:rsidR="007272AC" w:rsidRPr="005B07FE">
        <w:rPr>
          <w:rFonts w:ascii="Times New Roman" w:eastAsia="宋体" w:hAnsi="Times New Roman" w:cs="Times New Roman"/>
          <w:szCs w:val="21"/>
        </w:rPr>
        <w:t>突变、旁路信号激活和组织</w:t>
      </w:r>
      <w:r w:rsidR="007272AC" w:rsidRPr="005B07FE">
        <w:rPr>
          <w:rFonts w:ascii="Times New Roman" w:eastAsia="宋体" w:hAnsi="Times New Roman" w:cs="Times New Roman"/>
          <w:szCs w:val="21"/>
        </w:rPr>
        <w:lastRenderedPageBreak/>
        <w:t>学转化等机制的重要性相对增加。</w:t>
      </w:r>
    </w:p>
    <w:p w14:paraId="6F861957" w14:textId="6ADCDD95" w:rsidR="000A114D" w:rsidRPr="007751EE" w:rsidRDefault="00DA40D2" w:rsidP="00826AF0">
      <w:pPr>
        <w:spacing w:line="360" w:lineRule="auto"/>
        <w:jc w:val="left"/>
        <w:rPr>
          <w:rFonts w:ascii="Times New Roman" w:eastAsia="宋体" w:hAnsi="Times New Roman" w:cs="Times New Roman"/>
          <w:szCs w:val="21"/>
        </w:rPr>
      </w:pPr>
      <w:r>
        <w:rPr>
          <w:rFonts w:ascii="宋体" w:eastAsia="宋体" w:hAnsi="宋体" w:hint="eastAsia"/>
          <w:szCs w:val="21"/>
        </w:rPr>
        <w:t>2.</w:t>
      </w:r>
      <w:r w:rsidR="006F53EE">
        <w:rPr>
          <w:rFonts w:ascii="宋体" w:eastAsia="宋体" w:hAnsi="宋体" w:hint="eastAsia"/>
          <w:szCs w:val="21"/>
        </w:rPr>
        <w:t>3.2</w:t>
      </w:r>
      <w:r w:rsidR="00981748">
        <w:rPr>
          <w:rFonts w:ascii="宋体" w:eastAsia="宋体" w:hAnsi="宋体" w:hint="eastAsia"/>
          <w:szCs w:val="21"/>
        </w:rPr>
        <w:t xml:space="preserve"> </w:t>
      </w:r>
      <w:r w:rsidR="00981748" w:rsidRPr="006F2C80">
        <w:rPr>
          <w:rFonts w:ascii="Times New Roman" w:eastAsia="宋体" w:hAnsi="Times New Roman" w:cs="Times New Roman"/>
          <w:szCs w:val="21"/>
        </w:rPr>
        <w:t>C797S</w:t>
      </w:r>
    </w:p>
    <w:p w14:paraId="6EAEAA95" w14:textId="5AEFCBDC" w:rsidR="008D7395" w:rsidRDefault="00AE5556" w:rsidP="008D7395">
      <w:pPr>
        <w:spacing w:line="360" w:lineRule="auto"/>
        <w:ind w:firstLineChars="200" w:firstLine="420"/>
        <w:jc w:val="left"/>
        <w:rPr>
          <w:rFonts w:ascii="宋体" w:eastAsia="宋体" w:hAnsi="宋体" w:hint="eastAsia"/>
          <w:szCs w:val="21"/>
        </w:rPr>
      </w:pPr>
      <w:r w:rsidRPr="00AE5556">
        <w:rPr>
          <w:rFonts w:ascii="Times New Roman" w:eastAsia="宋体" w:hAnsi="Times New Roman" w:cs="Times New Roman" w:hint="eastAsia"/>
          <w:szCs w:val="21"/>
        </w:rPr>
        <w:t>C797S</w:t>
      </w:r>
      <w:r w:rsidRPr="00AE5556">
        <w:rPr>
          <w:rFonts w:ascii="Times New Roman" w:eastAsia="宋体" w:hAnsi="Times New Roman" w:cs="Times New Roman" w:hint="eastAsia"/>
          <w:szCs w:val="21"/>
        </w:rPr>
        <w:t>是第三代</w:t>
      </w:r>
      <w:r w:rsidRPr="00AE5556">
        <w:rPr>
          <w:rFonts w:ascii="Times New Roman" w:eastAsia="宋体" w:hAnsi="Times New Roman" w:cs="Times New Roman" w:hint="eastAsia"/>
          <w:szCs w:val="21"/>
        </w:rPr>
        <w:t>EGFR-TKI</w:t>
      </w:r>
      <w:r w:rsidRPr="00AE5556">
        <w:rPr>
          <w:rFonts w:ascii="Times New Roman" w:eastAsia="宋体" w:hAnsi="Times New Roman" w:cs="Times New Roman" w:hint="eastAsia"/>
          <w:szCs w:val="21"/>
        </w:rPr>
        <w:t>治疗后较具代表性的靶内耐药机制，其本质是</w:t>
      </w:r>
      <w:r w:rsidRPr="00AE5556">
        <w:rPr>
          <w:rFonts w:ascii="Times New Roman" w:eastAsia="宋体" w:hAnsi="Times New Roman" w:cs="Times New Roman" w:hint="eastAsia"/>
          <w:szCs w:val="21"/>
        </w:rPr>
        <w:t>EGFR</w:t>
      </w:r>
      <w:r w:rsidRPr="00AE5556">
        <w:rPr>
          <w:rFonts w:ascii="Times New Roman" w:eastAsia="宋体" w:hAnsi="Times New Roman" w:cs="Times New Roman" w:hint="eastAsia"/>
          <w:szCs w:val="21"/>
        </w:rPr>
        <w:t>第</w:t>
      </w:r>
      <w:r w:rsidRPr="00AE5556">
        <w:rPr>
          <w:rFonts w:ascii="Times New Roman" w:eastAsia="宋体" w:hAnsi="Times New Roman" w:cs="Times New Roman" w:hint="eastAsia"/>
          <w:szCs w:val="21"/>
        </w:rPr>
        <w:t>797</w:t>
      </w:r>
      <w:r w:rsidRPr="00AE5556">
        <w:rPr>
          <w:rFonts w:ascii="Times New Roman" w:eastAsia="宋体" w:hAnsi="Times New Roman" w:cs="Times New Roman" w:hint="eastAsia"/>
          <w:szCs w:val="21"/>
        </w:rPr>
        <w:t>位半胱氨酸替换，阻碍第三代</w:t>
      </w:r>
      <w:r w:rsidRPr="00AE5556">
        <w:rPr>
          <w:rFonts w:ascii="Times New Roman" w:eastAsia="宋体" w:hAnsi="Times New Roman" w:cs="Times New Roman" w:hint="eastAsia"/>
          <w:szCs w:val="21"/>
        </w:rPr>
        <w:t>EGFR-TKI</w:t>
      </w:r>
      <w:r w:rsidRPr="00AE5556">
        <w:rPr>
          <w:rFonts w:ascii="Times New Roman" w:eastAsia="宋体" w:hAnsi="Times New Roman" w:cs="Times New Roman" w:hint="eastAsia"/>
          <w:szCs w:val="21"/>
        </w:rPr>
        <w:t>与靶蛋白不可逆共价结合</w:t>
      </w:r>
      <w:r w:rsidR="00B6345D">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{"citationID":"yJaCnTfJ","properties":{"formattedCitation":"\\super [25]\\nosupersub{}","plainCitation":"[25]","noteIndex":0},"citationItems":[{"id":755,"uris":["http://zotero.org/users/14719789/items/S8XBCXZN"],"itemData":{"id":755,"type":"article-journal","abstract":"Purpose\nA secondary epidermal growth factor receptor (EGFR) mutation, T790M, is the most common resistance mechanism in EGFR mutant adenocarcinomas that have progressed on erlotinib. Third generation EGFR inhibitors capable of inhibiting mutant EGFR with T790M produce responses in nearly two thirds of patients. However, acquired resistance mechanisms in patients treated with these drugs are yet to be described.\n\nExperimental Design\nTo study acquired resistance to third generation EGFR inhibitors, T790M-positive cells derived from an erlotinib-resistant cancer were made resistant to a third generation TKI and then characterized using cell and molecular analyses.\n\nResults\nCells resistant to a third generation TKI acquired an additional EGFR mutation, C797S, which prevented suppression of EGFR. Our results demonstrate that the allelic context in which C797S was acquired may predict responsiveness to alternative treatments. If the C797S and T790M mutations are in trans, cells will be resistant to third generation EGFR TKIs, but will be sensitive to a combination of first and third generation TKIs. If the mutations are in cis, no EGFR TKIs alone or in combination can suppress activity. If C797S develops in cells wild type for T790 (when third generation TKIs are administered in the first line setting), the cells are resistant to third generation TKIs, but retain sensitivity to first generation TKIs.\n\nConclusions\nMutation of C797S in EGFR is a novel mechanism of acquired resistance to third generation TKIs. The context in which the C797S develops with respect to the other EGFR alleles impacts the efficacy of subsequent treatments.","container-title":"Clinical cancer research : an official journal of the American Association for Cancer Research","DOI":"10.1158/1078-0432.CCR-15-0560","ISSN":"1078-0432","issue":"17","journalAbbreviation":"Clin Cancer Res","note":"TLDR: The results demonstrate that the allelic context in which C797S was acquired may predict responsiveness to alternative treatments, and are a novel mechanism of acquired resistance to third-generation TKIs.","page":"3924-3933","PMID":"25964297","PMCID":"PMC4587765","source":"PubMed Central","title":"The allelic context of the C797S mutation acquired upon treatment with third generation EGFR inhibitors impacts sensitivity to subsequent treatment strategies","volume":"21","author":[{"family":"Niederst","given":"Matthew J."},{"family":"Hu","given":"Haichuan"},{"family":"Mulvey","given":"Hillary E."},{"family":"Lockerman","given":"Elizabeth L."},{"family":"Garcia","given":"Angel R."},{"family":"Piotrowska","given":"Zofia"},{"family":"Sequist","given":"Lecia V."},{"family":"Engelman","given":"Jeffrey A."}],"issued":{"date-parts":[["2015",9,1]]}}}],"schema":"https://github.com/citation-style-language/schema/raw/master/csl-citation.json"} </w:instrText>
      </w:r>
      <w:r w:rsidR="00B6345D">
        <w:rPr>
          <w:rFonts w:ascii="宋体" w:eastAsia="宋体" w:hAnsi="宋体" w:hint="eastAsia"/>
          <w:szCs w:val="21"/>
        </w:rPr>
        <w:fldChar w:fldCharType="separate"/>
      </w:r>
      <w:r w:rsidR="00DF1ED3" w:rsidRPr="00DF1ED3">
        <w:rPr>
          <w:rFonts w:ascii="宋体" w:eastAsia="宋体" w:hAnsi="宋体" w:cs="Times New Roman"/>
          <w:kern w:val="0"/>
          <w:vertAlign w:val="superscript"/>
        </w:rPr>
        <w:t>[25]</w:t>
      </w:r>
      <w:r w:rsidR="00B6345D">
        <w:rPr>
          <w:rFonts w:ascii="宋体" w:eastAsia="宋体" w:hAnsi="宋体" w:hint="eastAsia"/>
          <w:szCs w:val="21"/>
        </w:rPr>
        <w:fldChar w:fldCharType="end"/>
      </w:r>
      <w:r w:rsidR="0093035A" w:rsidRPr="0093035A">
        <w:rPr>
          <w:rFonts w:ascii="宋体" w:eastAsia="宋体" w:hAnsi="宋体"/>
          <w:szCs w:val="21"/>
        </w:rPr>
        <w:t>。</w:t>
      </w:r>
      <w:r w:rsidR="0093035A" w:rsidRPr="00F645FF">
        <w:rPr>
          <w:rFonts w:ascii="Times New Roman" w:eastAsia="宋体" w:hAnsi="Times New Roman" w:cs="Times New Roman"/>
          <w:szCs w:val="21"/>
        </w:rPr>
        <w:t>C797S</w:t>
      </w:r>
      <w:r w:rsidR="0093035A" w:rsidRPr="00F645FF">
        <w:rPr>
          <w:rFonts w:ascii="宋体" w:eastAsia="宋体" w:hAnsi="宋体"/>
          <w:szCs w:val="21"/>
        </w:rPr>
        <w:t>在一线奥希替尼耐药后的检出率约为</w:t>
      </w:r>
      <w:r w:rsidR="0093035A" w:rsidRPr="00F645FF">
        <w:rPr>
          <w:rFonts w:ascii="Times New Roman" w:eastAsia="宋体" w:hAnsi="Times New Roman" w:cs="Times New Roman"/>
          <w:szCs w:val="21"/>
        </w:rPr>
        <w:t>6%</w:t>
      </w:r>
      <w:r w:rsidR="00DD64E9" w:rsidRPr="00DD64E9">
        <w:rPr>
          <w:rFonts w:ascii="Times New Roman" w:eastAsia="宋体" w:hAnsi="Times New Roman" w:cs="Times New Roman" w:hint="eastAsia"/>
          <w:szCs w:val="21"/>
        </w:rPr>
        <w:t>～</w:t>
      </w:r>
      <w:r w:rsidR="0093035A" w:rsidRPr="00F645FF">
        <w:rPr>
          <w:rFonts w:ascii="Times New Roman" w:eastAsia="宋体" w:hAnsi="Times New Roman" w:cs="Times New Roman"/>
          <w:szCs w:val="21"/>
        </w:rPr>
        <w:t>7%</w:t>
      </w:r>
      <w:r w:rsidR="009863B9">
        <w:rPr>
          <w:rFonts w:ascii="宋体" w:eastAsia="宋体" w:hAnsi="宋体" w:hint="eastAsia"/>
          <w:szCs w:val="21"/>
        </w:rPr>
        <w:fldChar w:fldCharType="begin"/>
      </w:r>
      <w:r w:rsidR="00B525CC">
        <w:rPr>
          <w:rFonts w:ascii="宋体" w:eastAsia="宋体" w:hAnsi="宋体" w:hint="eastAsia"/>
          <w:szCs w:val="21"/>
        </w:rPr>
        <w:instrText xml:space="preserve"> ADDIN ZOTERO_ITEM CSL_CITATION {"citationID":"7ZpdYEEc","properties":{"formattedCitation":"\\super [8]\\nosupersub{}","plainCitation":"[8]","noteIndex":0},"citationItems":[{"id":714,"uris":["http://zotero.org/users/14719789/items/E7ES6J9G"],"itemData":{"id":714,"type":"article-journal","abstract":"Osimertinib, an epidermal growth factor receptor tyrosine kinase inhibitor (EGFR-TKI), potently and selectively inhibits EGFR-TKI-sensitizing and EGFR T790M resistance mutations. In the Phase III FLAURA study (NCT02296125), first-line osimertinib improved outcomes vs comparator EGFR-TKIs in EGFRm advanced non-small cell lung cancer. This analysis identifies acquired resistance mechanisms to first-line osimertinib. Next-generation sequencing assesses circulating</w:instrText>
      </w:r>
      <w:r w:rsidR="00B525CC">
        <w:rPr>
          <w:rFonts w:ascii="宋体" w:eastAsia="宋体" w:hAnsi="宋体"/>
          <w:szCs w:val="21"/>
        </w:rPr>
        <w:instrText>-tumor DNA from paired plasma samples (baseline and disease progression/treatment discontinuation) in patients with baseline EGFRm. No EGFR T790M-mediated acquired resistance are observed; most frequent resistance mechanisms are MET amplification (n</w:instrText>
      </w:r>
      <w:r w:rsidR="00B525CC">
        <w:rPr>
          <w:rFonts w:ascii="Times New Roman" w:eastAsia="宋体" w:hAnsi="Times New Roman" w:cs="Times New Roman"/>
          <w:szCs w:val="21"/>
        </w:rPr>
        <w:instrText> </w:instrText>
      </w:r>
      <w:r w:rsidR="00B525CC">
        <w:rPr>
          <w:rFonts w:ascii="宋体" w:eastAsia="宋体" w:hAnsi="宋体"/>
          <w:szCs w:val="21"/>
        </w:rPr>
        <w:instrText>=</w:instrText>
      </w:r>
      <w:r w:rsidR="00B525CC">
        <w:rPr>
          <w:rFonts w:ascii="Times New Roman" w:eastAsia="宋体" w:hAnsi="Times New Roman" w:cs="Times New Roman"/>
          <w:szCs w:val="21"/>
        </w:rPr>
        <w:instrText> </w:instrText>
      </w:r>
      <w:r w:rsidR="00B525CC">
        <w:rPr>
          <w:rFonts w:ascii="宋体" w:eastAsia="宋体" w:hAnsi="宋体"/>
          <w:szCs w:val="21"/>
        </w:rPr>
        <w:instrText>17; 16%) and EGFR C797S mutations (n</w:instrText>
      </w:r>
      <w:r w:rsidR="00B525CC">
        <w:rPr>
          <w:rFonts w:ascii="Times New Roman" w:eastAsia="宋体" w:hAnsi="Times New Roman" w:cs="Times New Roman"/>
          <w:szCs w:val="21"/>
        </w:rPr>
        <w:instrText> </w:instrText>
      </w:r>
      <w:r w:rsidR="00B525CC">
        <w:rPr>
          <w:rFonts w:ascii="宋体" w:eastAsia="宋体" w:hAnsi="宋体"/>
          <w:szCs w:val="21"/>
        </w:rPr>
        <w:instrText>=</w:instrText>
      </w:r>
      <w:r w:rsidR="00B525CC">
        <w:rPr>
          <w:rFonts w:ascii="Times New Roman" w:eastAsia="宋体" w:hAnsi="Times New Roman" w:cs="Times New Roman"/>
          <w:szCs w:val="21"/>
        </w:rPr>
        <w:instrText> </w:instrText>
      </w:r>
      <w:r w:rsidR="00B525CC">
        <w:rPr>
          <w:rFonts w:ascii="宋体" w:eastAsia="宋体" w:hAnsi="宋体"/>
          <w:szCs w:val="21"/>
        </w:rPr>
        <w:instrText>7; 6%). Future research investigating non-genetic acquired resistance mechanisms is warranted.","container-title":"Nature Communications","DOI":"10.1038/s41467-023-35961-y","ISSN":"2041-1723","issue":"1","journalAbbrevi</w:instrText>
      </w:r>
      <w:r w:rsidR="00B525CC">
        <w:rPr>
          <w:rFonts w:ascii="宋体" w:eastAsia="宋体" w:hAnsi="宋体" w:hint="eastAsia"/>
          <w:szCs w:val="21"/>
        </w:rPr>
        <w:instrText xml:space="preserve">ation":"Nat Commun","language":"en","license":"2023 The Author(s)","note":"TLDR: By next-generation sequencing of circulating tumor DNA, the authors assess candidate mechanisms of acquired resistance to first-line osimertinib in patients from the FLAURA trial, finding no EGFR T790M-mediated acquired resistance.","page":"1070","publisher":"Nature Publishing Group","source":"www.nature.com","title":"Candidate mechanisms of acquired resistance to first-line osimertinib in EGFR-mutated advanced non-small cell lung cancer","volume":"14","author":[{"family":"Chmielecki","given":"Juliann"},{"family":"Gray","given":"Jhanelle E."},{"family":"Cheng","given":"Ying"},{"family":"Ohe","given":"Yuichiro"},{"family":"Imamura","given":"Fumio"},{"family":"Cho","given":"Byoung Chul"},{"family":"Lin","given":"Meng-Chih"},{"family":"Majem","given":"Margarita"},{"family":"Shah","given":"Riyaz"},{"family":"Rukazenkov","given":"Yuri"},{"family":"Todd","given":"Alexander"},{"family":"Markovets","given":"Aleksandra"},{"family":"Barrett","given":"J. Carl"},{"family":"Hartmaier","given":"Ryan J."},{"family":"Ramalingam","given":"Suresh S."}],"issued":{"date-parts":[["2023",2,27]]}}}],"schema":"https://github.com/citation-style-language/schema/raw/master/csl-citation.json"} </w:instrText>
      </w:r>
      <w:r w:rsidR="009863B9">
        <w:rPr>
          <w:rFonts w:ascii="宋体" w:eastAsia="宋体" w:hAnsi="宋体" w:hint="eastAsia"/>
          <w:szCs w:val="21"/>
        </w:rPr>
        <w:fldChar w:fldCharType="separate"/>
      </w:r>
      <w:r w:rsidR="00B525CC" w:rsidRPr="00B525CC">
        <w:rPr>
          <w:rFonts w:ascii="宋体" w:eastAsia="宋体" w:hAnsi="宋体" w:cs="Times New Roman"/>
          <w:kern w:val="0"/>
          <w:vertAlign w:val="superscript"/>
        </w:rPr>
        <w:t>[8]</w:t>
      </w:r>
      <w:r w:rsidR="009863B9">
        <w:rPr>
          <w:rFonts w:ascii="宋体" w:eastAsia="宋体" w:hAnsi="宋体" w:hint="eastAsia"/>
          <w:szCs w:val="21"/>
        </w:rPr>
        <w:fldChar w:fldCharType="end"/>
      </w:r>
      <w:r w:rsidR="0093035A" w:rsidRPr="0093035A">
        <w:rPr>
          <w:rFonts w:ascii="宋体" w:eastAsia="宋体" w:hAnsi="宋体"/>
          <w:szCs w:val="21"/>
        </w:rPr>
        <w:t>。</w:t>
      </w:r>
      <w:r w:rsidR="0093035A" w:rsidRPr="006F53BD">
        <w:rPr>
          <w:rFonts w:ascii="宋体" w:eastAsia="宋体" w:hAnsi="宋体"/>
          <w:szCs w:val="21"/>
        </w:rPr>
        <w:t>围绕</w:t>
      </w:r>
      <w:r w:rsidR="0093035A" w:rsidRPr="006F53BD">
        <w:rPr>
          <w:rFonts w:ascii="Times New Roman" w:eastAsia="宋体" w:hAnsi="Times New Roman" w:cs="Times New Roman"/>
          <w:szCs w:val="21"/>
        </w:rPr>
        <w:t>C797S</w:t>
      </w:r>
      <w:r w:rsidR="00FF3F67">
        <w:rPr>
          <w:rFonts w:ascii="Times New Roman" w:eastAsia="宋体" w:hAnsi="Times New Roman" w:cs="Times New Roman" w:hint="eastAsia"/>
          <w:szCs w:val="21"/>
        </w:rPr>
        <w:t>的</w:t>
      </w:r>
      <w:r w:rsidR="0093035A" w:rsidRPr="006F53BD">
        <w:rPr>
          <w:rFonts w:ascii="宋体" w:eastAsia="宋体" w:hAnsi="宋体"/>
          <w:szCs w:val="21"/>
        </w:rPr>
        <w:t>进展</w:t>
      </w:r>
      <w:r w:rsidR="00FF3F67">
        <w:rPr>
          <w:rFonts w:ascii="宋体" w:eastAsia="宋体" w:hAnsi="宋体" w:hint="eastAsia"/>
          <w:szCs w:val="21"/>
        </w:rPr>
        <w:t>主要</w:t>
      </w:r>
      <w:r w:rsidR="0093035A" w:rsidRPr="006F53BD">
        <w:rPr>
          <w:rFonts w:ascii="宋体" w:eastAsia="宋体" w:hAnsi="宋体"/>
          <w:szCs w:val="21"/>
        </w:rPr>
        <w:t>在于等位基因构型分层</w:t>
      </w:r>
      <w:r w:rsidR="0093035A" w:rsidRPr="0093035A">
        <w:rPr>
          <w:rFonts w:ascii="宋体" w:eastAsia="宋体" w:hAnsi="宋体"/>
          <w:szCs w:val="21"/>
        </w:rPr>
        <w:t>，</w:t>
      </w:r>
      <w:r w:rsidR="0093035A" w:rsidRPr="0093035A">
        <w:rPr>
          <w:rFonts w:ascii="Times New Roman" w:eastAsia="宋体" w:hAnsi="Times New Roman" w:cs="Times New Roman"/>
          <w:szCs w:val="21"/>
        </w:rPr>
        <w:t>T790M/C797S</w:t>
      </w:r>
      <w:r w:rsidR="0093035A" w:rsidRPr="0093035A">
        <w:rPr>
          <w:rFonts w:ascii="宋体" w:eastAsia="宋体" w:hAnsi="宋体"/>
          <w:szCs w:val="21"/>
        </w:rPr>
        <w:t>处于</w:t>
      </w:r>
      <w:r w:rsidR="0093035A" w:rsidRPr="0093035A">
        <w:rPr>
          <w:rFonts w:ascii="Times New Roman" w:eastAsia="宋体" w:hAnsi="Times New Roman" w:cs="Times New Roman"/>
          <w:szCs w:val="21"/>
        </w:rPr>
        <w:t>trans</w:t>
      </w:r>
      <w:r w:rsidR="0093035A" w:rsidRPr="0093035A">
        <w:rPr>
          <w:rFonts w:ascii="宋体" w:eastAsia="宋体" w:hAnsi="宋体"/>
          <w:szCs w:val="21"/>
        </w:rPr>
        <w:t>构型时，第一代与第三代</w:t>
      </w:r>
      <w:r w:rsidR="0093035A" w:rsidRPr="0093035A">
        <w:rPr>
          <w:rFonts w:ascii="Times New Roman" w:eastAsia="宋体" w:hAnsi="Times New Roman" w:cs="Times New Roman"/>
          <w:szCs w:val="21"/>
        </w:rPr>
        <w:t>EGFR-TKI</w:t>
      </w:r>
      <w:r w:rsidR="0093035A" w:rsidRPr="0093035A">
        <w:rPr>
          <w:rFonts w:ascii="宋体" w:eastAsia="宋体" w:hAnsi="宋体"/>
          <w:szCs w:val="21"/>
        </w:rPr>
        <w:t>联合在理论上仍可保留抑制活性</w:t>
      </w:r>
      <w:r w:rsidR="00071238">
        <w:rPr>
          <w:rFonts w:ascii="宋体" w:eastAsia="宋体" w:hAnsi="宋体" w:hint="eastAsia"/>
          <w:szCs w:val="21"/>
        </w:rPr>
        <w:t>，</w:t>
      </w:r>
      <w:r w:rsidR="0093035A" w:rsidRPr="0093035A">
        <w:rPr>
          <w:rFonts w:ascii="宋体" w:eastAsia="宋体" w:hAnsi="宋体"/>
          <w:szCs w:val="21"/>
        </w:rPr>
        <w:t>处于</w:t>
      </w:r>
      <w:r w:rsidR="0093035A" w:rsidRPr="0093035A">
        <w:rPr>
          <w:rFonts w:ascii="Times New Roman" w:eastAsia="宋体" w:hAnsi="Times New Roman" w:cs="Times New Roman"/>
          <w:szCs w:val="21"/>
        </w:rPr>
        <w:t>cis</w:t>
      </w:r>
      <w:r w:rsidR="0093035A" w:rsidRPr="0093035A">
        <w:rPr>
          <w:rFonts w:ascii="宋体" w:eastAsia="宋体" w:hAnsi="宋体"/>
          <w:szCs w:val="21"/>
        </w:rPr>
        <w:t>构型时，常规</w:t>
      </w:r>
      <w:r w:rsidR="0093035A" w:rsidRPr="0093035A">
        <w:rPr>
          <w:rFonts w:ascii="Times New Roman" w:eastAsia="宋体" w:hAnsi="Times New Roman" w:cs="Times New Roman"/>
          <w:szCs w:val="21"/>
        </w:rPr>
        <w:t>EGFR-TKI</w:t>
      </w:r>
      <w:r w:rsidR="0093035A" w:rsidRPr="0093035A">
        <w:rPr>
          <w:rFonts w:ascii="宋体" w:eastAsia="宋体" w:hAnsi="宋体"/>
          <w:szCs w:val="21"/>
        </w:rPr>
        <w:t>单药或简单联合往往难以有效克服耐药</w:t>
      </w:r>
      <w:r w:rsidR="00721785">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{"citationID":"aQe4Spq3","properties":{"formattedCitation":"\\super [25]\\nosupersub{}","plainCitation":"[25]","noteIndex":0},"citationItems":[{"id":755,"uris":["http://zotero.org/users/14719789/items/S8XBCXZN"],"itemData":{"id":755,"type":"article-journal","abstract":"Purpose\nA secondary epidermal growth factor receptor (EGFR) mutation, T790M, is the most common resistance mechanism in EGFR mutant adenocarcinomas that have progressed on erlotinib. Third generation EGFR inhibitors capable of inhibiting mutant EGFR with T790M produce responses in nearly two thirds of patients. However, acquired resistance mechanisms in patients treated with these drugs are yet to be described.\n\nExperimental Design\nTo study acquired resistance to third generation EGFR inhibitors, T790M-positive cells derived from an erlotinib-resistant cancer were made resistant to a third generation TKI and then characterized using cell and molecular analyses.\n\nResults\nCells resistant to a third generation TKI acquired an additional EGFR mutation, C797S, which prevented suppression of EGFR. Our results demonstrate that the allelic context in which C797S was acquired may predict responsiveness to alternative treatments. If the C797S and T790M mutations are in trans, cells will be resistant to third generation EGFR TKIs, but will be sensitive to a combination of first and third generation TKIs. If the mutations are in cis, no EGFR TKIs alone or in combination can suppress activity. If C797S develops in cells wild type for T790 (when third generation TKIs are administered in the first line setting), the cells are resistant to third generation TKIs, but retain sensitivity to first generation TKIs.\n\nConclusions\nMutation of C797S in EGFR is a novel mechanism of acquired resistance to third generation TKIs. The context in which the C797S develops with respect to the other EGFR alleles impacts the efficacy of subsequent treatments.","container-title":"Clinical cancer research : an official journal of the American Association for Cancer Research","DOI":"10.1158/1078-0432.CCR-15-0560","ISSN":"1078-0432","issue":"17","journalAbbreviation":"Clin Cancer Res","note":"TLDR: The results demonstrate that the allelic context in which C797S was acquired may predict responsiveness to alternative treatments, and are a novel mechanism of acquired resistance to third-generation TKIs.","page":"3924-3933","PMID":"25964297","PMCID":"PMC4587765","source":"PubMed Central","title":"The allelic context of the C797S mutation acquired upon treatment with third generation EGFR inhibitors impacts sensitivity to subsequent treatment strategies","volume":"21","author":[{"family":"Niederst","given":"Matthew J."},{"family":"Hu","given":"Haichuan"},{"family":"Mulvey","given":"Hillary E."},{"family":"Lockerman","given":"Elizabeth L."},{"family":"Garcia","given":"Angel R."},{"family":"Piotrowska","given":"Zofia"},{"family":"Sequist","given":"Lecia V."},{"family":"Engelman","given":"Jeffrey A."}],"issued":{"date-parts":[["2015",9,1]]}}}],"schema":"https://github.com/citation-style-language/schema/raw/master/csl-citation.json"} </w:instrText>
      </w:r>
      <w:r w:rsidR="00721785">
        <w:rPr>
          <w:rFonts w:ascii="宋体" w:eastAsia="宋体" w:hAnsi="宋体" w:hint="eastAsia"/>
          <w:szCs w:val="21"/>
        </w:rPr>
        <w:fldChar w:fldCharType="separate"/>
      </w:r>
      <w:r w:rsidR="00DF1ED3" w:rsidRPr="00DF1ED3">
        <w:rPr>
          <w:rFonts w:ascii="宋体" w:eastAsia="宋体" w:hAnsi="宋体" w:cs="Times New Roman"/>
          <w:kern w:val="0"/>
          <w:vertAlign w:val="superscript"/>
        </w:rPr>
        <w:t>[25]</w:t>
      </w:r>
      <w:r w:rsidR="00721785">
        <w:rPr>
          <w:rFonts w:ascii="宋体" w:eastAsia="宋体" w:hAnsi="宋体" w:hint="eastAsia"/>
          <w:szCs w:val="21"/>
        </w:rPr>
        <w:fldChar w:fldCharType="end"/>
      </w:r>
      <w:r w:rsidR="0093035A" w:rsidRPr="0093035A">
        <w:rPr>
          <w:rFonts w:ascii="宋体" w:eastAsia="宋体" w:hAnsi="宋体"/>
          <w:szCs w:val="21"/>
        </w:rPr>
        <w:t>。</w:t>
      </w:r>
      <w:r w:rsidR="002F2582" w:rsidRPr="005B07FE">
        <w:rPr>
          <w:rFonts w:ascii="宋体" w:eastAsia="宋体" w:hAnsi="宋体" w:hint="eastAsia"/>
          <w:szCs w:val="21"/>
        </w:rPr>
        <w:t>真实世界研究亦提示，</w:t>
      </w:r>
      <w:r w:rsidR="002F2582" w:rsidRPr="00E203CA">
        <w:rPr>
          <w:rFonts w:ascii="Times New Roman" w:eastAsia="宋体" w:hAnsi="Times New Roman" w:cs="Times New Roman"/>
          <w:i/>
          <w:iCs/>
          <w:szCs w:val="21"/>
        </w:rPr>
        <w:t xml:space="preserve">EGFR </w:t>
      </w:r>
      <w:r w:rsidR="002F2582" w:rsidRPr="005B07FE">
        <w:rPr>
          <w:rFonts w:ascii="Times New Roman" w:eastAsia="宋体" w:hAnsi="Times New Roman" w:cs="Times New Roman"/>
          <w:szCs w:val="21"/>
        </w:rPr>
        <w:t>C797S</w:t>
      </w:r>
      <w:r w:rsidR="002F2582" w:rsidRPr="005B07FE">
        <w:rPr>
          <w:rFonts w:ascii="宋体" w:eastAsia="宋体" w:hAnsi="宋体" w:hint="eastAsia"/>
          <w:szCs w:val="21"/>
        </w:rPr>
        <w:t>突变后续治疗策略尚未完全标准化，不同分子背景下治疗反应存在差异，后续治疗应结合</w:t>
      </w:r>
      <w:r w:rsidR="002F2582" w:rsidRPr="005B07FE">
        <w:rPr>
          <w:rFonts w:ascii="Times New Roman" w:eastAsia="宋体" w:hAnsi="Times New Roman" w:cs="Times New Roman"/>
          <w:szCs w:val="21"/>
        </w:rPr>
        <w:t>T790M</w:t>
      </w:r>
      <w:r w:rsidR="002F2582" w:rsidRPr="005B07FE">
        <w:rPr>
          <w:rFonts w:ascii="宋体" w:eastAsia="宋体" w:hAnsi="宋体" w:hint="eastAsia"/>
          <w:szCs w:val="21"/>
        </w:rPr>
        <w:t>状态、顺反式构型及共突变背景进行综合判断</w:t>
      </w:r>
      <w:r w:rsidR="0026053F" w:rsidRPr="00F645FF">
        <w:rPr>
          <w:rFonts w:ascii="Times New Roman" w:eastAsia="宋体" w:hAnsi="Times New Roman" w:cs="Times New Roman"/>
          <w:szCs w:val="21"/>
        </w:rPr>
        <w:fldChar w:fldCharType="begin"/>
      </w:r>
      <w:r w:rsidR="00DF1ED3">
        <w:rPr>
          <w:rFonts w:ascii="Times New Roman" w:eastAsia="宋体" w:hAnsi="Times New Roman" w:cs="Times New Roman"/>
          <w:szCs w:val="21"/>
        </w:rPr>
        <w:instrText xml:space="preserve"> ADDIN ZOTERO_ITEM CSL_CITATION {"citationID":"aJcXlcbv","properties":{"formattedCitation":"\\super [26,27]\\nosupersub{}","plainCitation":"[26,27]","noteIndex":0},"citationItems":[{"id":765,"uris":["http://zotero.org/users/14719789/items/DNQAA6IS"],"itemData":{"id":765,"type":"article-journal","abstract":"BACKGROUND: The C797S mutation is a prevalent resistance mechanism to third-generation EGFR tyrosine kinase inhibitors (TKIs) in non-small cell lung cancer (NSCLC). Management of C797S-positive NSCLC encompasses diverse approaches, including targeted and chemotherapy-based therapies.\nMETHODS: This analysis included 44 C797S mutant NSCLC patients, all of whom had developed resistance to third-generation EGFR TKIs and had comprehensive treatment and survival data available.\nRESULTS: In the collective C797S + NSCLC cohort, chemotherapy-based therapies demonstrated superior progression-free survival (PFS) relative to non-chemotherapy treatments (5.5 versus 3.4 months, p = 0.014). Specific median PFS outcomes for various regimens were as follows: chemotherapy plus bevacizumab, 6.4 months; chemotherapy with both immunotherapy and bevacizumab, 6.1 months; and chemotherapy with immunotherapy, 4.2 months; chemotherapy alone, 3.8 months. Monotherapy and combinations involving anlotinib, different generations of EGFR TKIs, brigatinib with cetuximab, and immunotherapy alone ranged from 3.5 to 1.5 months. Among T790M+/C797S + cis patients, those receiving chemotherapy-based regimens experienced longer PFS compared to those treated with brigatinib and cetuximab (6.0 versus 2.9 months, p = 0.018). The T790M-/C797S + subgroup saw greater PFS benefits from EGFR TKI-based therapies compared to chemotherapy-based therapies (5.8 versus 4.8 months, p = 0.043).\nCONCLUSIONS: To date, chemotherapy-based treatments remain the standard of care for C797S + NSCLC patients resistant to third-generation EGFR TKIs. However, for T790M-/C797S + patients received a third-generation EGFR TKI as first-line therapy, EGFR-TKI rechallenge, involving a combination of first and third-generation EGFR TKIs or first/second-generation TKIs, may be an optimal strategy.","container-title":"BMC cancer","DOI":"10.1186/s12885-025-15335-x","ISSN":"1471-2407","issue":"1","journalAbbreviation":"BMC Cancer","language":"eng","note":"TLDR: To date, chemotherapy-based treatments remain the standard of care for C797S + NSCLC patients resistant to third-generation EGFR TKIs, but for T790M-/C797S + patients received a third-generation EGFR TKI as first-line therapy, EGFR-TKI rechallenge, involving a combination of first and third-generation EGFR TKIs or first/second-generation TK","page":"1879","PMID":"41430586","PMCID":"PMC12723867","source":"PubMed","title":"Real-world analysis of subsequent-line strategies for EGFR C797S mutant non-small cell lung cancer patients acquired resistance to third-generation EGFR tyrosine kinase inhibitors","volume":"25","author":[{"family":"Xu","given":"Jianlin"},{"family":"Zhu","given":"Anshun"},{"family":"Xu","given":"Yingqi"},{"family":"Zhang","given":"Yidan"},{"family":"Shen","given":"Yinchen"},{"family":"Niu","given":"Yongliang"},{"family":"Zhong","given":"Hua"},{"family":"Zhong","given":"Runbo"}],"issued":{"date-parts":[["2025",12,22]]}}},{"id":763,"uris":["http://zotero.org/users/14719789/items/FU24MTXA"],"itemData":{"id":763,"type":"article-journal","abstract":"INTRODUCTION: EGFR C797X (C797S or C797G) mutation is the most frequent on-target mechanism of resistance to osimertinib. The hypothesis that the allelic context of C797X/T790M has implications for treatment is on the basis of sporadic reports and needs validation with larger cohorts.\nMETHODS: We identified patients with EGFR C797X-mutant NSCLC from nine centers who progressed on osimertinib, all analyzed in a single laboratory through next-generation sequencing. We analyzed genomic profiles and assessed associations between clinical outcomes and C797X status.\nRESULTS: A total of 365 EGFR C797X-mutant cases were categorized into four subtypes on the basis of allelic context: in cis (75.3%), in trans (6.4%), cis&amp;trans (10.4%), and C797X-only (7.9%). Genomically, the cis&amp;trans subtype displayed the highest frequency of concurrent alterations at osimertinib resistance sites (21.1%), while the in cis subtype had the lowest (8.4%). Clinically, cis&amp;trans patients exhibited the worst progression-free survival (PFS) on both previous (median 7.7 mo) and subsequent treatment (median 1.0 mo) and overall survival (median 3.9 mo). In subsequent treatments, in cis patients exhibited superior PFS with combined brigatinib and cetuximab (median 11.0 mo) compared with other regimens (p = 0.005), while in trans patients exhibited variable outcomes with combined first or second- and third-generation EGFR inhibitor (PFS range: 0.7-8.1 mo, median 2.6 mo). Notably, subtype switching was observed after subsequent treatments, predominantly toward the in cis subtype.\nCONCLUSIONS: Allelic context could define four EGFR C797X-mutant NSCLC subtypes with heterogeneous genetic landscapes and distinct clinical outcomes. Subsequent treatments further complicate the scenario through subtype switching.","container-title":"Journal of Thoracic Oncology: Official Publication of the International Association for the Study of Lung Cancer","DOI":"10.1016/j.jtho.2023.11.016","ISSN":"1556-1380","issue":"4","journalAbbreviation":"J Thorac Oncol","language":"eng","note":"TLDR: Allelic context could define four EGFR C797X-mutant NSCLC subtypes with heterogeneous genetic landscape and distinct clinical outcomes and subtype switching was observed after subsequent treatments.","page":"601-612","PMID":"37981218","source":"PubMed","title":"Allelic Context of EGFR C797X-Mutant Lung Cancer Defines Four Subtypes With Heterogeneous Genomic Landscape and Distinct Clinical Outcomes","volume":"19","author":[{"family":"Lu","given":"Chang"},{"family":"Wei","given":"Xue-Wu"},{"family":"Wang","given":"Zhen"},{"family":"Zhou","given":"Zhen"},{"family":"Liu","given":"Yu-Tao"},{"family":"Zheng","given":"Di"},{"family":"He","given":"Yong"},{"family":"Xie","given":"Zhan-Hong"},{"family":"Li","given":"Yong"},{"family":"Zhang","given":"Yan"},{"family":"Zhang","given":"Yi-Chen"},{"family":"Huang","given":"Zi-Jian"},{"family":"Mei","given":"Shi-Qi"},{"family":"Liu","given":"Jia-Qi"},{"family":"Guan","given":"Xu-Hui"},{"family":"Deng","given":"Yu"},{"family":"Chen","given":"Zhi-Hong"},{"family":"Tu","given":"Hai-Yan"},{"family":"Xu","given":"Chong-Rui"},{"family":"Chen","given":"Hua-Jun"},{"family":"Zhong","given":"Wen-Zhao"},{"family":"Yang","given":"Jin-Ji"},{"family":"Zhang","given":"Xu-Chao"},{"family":"Mok","given":"Tony S. K."},{"family":"Wu","given":"Yi-Long"},{"family":"Zhou","given":"Qing"}],"issued":{"date-parts":[["2024",4]]}}}],"schema":"https://github.com/citation-style-language/schema/raw/master/csl-citation.json"} </w:instrText>
      </w:r>
      <w:r w:rsidR="0026053F" w:rsidRPr="00F645FF">
        <w:rPr>
          <w:rFonts w:ascii="Times New Roman" w:eastAsia="宋体" w:hAnsi="Times New Roman" w:cs="Times New Roman"/>
          <w:szCs w:val="21"/>
        </w:rPr>
        <w:fldChar w:fldCharType="separate"/>
      </w:r>
      <w:r w:rsidR="00DF1ED3" w:rsidRPr="00DF1ED3">
        <w:rPr>
          <w:rFonts w:ascii="宋体" w:eastAsia="宋体" w:hAnsi="宋体" w:cs="Times New Roman"/>
          <w:kern w:val="0"/>
          <w:vertAlign w:val="superscript"/>
        </w:rPr>
        <w:t>[26,27]</w:t>
      </w:r>
      <w:r w:rsidR="0026053F" w:rsidRPr="00F645FF">
        <w:rPr>
          <w:rFonts w:ascii="Times New Roman" w:eastAsia="宋体" w:hAnsi="Times New Roman" w:cs="Times New Roman"/>
          <w:szCs w:val="21"/>
        </w:rPr>
        <w:fldChar w:fldCharType="end"/>
      </w:r>
      <w:r w:rsidR="0093035A" w:rsidRPr="00F645FF">
        <w:rPr>
          <w:rFonts w:ascii="宋体" w:eastAsia="宋体" w:hAnsi="宋体"/>
          <w:szCs w:val="21"/>
        </w:rPr>
        <w:t>。</w:t>
      </w:r>
    </w:p>
    <w:p w14:paraId="0ED2C29B" w14:textId="04EB170E" w:rsidR="008D7395" w:rsidRDefault="00A00FBF" w:rsidP="008D7395">
      <w:pPr>
        <w:spacing w:line="360" w:lineRule="auto"/>
        <w:ind w:firstLineChars="200" w:firstLine="420"/>
        <w:jc w:val="left"/>
        <w:rPr>
          <w:rFonts w:ascii="宋体" w:eastAsia="宋体" w:hAnsi="宋体" w:hint="eastAsia"/>
          <w:szCs w:val="21"/>
        </w:rPr>
      </w:pPr>
      <w:r w:rsidRPr="00A00FBF">
        <w:rPr>
          <w:rFonts w:ascii="Times New Roman" w:eastAsia="宋体" w:hAnsi="Times New Roman" w:cs="Times New Roman" w:hint="eastAsia"/>
          <w:szCs w:val="21"/>
        </w:rPr>
        <w:t>目前针对</w:t>
      </w:r>
      <w:r w:rsidRPr="00A00FBF">
        <w:rPr>
          <w:rFonts w:ascii="Times New Roman" w:eastAsia="宋体" w:hAnsi="Times New Roman" w:cs="Times New Roman" w:hint="eastAsia"/>
          <w:szCs w:val="21"/>
        </w:rPr>
        <w:t>C797S</w:t>
      </w:r>
      <w:r w:rsidRPr="00A00FBF">
        <w:rPr>
          <w:rFonts w:ascii="Times New Roman" w:eastAsia="宋体" w:hAnsi="Times New Roman" w:cs="Times New Roman" w:hint="eastAsia"/>
          <w:szCs w:val="21"/>
        </w:rPr>
        <w:t>的治疗仍以第四代</w:t>
      </w:r>
      <w:r w:rsidRPr="00A00FBF">
        <w:rPr>
          <w:rFonts w:ascii="Times New Roman" w:eastAsia="宋体" w:hAnsi="Times New Roman" w:cs="Times New Roman" w:hint="eastAsia"/>
          <w:szCs w:val="21"/>
        </w:rPr>
        <w:t>EGFR</w:t>
      </w:r>
      <w:r w:rsidRPr="00A00FBF">
        <w:rPr>
          <w:rFonts w:ascii="Times New Roman" w:eastAsia="宋体" w:hAnsi="Times New Roman" w:cs="Times New Roman" w:hint="eastAsia"/>
          <w:szCs w:val="21"/>
        </w:rPr>
        <w:t>抑制剂的早期探索为主。</w:t>
      </w:r>
      <w:r w:rsidRPr="00A00FBF">
        <w:rPr>
          <w:rFonts w:ascii="Times New Roman" w:eastAsia="宋体" w:hAnsi="Times New Roman" w:cs="Times New Roman" w:hint="eastAsia"/>
          <w:szCs w:val="21"/>
        </w:rPr>
        <w:t>HS-10375</w:t>
      </w:r>
      <w:r w:rsidRPr="00A00FBF">
        <w:rPr>
          <w:rFonts w:ascii="Times New Roman" w:eastAsia="宋体" w:hAnsi="Times New Roman" w:cs="Times New Roman" w:hint="eastAsia"/>
          <w:szCs w:val="21"/>
        </w:rPr>
        <w:t>在</w:t>
      </w:r>
      <w:r w:rsidRPr="00A14D16">
        <w:rPr>
          <w:rFonts w:ascii="Times New Roman" w:eastAsia="宋体" w:hAnsi="Times New Roman" w:cs="Times New Roman"/>
          <w:szCs w:val="21"/>
        </w:rPr>
        <w:t>Ⅰ</w:t>
      </w:r>
      <w:r w:rsidRPr="00A00FBF">
        <w:rPr>
          <w:rFonts w:ascii="Times New Roman" w:eastAsia="宋体" w:hAnsi="Times New Roman" w:cs="Times New Roman" w:hint="eastAsia"/>
          <w:szCs w:val="21"/>
        </w:rPr>
        <w:t>期首次人体剂量递增研究中纳入</w:t>
      </w:r>
      <w:r w:rsidRPr="00A00FBF">
        <w:rPr>
          <w:rFonts w:ascii="Times New Roman" w:eastAsia="宋体" w:hAnsi="Times New Roman" w:cs="Times New Roman" w:hint="eastAsia"/>
          <w:szCs w:val="21"/>
        </w:rPr>
        <w:t>28</w:t>
      </w:r>
      <w:r w:rsidRPr="00A00FBF">
        <w:rPr>
          <w:rFonts w:ascii="Times New Roman" w:eastAsia="宋体" w:hAnsi="Times New Roman" w:cs="Times New Roman" w:hint="eastAsia"/>
          <w:szCs w:val="21"/>
        </w:rPr>
        <w:t>例既往</w:t>
      </w:r>
      <w:r w:rsidRPr="00A00FBF">
        <w:rPr>
          <w:rFonts w:ascii="Times New Roman" w:eastAsia="宋体" w:hAnsi="Times New Roman" w:cs="Times New Roman" w:hint="eastAsia"/>
          <w:szCs w:val="21"/>
        </w:rPr>
        <w:t>EGFR-TKI</w:t>
      </w:r>
      <w:r w:rsidRPr="00A00FBF">
        <w:rPr>
          <w:rFonts w:ascii="Times New Roman" w:eastAsia="宋体" w:hAnsi="Times New Roman" w:cs="Times New Roman" w:hint="eastAsia"/>
          <w:szCs w:val="21"/>
        </w:rPr>
        <w:t>治疗失败患者，</w:t>
      </w:r>
      <w:r w:rsidRPr="00A00FBF">
        <w:rPr>
          <w:rFonts w:ascii="Times New Roman" w:eastAsia="宋体" w:hAnsi="Times New Roman" w:cs="Times New Roman" w:hint="eastAsia"/>
          <w:szCs w:val="21"/>
        </w:rPr>
        <w:t>21</w:t>
      </w:r>
      <w:r w:rsidRPr="00A00FBF">
        <w:rPr>
          <w:rFonts w:ascii="Times New Roman" w:eastAsia="宋体" w:hAnsi="Times New Roman" w:cs="Times New Roman" w:hint="eastAsia"/>
          <w:szCs w:val="21"/>
        </w:rPr>
        <w:t>例可评价患者的确认</w:t>
      </w:r>
      <w:r w:rsidRPr="00A00FBF">
        <w:rPr>
          <w:rFonts w:ascii="Times New Roman" w:eastAsia="宋体" w:hAnsi="Times New Roman" w:cs="Times New Roman" w:hint="eastAsia"/>
          <w:szCs w:val="21"/>
        </w:rPr>
        <w:t>ORR</w:t>
      </w:r>
      <w:r w:rsidRPr="00A00FBF">
        <w:rPr>
          <w:rFonts w:ascii="Times New Roman" w:eastAsia="宋体" w:hAnsi="Times New Roman" w:cs="Times New Roman" w:hint="eastAsia"/>
          <w:szCs w:val="21"/>
        </w:rPr>
        <w:t>为</w:t>
      </w:r>
      <w:r w:rsidRPr="00A00FBF">
        <w:rPr>
          <w:rFonts w:ascii="Times New Roman" w:eastAsia="宋体" w:hAnsi="Times New Roman" w:cs="Times New Roman" w:hint="eastAsia"/>
          <w:szCs w:val="21"/>
        </w:rPr>
        <w:t>4.8%</w:t>
      </w:r>
      <w:r w:rsidRPr="00A00FBF">
        <w:rPr>
          <w:rFonts w:ascii="Times New Roman" w:eastAsia="宋体" w:hAnsi="Times New Roman" w:cs="Times New Roman" w:hint="eastAsia"/>
          <w:szCs w:val="21"/>
        </w:rPr>
        <w:t>，</w:t>
      </w:r>
      <w:r w:rsidRPr="00A00FBF">
        <w:rPr>
          <w:rFonts w:ascii="Times New Roman" w:eastAsia="宋体" w:hAnsi="Times New Roman" w:cs="Times New Roman" w:hint="eastAsia"/>
          <w:szCs w:val="21"/>
        </w:rPr>
        <w:t>DCR</w:t>
      </w:r>
      <w:r w:rsidRPr="00A00FBF">
        <w:rPr>
          <w:rFonts w:ascii="Times New Roman" w:eastAsia="宋体" w:hAnsi="Times New Roman" w:cs="Times New Roman" w:hint="eastAsia"/>
          <w:szCs w:val="21"/>
        </w:rPr>
        <w:t>为</w:t>
      </w:r>
      <w:r w:rsidRPr="00A00FBF">
        <w:rPr>
          <w:rFonts w:ascii="Times New Roman" w:eastAsia="宋体" w:hAnsi="Times New Roman" w:cs="Times New Roman" w:hint="eastAsia"/>
          <w:szCs w:val="21"/>
        </w:rPr>
        <w:t>14.3%</w:t>
      </w:r>
      <w:r w:rsidRPr="00A00FBF">
        <w:rPr>
          <w:rFonts w:ascii="Times New Roman" w:eastAsia="宋体" w:hAnsi="Times New Roman" w:cs="Times New Roman" w:hint="eastAsia"/>
          <w:szCs w:val="21"/>
        </w:rPr>
        <w:t>，仅</w:t>
      </w:r>
      <w:r w:rsidRPr="00A00FBF">
        <w:rPr>
          <w:rFonts w:ascii="Times New Roman" w:eastAsia="宋体" w:hAnsi="Times New Roman" w:cs="Times New Roman" w:hint="eastAsia"/>
          <w:szCs w:val="21"/>
        </w:rPr>
        <w:t>1</w:t>
      </w:r>
      <w:r w:rsidRPr="00A00FBF">
        <w:rPr>
          <w:rFonts w:ascii="Times New Roman" w:eastAsia="宋体" w:hAnsi="Times New Roman" w:cs="Times New Roman" w:hint="eastAsia"/>
          <w:szCs w:val="21"/>
        </w:rPr>
        <w:t>例获得确认部分缓解</w:t>
      </w:r>
      <w:r w:rsidR="0079559B">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{"citationID":"puGnprEG","properties":{"formattedCitation":"\\super [28]\\nosupersub{}","plainCitation":"[28]","noteIndex":0},"citationItems":[{"id":768,"uris":["http://zotero.org/users/14719789/items/AVTND25N"],"itemData":{"id":768,"type":"article-journal","abstract":"Background\nThe C797S mutation is one of the most common mechanisms of acquired resistance to third generation EGFR TKIs, yet no approved therapies have been available to target it. Here we developed a novel selective EGFR C797S inhibitor, HS-10375, and report the results of pre-clinical research and the first-in-human phase 1 trial.\n\nMethods\nBa/F3 cell lines and patient-derived cells expressing mutant EGFR were used to test the selectively inhibitory potency of HS-10375 in vitro, and cell line-derived xenograft animal models were used to evaluate the anticancer efficacy of HS-10375 in vivo. In the phase 1 trial, HS-10375 was administered orally at six dose levels (10–240 mg) daily (QD) in 21-day cycles, following a rule-based, rolling six design. The primary objectives were the safety, tolerability and maximum tolerated dose (MTD). The secondary objectives included PK parameters and anti-tumor activity.\n\nResults\nHS-10375 showed more potent activity in inhibiting EGFR phosphorylation compared to 1st to 3rd generation EGFR TKIs in C797S triple-mutant cell lines. HS-10375 also exhibited comparable inhibitory activity to 1st- and 2nd- generation EGFR TKIs and superior activity to 3rd-generation EGFR TKIs in C797S double-mutant cell lines. Furthermore, cells harboring EGFR double or triple C797S mutation underwent remarkable apoptosis upon HS-10375 treatment. HS-10375 effectively inhibited tumor growth in C797S triple-mutant mouse models. In the first-in-human trial, 28 patients with advanced or metastatic non–small cell lung cancers who harbored EGFR mutation and who had experienced treatment failure with EGFR TKI treatment received at least one dose of HS-10375. Dose-limiting toxicities were observed in 2 patients at 240 mg QD, and MTD was reached at HS-10375 150 mg QD. The most common treatment-related adverse events were vomit (37.0%), loss of appetite (33.3%), and elevated AST (33.3%). One patient with EGFR mutations showed tumor shrinkage after progression on five-line treatment including gefitinib, almonertinib, chemotherapy, immunotherapy, and EGFRxHER3 antibody–drug conjugate.\n\nConclusions\nHS-10375 demonstrated potent and mutant-selective activity against the EGFR C797S mutation in preclinical results, and showed an acceptable safety profile and objective response in a first-in-human phase 1 trial., Trial registration This trial is registered on China Drug Trials (CTR20220045), and ClinicalTrials.gov (NCT05435248).\n\nSupplementary Information\nThe online version contains supplementary material available at 10.1186/s12967-025-06613-0.","container-title":"Journal of Translational Medicine","DOI":"10.1186/s12967-025-06613-0","ISSN":"1479-5876","journalAbbreviation":"J Transl Med","note":"TLDR: HS-10375 demonstrated potent and mutant-selective activity against the EGFR C797S mutation in preclinical results, and showed an acceptable safety profile and objective response in a first-in-human phase 1 trial.","page":"628","PMID":"40468352","PMCID":"PMC12135467","source":"PubMed Central","title":"HS-10375, a selective EGFR C797S tyrosine kinase inhibitor, in advanced non–small cell lung cancer","volume":"23","author":[{"family":"Zhan","given":"Jianhua"},{"family":"Xue","given":"Jinhui"},{"family":"Wu","given":"Lin"},{"family":"Zhang","given":"Zhiye"},{"family":"Wang","given":"Qiming"},{"family":"Ma","given":"Yuxiang"},{"family":"Huang","given":"Yan"},{"family":"Yang","given":"Yunpeng"},{"family":"Zhao","given":"Yuanyuan"},{"family":"Fang","given":"Wenfeng"},{"family":"Zhang","given":"Yang"},{"family":"Liu","given":"Qianwen"},{"family":"Xu","given":"Wen"},{"family":"Yang","given":"Yan"},{"family":"Chen","given":"Zhenming"},{"family":"Song","given":"Baili"},{"family":"Sun","given":"Danni"},{"family":"Sun","given":"Xia"},{"family":"Gao","given":"Peng"},{"family":"Zhao","given":"Hongyun"},{"family":"Zhang","given":"Li"}],"issued":{"date-parts":[["2025",6,4]]}}}],"schema":"https://github.com/citation-style-language/schema/raw/master/csl-citation.json"} </w:instrText>
      </w:r>
      <w:r w:rsidR="0079559B">
        <w:rPr>
          <w:rFonts w:ascii="宋体" w:eastAsia="宋体" w:hAnsi="宋体" w:hint="eastAsia"/>
          <w:szCs w:val="21"/>
        </w:rPr>
        <w:fldChar w:fldCharType="separate"/>
      </w:r>
      <w:r w:rsidR="00DF1ED3" w:rsidRPr="00DF1ED3">
        <w:rPr>
          <w:rFonts w:ascii="宋体" w:eastAsia="宋体" w:hAnsi="宋体" w:cs="Times New Roman"/>
          <w:kern w:val="0"/>
          <w:vertAlign w:val="superscript"/>
        </w:rPr>
        <w:t>[28]</w:t>
      </w:r>
      <w:r w:rsidR="0079559B">
        <w:rPr>
          <w:rFonts w:ascii="宋体" w:eastAsia="宋体" w:hAnsi="宋体" w:hint="eastAsia"/>
          <w:szCs w:val="21"/>
        </w:rPr>
        <w:fldChar w:fldCharType="end"/>
      </w:r>
      <w:r>
        <w:rPr>
          <w:rFonts w:ascii="宋体" w:eastAsia="宋体" w:hAnsi="宋体" w:hint="eastAsia"/>
        </w:rPr>
        <w:t>，</w:t>
      </w:r>
      <w:r w:rsidRPr="00A00FBF">
        <w:rPr>
          <w:rFonts w:ascii="Times New Roman" w:eastAsia="宋体" w:hAnsi="Times New Roman" w:cs="Times New Roman"/>
          <w:szCs w:val="21"/>
        </w:rPr>
        <w:t>提示临床疗效仍需进一步验证。</w:t>
      </w:r>
      <w:r w:rsidRPr="00A00FBF">
        <w:rPr>
          <w:rFonts w:ascii="Times New Roman" w:eastAsia="宋体" w:hAnsi="Times New Roman" w:cs="Times New Roman"/>
          <w:szCs w:val="21"/>
        </w:rPr>
        <w:t>BBT-176</w:t>
      </w:r>
      <w:r w:rsidRPr="00A00FBF">
        <w:rPr>
          <w:rFonts w:ascii="Times New Roman" w:eastAsia="宋体" w:hAnsi="Times New Roman" w:cs="Times New Roman"/>
          <w:szCs w:val="21"/>
        </w:rPr>
        <w:t>在临床前模型及</w:t>
      </w:r>
      <w:r w:rsidRPr="00A00FBF">
        <w:rPr>
          <w:rFonts w:ascii="Times New Roman" w:eastAsia="宋体" w:hAnsi="Times New Roman" w:cs="Times New Roman"/>
          <w:szCs w:val="21"/>
        </w:rPr>
        <w:t>Ⅰ</w:t>
      </w:r>
      <w:r w:rsidRPr="00A00FBF">
        <w:rPr>
          <w:rFonts w:ascii="Times New Roman" w:eastAsia="宋体" w:hAnsi="Times New Roman" w:cs="Times New Roman"/>
          <w:szCs w:val="21"/>
        </w:rPr>
        <w:t>期研究中亦观察到部分</w:t>
      </w:r>
      <w:r w:rsidRPr="00A00FBF">
        <w:rPr>
          <w:rFonts w:ascii="Times New Roman" w:eastAsia="宋体" w:hAnsi="Times New Roman" w:cs="Times New Roman"/>
          <w:szCs w:val="21"/>
        </w:rPr>
        <w:t>C797S</w:t>
      </w:r>
      <w:r w:rsidRPr="00A00FBF">
        <w:rPr>
          <w:rFonts w:ascii="Times New Roman" w:eastAsia="宋体" w:hAnsi="Times New Roman" w:cs="Times New Roman"/>
          <w:szCs w:val="21"/>
        </w:rPr>
        <w:t>突变患者出现肿瘤缓解，但目前样本量较小，尚缺乏成熟的</w:t>
      </w:r>
      <w:r w:rsidRPr="00A00FBF">
        <w:rPr>
          <w:rFonts w:ascii="Times New Roman" w:eastAsia="宋体" w:hAnsi="Times New Roman" w:cs="Times New Roman"/>
          <w:szCs w:val="21"/>
        </w:rPr>
        <w:t>PFS</w:t>
      </w:r>
      <w:r w:rsidRPr="00A00FBF">
        <w:rPr>
          <w:rFonts w:ascii="Times New Roman" w:eastAsia="宋体" w:hAnsi="Times New Roman" w:cs="Times New Roman"/>
          <w:szCs w:val="21"/>
        </w:rPr>
        <w:t>及随机对照证据</w:t>
      </w:r>
      <w:r w:rsidR="000275BD">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{"citationID":"uGWiwK97","properties":{"formattedCitation":"\\super [29]\\nosupersub{}","plainCitation":"[29]","noteIndex":0},"citationItems":[{"id":771,"uris":["http://zotero.org/users/14719789/items/GZWJZE5Q"],"itemData":{"id":771,"type":"article-journal","abstract":"PURPOSE: Resistance to third-generation EGFR inhibitors including osimertinib arises in part from the C797S mutation in EGFR. Currently, no targeted treatment option is available for these patients. We have developed a new EGFR tyrosine kinase inhibitor (TKI), BBT-176, targeting the C797S mutation.\nPATIENTS AND METHODS: Recombinant EGFR proteins and Ba/F3 cell lines, patient-derived cells, and patient-derived xenografts expressing mutant EGFRs were used to test the inhibitory potency and the anticancer efficacy of BBT-176 both in vitro and in vivo. Patient case data are also available from an ongoing phase I clinical trial (NCT04820023).\nRESULTS: The half maximal inhibitory concentration (IC50) of BBT-176 against EGFR 19Del/C797S, EGFR 19Del/T790M/C797S, and EGFR L858R/C797S proteins were measured at 4.36, 1.79, and 5.35 nmol/L, respectively (vs. 304.39, 124.82, and 573.72 nmol/L, for osimertinib). IC50 values of BBT-176 against Ba/F3 cells expressing EGFR 19Del/C797S, EGFR 19Del/T790M/C797S, EGFR L858R/C797S, and EGFR L858R/T790M/C797S were 42, 49, 183, and 202 nmol/L, respectively (vs. 869, 1,134, 2,799, and 2,685 nmol/L for osimertinib). N-ethyl-N-nitrosourea mutagenesis suggested that BBT-176 treatment does not introduce any secondary mutations in the EGFR gene but increases EGFR expression levels. Combined with the EGFR antibody cetuximab, BBT-176 effectively suppressed the growth of BBT-176-resistant clones. BBT-176 strongly inhibited the tumor growth, and in some conditions induced tumor regression in mouse models. In the clinical trial, two patients harboring EGFR 19Del/T790M/C797S in blood showed tumor shrinkage and radiologic improvements.\nCONCLUSIONS: BBT-176 is a fourth-generation EGFR inhibitor showing promising preclinical activity against NSCLC resistant to current EGFR TKI, with early clinical efficacy and safety.","container-title":"Clinical Cancer Research: An Official Journal of the American Association for Cancer Research","DOI":"10.1158/1078-0432.CCR-22-3901","ISSN":"1557-3265","issue":"16","journalAbbreviation":"Clin Cancer Res","language":"eng","note":"TLDR: BBT-176 is a fourth-generation EGFR inhibitor showing promising preclinical activity against NSCLC resistant to current EGFR TKI, with early clinical efficacy and safety, and in some conditions induced tumor regression in mouse models.","page":"3004-3016","PMID":"37249619","PMCID":"PMC10425724","source":"PubMed","title":"BBT-176, a Novel Fourth-Generation Tyrosine Kinase Inhibitor for Osimertinib-Resistant EGFR Mutations in Non-Small Cell Lung Cancer","volume":"29","author":[{"family":"Lim","given":"Sun Min"},{"family":"Fujino","given":"Toshio"},{"family":"Kim","given":"Chulwon"},{"family":"Lee","given":"Gwanghee"},{"family":"Lee","given":"Yong-Hee"},{"family":"Kim","given":"Dong-Wan"},{"family":"Ahn","given":"Jin Seok"},{"family":"Mitsudomi","given":"Tetsuya"},{"family":"Jin","given":"Taiguang"},{"family":"Lee","given":"Sang-Yoon"}],"issued":{"date-parts":[["2023",8,15]]}}}],"schema":"https://github.com/citation-style-language/schema/raw/master/csl-citation.json"} </w:instrText>
      </w:r>
      <w:r w:rsidR="000275BD">
        <w:rPr>
          <w:rFonts w:ascii="宋体" w:eastAsia="宋体" w:hAnsi="宋体" w:hint="eastAsia"/>
          <w:szCs w:val="21"/>
        </w:rPr>
        <w:fldChar w:fldCharType="separate"/>
      </w:r>
      <w:r w:rsidR="00DF1ED3" w:rsidRPr="00DF1ED3">
        <w:rPr>
          <w:rFonts w:ascii="宋体" w:eastAsia="宋体" w:hAnsi="宋体" w:cs="Times New Roman"/>
          <w:kern w:val="0"/>
          <w:vertAlign w:val="superscript"/>
        </w:rPr>
        <w:t>[29]</w:t>
      </w:r>
      <w:r w:rsidR="000275BD">
        <w:rPr>
          <w:rFonts w:ascii="宋体" w:eastAsia="宋体" w:hAnsi="宋体" w:hint="eastAsia"/>
          <w:szCs w:val="21"/>
        </w:rPr>
        <w:fldChar w:fldCharType="end"/>
      </w:r>
      <w:r w:rsidR="00065E16" w:rsidRPr="00065E16">
        <w:rPr>
          <w:rFonts w:ascii="宋体" w:eastAsia="宋体" w:hAnsi="宋体"/>
          <w:szCs w:val="21"/>
        </w:rPr>
        <w:t>。</w:t>
      </w:r>
      <w:r w:rsidR="00DB37AB" w:rsidRPr="00DB37AB">
        <w:rPr>
          <w:rFonts w:ascii="Times New Roman" w:eastAsia="宋体" w:hAnsi="Times New Roman" w:cs="Times New Roman" w:hint="eastAsia"/>
          <w:szCs w:val="21"/>
        </w:rPr>
        <w:t>总体而言，</w:t>
      </w:r>
      <w:r w:rsidR="00DB37AB" w:rsidRPr="00DB37AB">
        <w:rPr>
          <w:rFonts w:ascii="Times New Roman" w:eastAsia="宋体" w:hAnsi="Times New Roman" w:cs="Times New Roman" w:hint="eastAsia"/>
          <w:szCs w:val="21"/>
        </w:rPr>
        <w:t>C797S</w:t>
      </w:r>
      <w:r w:rsidR="00DB37AB" w:rsidRPr="00DB37AB">
        <w:rPr>
          <w:rFonts w:ascii="Times New Roman" w:eastAsia="宋体" w:hAnsi="Times New Roman" w:cs="Times New Roman" w:hint="eastAsia"/>
          <w:szCs w:val="21"/>
        </w:rPr>
        <w:t>相关治疗仍处于早期研究阶段，主要瓶颈包括样本量有限、突变构型检测不充分、共突变背景复杂及缺乏随机对照证据。</w:t>
      </w:r>
    </w:p>
    <w:p w14:paraId="664BD0D6" w14:textId="060B4F08" w:rsidR="000E33C7" w:rsidRDefault="000E33C7" w:rsidP="008D7395">
      <w:pPr>
        <w:spacing w:line="360" w:lineRule="auto"/>
        <w:jc w:val="left"/>
        <w:rPr>
          <w:rFonts w:ascii="宋体" w:eastAsia="宋体" w:hAnsi="宋体" w:hint="eastAsia"/>
          <w:szCs w:val="21"/>
        </w:rPr>
      </w:pPr>
      <w:r>
        <w:rPr>
          <w:rFonts w:ascii="宋体" w:eastAsia="宋体" w:hAnsi="宋体" w:hint="eastAsia"/>
          <w:szCs w:val="21"/>
        </w:rPr>
        <w:t>2.3.3</w:t>
      </w:r>
      <w:r w:rsidR="003E4031">
        <w:rPr>
          <w:rFonts w:ascii="宋体" w:eastAsia="宋体" w:hAnsi="宋体" w:hint="eastAsia"/>
          <w:szCs w:val="21"/>
        </w:rPr>
        <w:t xml:space="preserve"> </w:t>
      </w:r>
      <w:r w:rsidR="00831FF1" w:rsidRPr="00831FF1">
        <w:rPr>
          <w:rFonts w:ascii="宋体" w:eastAsia="宋体" w:hAnsi="宋体" w:hint="eastAsia"/>
          <w:szCs w:val="21"/>
        </w:rPr>
        <w:t>其他突变</w:t>
      </w:r>
    </w:p>
    <w:p w14:paraId="3038012F" w14:textId="0927B18C" w:rsidR="004C0BF3" w:rsidRDefault="00831FF1" w:rsidP="004C0BF3">
      <w:pPr>
        <w:spacing w:line="360" w:lineRule="auto"/>
        <w:ind w:firstLineChars="200" w:firstLine="420"/>
        <w:jc w:val="left"/>
        <w:rPr>
          <w:rFonts w:ascii="Times New Roman" w:eastAsia="宋体" w:hAnsi="Times New Roman" w:cs="Times New Roman"/>
          <w:szCs w:val="21"/>
        </w:rPr>
      </w:pPr>
      <w:r w:rsidRPr="00831FF1">
        <w:rPr>
          <w:rFonts w:ascii="Times New Roman" w:eastAsia="宋体" w:hAnsi="Times New Roman" w:cs="Times New Roman"/>
          <w:szCs w:val="21"/>
        </w:rPr>
        <w:t>除</w:t>
      </w:r>
      <w:r w:rsidRPr="00831FF1">
        <w:rPr>
          <w:rFonts w:ascii="Times New Roman" w:eastAsia="宋体" w:hAnsi="Times New Roman" w:cs="Times New Roman"/>
          <w:szCs w:val="21"/>
        </w:rPr>
        <w:t>T790M</w:t>
      </w:r>
      <w:r w:rsidRPr="00831FF1">
        <w:rPr>
          <w:rFonts w:ascii="Times New Roman" w:eastAsia="宋体" w:hAnsi="Times New Roman" w:cs="Times New Roman"/>
          <w:szCs w:val="21"/>
        </w:rPr>
        <w:t>和</w:t>
      </w:r>
      <w:r w:rsidRPr="00831FF1">
        <w:rPr>
          <w:rFonts w:ascii="Times New Roman" w:eastAsia="宋体" w:hAnsi="Times New Roman" w:cs="Times New Roman"/>
          <w:szCs w:val="21"/>
        </w:rPr>
        <w:t>C797S</w:t>
      </w:r>
      <w:r w:rsidRPr="00831FF1">
        <w:rPr>
          <w:rFonts w:ascii="Times New Roman" w:eastAsia="宋体" w:hAnsi="Times New Roman" w:cs="Times New Roman"/>
          <w:szCs w:val="21"/>
        </w:rPr>
        <w:t>外，</w:t>
      </w:r>
      <w:r w:rsidR="00637769" w:rsidRPr="00637769">
        <w:rPr>
          <w:rFonts w:ascii="Times New Roman" w:eastAsia="宋体" w:hAnsi="Times New Roman" w:cs="Times New Roman" w:hint="eastAsia"/>
          <w:szCs w:val="21"/>
        </w:rPr>
        <w:t>L718Q/V</w:t>
      </w:r>
      <w:r w:rsidR="00637769" w:rsidRPr="00637769">
        <w:rPr>
          <w:rFonts w:ascii="Times New Roman" w:eastAsia="宋体" w:hAnsi="Times New Roman" w:cs="Times New Roman" w:hint="eastAsia"/>
          <w:szCs w:val="21"/>
        </w:rPr>
        <w:t>、</w:t>
      </w:r>
      <w:r w:rsidR="00637769" w:rsidRPr="00637769">
        <w:rPr>
          <w:rFonts w:ascii="Times New Roman" w:eastAsia="宋体" w:hAnsi="Times New Roman" w:cs="Times New Roman" w:hint="eastAsia"/>
          <w:szCs w:val="21"/>
        </w:rPr>
        <w:t>G724S</w:t>
      </w:r>
      <w:r w:rsidR="00637769" w:rsidRPr="00637769">
        <w:rPr>
          <w:rFonts w:ascii="Times New Roman" w:eastAsia="宋体" w:hAnsi="Times New Roman" w:cs="Times New Roman" w:hint="eastAsia"/>
          <w:szCs w:val="21"/>
        </w:rPr>
        <w:t>、</w:t>
      </w:r>
      <w:r w:rsidR="00637769" w:rsidRPr="00637769">
        <w:rPr>
          <w:rFonts w:ascii="Times New Roman" w:eastAsia="宋体" w:hAnsi="Times New Roman" w:cs="Times New Roman" w:hint="eastAsia"/>
          <w:szCs w:val="21"/>
        </w:rPr>
        <w:t>L792H/F/Y</w:t>
      </w:r>
      <w:r w:rsidR="00637769" w:rsidRPr="00637769">
        <w:rPr>
          <w:rFonts w:ascii="Times New Roman" w:eastAsia="宋体" w:hAnsi="Times New Roman" w:cs="Times New Roman" w:hint="eastAsia"/>
          <w:szCs w:val="21"/>
        </w:rPr>
        <w:t>、</w:t>
      </w:r>
      <w:r w:rsidR="00637769" w:rsidRPr="00637769">
        <w:rPr>
          <w:rFonts w:ascii="Times New Roman" w:eastAsia="宋体" w:hAnsi="Times New Roman" w:cs="Times New Roman" w:hint="eastAsia"/>
          <w:szCs w:val="21"/>
        </w:rPr>
        <w:t>G796S/R/D/H</w:t>
      </w:r>
      <w:r w:rsidR="00637769" w:rsidRPr="00637769">
        <w:rPr>
          <w:rFonts w:ascii="Times New Roman" w:eastAsia="宋体" w:hAnsi="Times New Roman" w:cs="Times New Roman" w:hint="eastAsia"/>
          <w:szCs w:val="21"/>
        </w:rPr>
        <w:t>及获得性</w:t>
      </w:r>
      <w:r w:rsidR="00637769" w:rsidRPr="00E203CA">
        <w:rPr>
          <w:rFonts w:ascii="Times New Roman" w:eastAsia="宋体" w:hAnsi="Times New Roman" w:cs="Times New Roman" w:hint="eastAsia"/>
          <w:i/>
          <w:iCs/>
          <w:szCs w:val="21"/>
        </w:rPr>
        <w:t>EGFR</w:t>
      </w:r>
      <w:r w:rsidR="001A20B9" w:rsidRPr="001A20B9">
        <w:rPr>
          <w:rFonts w:ascii="Times New Roman" w:eastAsia="宋体" w:hAnsi="Times New Roman" w:cs="Times New Roman" w:hint="eastAsia"/>
          <w:szCs w:val="21"/>
        </w:rPr>
        <w:t>第</w:t>
      </w:r>
      <w:r w:rsidR="001A20B9" w:rsidRPr="001A20B9">
        <w:rPr>
          <w:rFonts w:ascii="Times New Roman" w:eastAsia="宋体" w:hAnsi="Times New Roman" w:cs="Times New Roman" w:hint="eastAsia"/>
          <w:szCs w:val="21"/>
        </w:rPr>
        <w:t>20</w:t>
      </w:r>
      <w:r w:rsidR="001A20B9" w:rsidRPr="001A20B9">
        <w:rPr>
          <w:rFonts w:ascii="Times New Roman" w:eastAsia="宋体" w:hAnsi="Times New Roman" w:cs="Times New Roman" w:hint="eastAsia"/>
          <w:szCs w:val="21"/>
        </w:rPr>
        <w:t>外显子插入突变</w:t>
      </w:r>
      <w:r w:rsidR="00637769" w:rsidRPr="00637769">
        <w:rPr>
          <w:rFonts w:ascii="Times New Roman" w:eastAsia="宋体" w:hAnsi="Times New Roman" w:cs="Times New Roman" w:hint="eastAsia"/>
          <w:szCs w:val="21"/>
        </w:rPr>
        <w:t>等少见二次突变也可介导耐药</w:t>
      </w:r>
      <w:r w:rsidR="00E55D9C" w:rsidRPr="00DE06F1">
        <w:rPr>
          <w:rFonts w:ascii="宋体" w:eastAsia="宋体" w:hAnsi="宋体" w:cs="Times New Roman"/>
          <w:szCs w:val="21"/>
        </w:rPr>
        <w:fldChar w:fldCharType="begin"/>
      </w:r>
      <w:r w:rsidR="00DF1ED3">
        <w:rPr>
          <w:rFonts w:ascii="宋体" w:eastAsia="宋体" w:hAnsi="宋体" w:cs="Times New Roman" w:hint="eastAsia"/>
          <w:szCs w:val="21"/>
        </w:rPr>
        <w:instrText xml:space="preserve"> ADDIN ZOTERO_ITEM CSL_CITATION {"citationID":"zf0Q7m7r","properties":{"formattedCitation":"\\super [30]\\nosupersub{}","plainCitation":"[30]","noteIndex":0},"citationItems":[{"id":856,"uris":["http://zotero.org/users/14719789/items/B5PD9E8R"],"itemData":{"id":856,"type":"article-journal","abstract":"Osimertinib, an epidermal growth factor receptor tyrosine kinase inhibitor (EGFR-TKI), potently and selectively inhibits EGFR-TKI-sensitizing and EGFR T790M resistance mutations. This analysis evaluates acqui</w:instrText>
      </w:r>
      <w:r w:rsidR="00DF1ED3">
        <w:rPr>
          <w:rFonts w:ascii="宋体" w:eastAsia="宋体" w:hAnsi="宋体" w:cs="Times New Roman"/>
          <w:szCs w:val="21"/>
        </w:rPr>
        <w:instrText>red resistance mechanisms to second-line osimertinib (n</w:instrText>
      </w:r>
      <w:r w:rsidR="00DF1ED3">
        <w:rPr>
          <w:rFonts w:ascii="Times New Roman" w:eastAsia="宋体" w:hAnsi="Times New Roman" w:cs="Times New Roman"/>
          <w:szCs w:val="21"/>
        </w:rPr>
        <w:instrText> </w:instrText>
      </w:r>
      <w:r w:rsidR="00DF1ED3">
        <w:rPr>
          <w:rFonts w:ascii="宋体" w:eastAsia="宋体" w:hAnsi="宋体" w:cs="Times New Roman"/>
          <w:szCs w:val="21"/>
        </w:rPr>
        <w:instrText>=</w:instrText>
      </w:r>
      <w:r w:rsidR="00DF1ED3">
        <w:rPr>
          <w:rFonts w:ascii="Times New Roman" w:eastAsia="宋体" w:hAnsi="Times New Roman" w:cs="Times New Roman"/>
          <w:szCs w:val="21"/>
        </w:rPr>
        <w:instrText> </w:instrText>
      </w:r>
      <w:r w:rsidR="00DF1ED3">
        <w:rPr>
          <w:rFonts w:ascii="宋体" w:eastAsia="宋体" w:hAnsi="宋体" w:cs="Times New Roman"/>
          <w:szCs w:val="21"/>
        </w:rPr>
        <w:instrText>78) in patients with EGFR T790M advanced non-small cell lung cancer (NSCLC) from AURA3 (NCT02151981), a randomized phase 3 study comparing osimertinib with chemotherapy. Plasma samples collected at</w:instrText>
      </w:r>
      <w:r w:rsidR="00DF1ED3">
        <w:rPr>
          <w:rFonts w:ascii="宋体" w:eastAsia="宋体" w:hAnsi="宋体" w:cs="Times New Roman" w:hint="eastAsia"/>
          <w:szCs w:val="21"/>
        </w:rPr>
        <w:instrText xml:space="preserve"> baseline and disease progression/treatment discontinuation are analyzed using next-generation sequencing. Half (50%) of patients have undetectable plasma EGFR T790M at disease progression and/or treatment discontinuation. Fifteen patients (19%) have &gt;1 resistance-related genomic alteration; MET amplification (14/78, 18%) and EGFR C797X mutation (14/78, 18%).","container-title":"Nature Communications","DOI":"10.1038/s41467-023-35962-x","ISSN":"2041-1723","issue":"1","journalAbbreviation":"Nat Commun","language":"en","license":"2023 The Author(s)","note":"TLDR: By next-generation sequencing of circulating tumor DNA, the authors assess candidate mechanisms of acquired resistance to osimertinib in patients from the AURA3 trial.","page":"1071","publisher":"Nature Publishing Group","source":"www.nature.com","title":"Analysis of acquired resistance mechanisms to osimertinib in patients with EGFR-mutated advanced non-small cell lung cancer from the AURA3 trial","volume":"14","author":[{"family":"Chmielecki","given":"Juliann"},{"family":"Mok","given":"Tony"},{"family":"Wu","given":"Yi-Long"},{"family":"Han","given":"Ji-Youn"},{"family":"Ahn","given":"Myung-Ju"},{"family":"Ramalingam","given":"Suresh S."},{"family":"John","given":"Thomas"},{"family":"Okamoto","given":"Isamu"},{"family":"Yang","given":"James Chih-Hsin"},{"family":"Shepherd","given":"Frances A."},{"family":"Bulusu","given":"Krishna C."},{"family":"Laus","given":"Gianluca"},{"family":"Collins","given":"Barbara"},{"family":"Barrett","given":"J. Carl"},{"family":"Hartmaier","given":"Ryan J."},{"family":"Papadimitrakopoulou","given":"Vassiliki"}],"issued":{"date-parts":[["2023",2,27]]}}}],"schema":"https://github.com/citation-style-language/schema/raw/master/csl-citation.json"} </w:instrText>
      </w:r>
      <w:r w:rsidR="00E55D9C" w:rsidRPr="00DE06F1">
        <w:rPr>
          <w:rFonts w:ascii="宋体" w:eastAsia="宋体" w:hAnsi="宋体" w:cs="Times New Roman"/>
          <w:szCs w:val="21"/>
        </w:rPr>
        <w:fldChar w:fldCharType="separate"/>
      </w:r>
      <w:r w:rsidR="00DF1ED3" w:rsidRPr="00DF1ED3">
        <w:rPr>
          <w:rFonts w:ascii="宋体" w:eastAsia="宋体" w:hAnsi="宋体" w:cs="Times New Roman"/>
          <w:kern w:val="0"/>
          <w:vertAlign w:val="superscript"/>
        </w:rPr>
        <w:t>[30]</w:t>
      </w:r>
      <w:r w:rsidR="00E55D9C" w:rsidRPr="00DE06F1">
        <w:rPr>
          <w:rFonts w:ascii="宋体" w:eastAsia="宋体" w:hAnsi="宋体" w:cs="Times New Roman"/>
          <w:szCs w:val="21"/>
        </w:rPr>
        <w:fldChar w:fldCharType="end"/>
      </w:r>
      <w:r w:rsidRPr="00DE06F1">
        <w:rPr>
          <w:rFonts w:ascii="宋体" w:eastAsia="宋体" w:hAnsi="宋体" w:cs="Times New Roman"/>
          <w:szCs w:val="21"/>
        </w:rPr>
        <w:t>。</w:t>
      </w:r>
      <w:r w:rsidR="004C0BF3">
        <w:rPr>
          <w:rFonts w:ascii="Times New Roman" w:eastAsia="宋体" w:hAnsi="Times New Roman" w:cs="Times New Roman" w:hint="eastAsia"/>
          <w:szCs w:val="21"/>
        </w:rPr>
        <w:t>部</w:t>
      </w:r>
      <w:r w:rsidR="00417EB6" w:rsidRPr="00417EB6">
        <w:rPr>
          <w:rFonts w:ascii="Times New Roman" w:eastAsia="宋体" w:hAnsi="Times New Roman" w:cs="Times New Roman" w:hint="eastAsia"/>
          <w:szCs w:val="21"/>
        </w:rPr>
        <w:t>分突变在特定分子背景下可能对第二代</w:t>
      </w:r>
      <w:r w:rsidR="00417EB6" w:rsidRPr="00417EB6">
        <w:rPr>
          <w:rFonts w:ascii="Times New Roman" w:eastAsia="宋体" w:hAnsi="Times New Roman" w:cs="Times New Roman" w:hint="eastAsia"/>
          <w:szCs w:val="21"/>
        </w:rPr>
        <w:t>EGFR-TKI</w:t>
      </w:r>
      <w:r w:rsidR="00417EB6" w:rsidRPr="00417EB6">
        <w:rPr>
          <w:rFonts w:ascii="Times New Roman" w:eastAsia="宋体" w:hAnsi="Times New Roman" w:cs="Times New Roman" w:hint="eastAsia"/>
          <w:szCs w:val="21"/>
        </w:rPr>
        <w:t>保留一定敏感性</w:t>
      </w:r>
      <w:r w:rsidR="00E55D9C">
        <w:rPr>
          <w:rFonts w:ascii="Times New Roman" w:eastAsia="宋体" w:hAnsi="Times New Roman" w:cs="Times New Roman"/>
          <w:szCs w:val="21"/>
        </w:rPr>
        <w:fldChar w:fldCharType="begin"/>
      </w:r>
      <w:r w:rsidR="00DF1ED3">
        <w:rPr>
          <w:rFonts w:ascii="Times New Roman" w:eastAsia="宋体" w:hAnsi="Times New Roman" w:cs="Times New Roman"/>
          <w:szCs w:val="21"/>
        </w:rPr>
        <w:instrText xml:space="preserve"> ADDIN ZOTERO_ITEM CSL_CITATION {"citationID":"UrNUxp6y","properties":{"formattedCitation":"\\super [31]\\nosupersub{}","plainCitation":"[31]","noteIndex":0},"citationItems":[{"id":862,"uris":["http://zotero.org/users/14719789/items/V78CYLXL"],"itemData":{"id":862,"type":"article-journal","abstract":"Introduction\nEGFR G724S has been described to mediate resistance to first- and third-generation EGFR tyrosine kinase inhibitors (TKIs). In vitro experiments have provided compelling evidence that G724S retains sensitivity for afatinib. Nevertheless, limited data have reported the clinical efficacy of afatinib in patients with NSCLC harboring G724S mutation.\n\nMethods\nWe identified 52 patients with NSCLC with EGFR G724S from an inhouse database and comprehensively profiled their concurrent mutation statuses. Treatments and clinical outcomes were also collected.\n\nResults\nOf 52 G724S-positive patients, 39 harbored concomitant EGFR exon 19 deletion (19del), and all 37 of the 39 patients who had available clinical data were detected with a G724S mutation after receiving EGFR TKIs. A rare variant of 19del E746_S752delinsV co-occurred with G724S the most frequently (n = 29), whereas 7 of 10 patients with concomitant EGFR exon 20 mutation were TKI treatment naive. S768I was the most common mutation in exon 20 (n = 7). One patient harbored a concomitant EGFR exon 21 mutation, and two lacked co-occurring EGFR mutations. A total of 23 patients provided valid clinical outcome data, of whom eight were treated with afatinib after the emergence of G724S, whereas 15 received non-afatinib treatment (alternative EGFR TKI, chemotherapy, or best supportive care). The disease control rate in afatinib-treated patients (n = 8) reached 100% with a median progression-free survival of 4.5 months, significantly longer than that of non–afatinib-treated (n = 15, 1.7 mo, hazard ratio [HR] = 0.32, p = 0.037) and alternative EGFR TKI-treated (n = 11, 1.8 mo, HR = 0.28, p = 0.042) patients. In the subset who had progressed on osimertinib, afatinib also yielded a superior progression-free survival (6.2 mo) than non-afatinib therapies (1.0 mo, HR = 0.04, p = 0.005) and alternative EGFR TKIs (1.8 mo, HR = 0.06, p = 0.033). Analysis of acquired mutations at afatinib progression revealed re-emergence of EGFR T790M or MET amplification as the potential mechanism of afatinib resistance.\n\nConclusions\nEGFR G724S emerges as a resistant mutation against EGFR TKI preferentially in the context of a rare variant of 19del, whereas it might mediate differential mechanisms in the context of exon 20 mutation. We also found that afatinib could be a potential therapeutic option for patients with NSCLC with G724S.","container-title":"JTO Clinical and Research Reports","DOI":"10.1016/j.jtocrr.2021.100193","ISSN":"2666-3643","issue":"7","journalAbbreviation":"JTO Clin Res Rep","note":"TLDR: EGFR G724S emerges as a resistant mutation against EGFR TKI preferentially in the context of a rare variant of 19del, whereas it might mediate differential mechanisms in thecontext of exon 20 mutation and afatinib could be a potential therapeutic option for patients with NSCLC with G7 24S.","page":"100193","PMID":"34590038","PMCID":"PMC8474270","source":"PubMed Central","title":"Afatinib as a Potential Therapeutic Option for Patients With NSCLC With EGFR G724S","volume":"2","author":[{"family":"Wei","given":"Yang"},{"family":"Jiang","given":"Benyuan"},{"family":"Liu","given":"Shulin"},{"family":"Zhang","given":"Zhonghan"},{"family":"Fang","given":"Wenfeng"},{"family":"Yang","given":"Yunpeng"},{"family":"Li","given":"Xin"},{"family":"Zhao","given":"Jingyi"},{"family":"Zhao","given":"Hongyun"}],"issued":{"date-parts":[["2021",5,24]]}}}],"schema":"https://github.com/citation-style-language/schema/raw/master/csl-citation.json"} </w:instrText>
      </w:r>
      <w:r w:rsidR="00E55D9C">
        <w:rPr>
          <w:rFonts w:ascii="Times New Roman" w:eastAsia="宋体" w:hAnsi="Times New Roman" w:cs="Times New Roman"/>
          <w:szCs w:val="21"/>
        </w:rPr>
        <w:fldChar w:fldCharType="separate"/>
      </w:r>
      <w:r w:rsidR="00DF1ED3" w:rsidRPr="00DF1ED3">
        <w:rPr>
          <w:rFonts w:ascii="Times New Roman" w:hAnsi="Times New Roman" w:cs="Times New Roman"/>
          <w:kern w:val="0"/>
          <w:vertAlign w:val="superscript"/>
        </w:rPr>
        <w:t>[31]</w:t>
      </w:r>
      <w:r w:rsidR="00E55D9C">
        <w:rPr>
          <w:rFonts w:ascii="Times New Roman" w:eastAsia="宋体" w:hAnsi="Times New Roman" w:cs="Times New Roman"/>
          <w:szCs w:val="21"/>
        </w:rPr>
        <w:fldChar w:fldCharType="end"/>
      </w:r>
      <w:r w:rsidRPr="00831FF1">
        <w:rPr>
          <w:rFonts w:ascii="Times New Roman" w:eastAsia="宋体" w:hAnsi="Times New Roman" w:cs="Times New Roman"/>
          <w:szCs w:val="21"/>
        </w:rPr>
        <w:t>。</w:t>
      </w:r>
      <w:r w:rsidR="004C0BF3" w:rsidRPr="004C0BF3">
        <w:rPr>
          <w:rFonts w:ascii="Times New Roman" w:eastAsia="宋体" w:hAnsi="Times New Roman" w:cs="Times New Roman" w:hint="eastAsia"/>
          <w:szCs w:val="21"/>
        </w:rPr>
        <w:t>但多数证据仍来自病例报告或小样本研究。此类突变更重要的意义在于提示</w:t>
      </w:r>
      <w:r w:rsidR="004C0BF3" w:rsidRPr="004C0BF3">
        <w:rPr>
          <w:rFonts w:ascii="Times New Roman" w:eastAsia="宋体" w:hAnsi="Times New Roman" w:cs="Times New Roman" w:hint="eastAsia"/>
          <w:szCs w:val="21"/>
        </w:rPr>
        <w:t>EGFR-TKI</w:t>
      </w:r>
      <w:r w:rsidR="004C0BF3" w:rsidRPr="004C0BF3">
        <w:rPr>
          <w:rFonts w:ascii="Times New Roman" w:eastAsia="宋体" w:hAnsi="Times New Roman" w:cs="Times New Roman" w:hint="eastAsia"/>
          <w:szCs w:val="21"/>
        </w:rPr>
        <w:t>耐药的多克隆演化和靶内结构异质性，临床决策应综合突变丰度、既往用药史、共突变背景和进展模式，避免将低频突变简单等同于明确可靶向事件。</w:t>
      </w:r>
    </w:p>
    <w:p w14:paraId="7860A3B9" w14:textId="60ED09AD" w:rsidR="009D4A09" w:rsidRPr="004C0BF3" w:rsidRDefault="00F719AD" w:rsidP="004C0BF3">
      <w:pPr>
        <w:spacing w:line="360" w:lineRule="auto"/>
        <w:jc w:val="left"/>
        <w:rPr>
          <w:rFonts w:ascii="Times New Roman" w:eastAsia="宋体" w:hAnsi="Times New Roman" w:cs="Times New Roman"/>
          <w:szCs w:val="21"/>
        </w:rPr>
      </w:pPr>
      <w:r>
        <w:rPr>
          <w:rFonts w:ascii="宋体" w:eastAsia="宋体" w:hAnsi="宋体" w:hint="eastAsia"/>
          <w:szCs w:val="21"/>
        </w:rPr>
        <w:t>2</w:t>
      </w:r>
      <w:r w:rsidR="00CE4430">
        <w:rPr>
          <w:rFonts w:ascii="宋体" w:eastAsia="宋体" w:hAnsi="宋体" w:hint="eastAsia"/>
          <w:szCs w:val="21"/>
        </w:rPr>
        <w:t>.</w:t>
      </w:r>
      <w:r w:rsidR="007350C7">
        <w:rPr>
          <w:rFonts w:ascii="宋体" w:eastAsia="宋体" w:hAnsi="宋体" w:hint="eastAsia"/>
          <w:szCs w:val="21"/>
        </w:rPr>
        <w:t>4</w:t>
      </w:r>
      <w:r w:rsidR="003E4031">
        <w:rPr>
          <w:rFonts w:ascii="宋体" w:eastAsia="宋体" w:hAnsi="宋体" w:hint="eastAsia"/>
          <w:szCs w:val="21"/>
        </w:rPr>
        <w:t xml:space="preserve"> </w:t>
      </w:r>
      <w:r w:rsidR="001A20B9" w:rsidRPr="001A20B9">
        <w:rPr>
          <w:rFonts w:ascii="宋体" w:eastAsia="宋体" w:hAnsi="宋体" w:hint="eastAsia"/>
          <w:szCs w:val="21"/>
        </w:rPr>
        <w:t>获得性融合基因</w:t>
      </w:r>
    </w:p>
    <w:p w14:paraId="2CED8DBD" w14:textId="290F14AF" w:rsidR="0021531D" w:rsidRPr="005D41DC" w:rsidRDefault="00B25AE9" w:rsidP="004F5A3D">
      <w:pPr>
        <w:spacing w:line="360" w:lineRule="auto"/>
        <w:ind w:firstLineChars="200" w:firstLine="420"/>
        <w:jc w:val="left"/>
        <w:rPr>
          <w:rFonts w:ascii="Times New Roman" w:eastAsia="宋体" w:hAnsi="Times New Roman" w:cs="Times New Roman"/>
          <w:szCs w:val="21"/>
        </w:rPr>
      </w:pPr>
      <w:r w:rsidRPr="00B25AE9">
        <w:rPr>
          <w:rFonts w:ascii="宋体" w:eastAsia="宋体" w:hAnsi="宋体"/>
          <w:szCs w:val="21"/>
        </w:rPr>
        <w:t>融合基因获得是</w:t>
      </w:r>
      <w:r w:rsidRPr="00B25AE9">
        <w:rPr>
          <w:rFonts w:ascii="Times New Roman" w:eastAsia="宋体" w:hAnsi="Times New Roman" w:cs="Times New Roman"/>
          <w:szCs w:val="21"/>
        </w:rPr>
        <w:t>EGFR</w:t>
      </w:r>
      <w:r w:rsidRPr="00B25AE9">
        <w:rPr>
          <w:rFonts w:ascii="宋体" w:eastAsia="宋体" w:hAnsi="宋体"/>
          <w:szCs w:val="21"/>
        </w:rPr>
        <w:t>非依赖性旁路激活机制</w:t>
      </w:r>
      <w:r w:rsidR="00240F5F">
        <w:rPr>
          <w:rFonts w:ascii="宋体" w:eastAsia="宋体" w:hAnsi="宋体" w:hint="eastAsia"/>
          <w:szCs w:val="21"/>
        </w:rPr>
        <w:t>，</w:t>
      </w:r>
      <w:r w:rsidR="00DD64E9" w:rsidRPr="00DD64E9">
        <w:rPr>
          <w:rFonts w:ascii="Times New Roman" w:eastAsia="宋体" w:hAnsi="Times New Roman" w:cs="Times New Roman"/>
          <w:i/>
          <w:iCs/>
          <w:szCs w:val="21"/>
        </w:rPr>
        <w:t>RET</w:t>
      </w:r>
      <w:r w:rsidR="00DD64E9" w:rsidRPr="00DD64E9">
        <w:rPr>
          <w:rFonts w:ascii="Times New Roman" w:eastAsia="宋体" w:hAnsi="Times New Roman" w:cs="Times New Roman"/>
          <w:i/>
          <w:iCs/>
          <w:szCs w:val="21"/>
        </w:rPr>
        <w:t>、</w:t>
      </w:r>
      <w:r w:rsidR="00DD64E9" w:rsidRPr="00DD64E9">
        <w:rPr>
          <w:rFonts w:ascii="Times New Roman" w:eastAsia="宋体" w:hAnsi="Times New Roman" w:cs="Times New Roman"/>
          <w:i/>
          <w:iCs/>
          <w:szCs w:val="21"/>
        </w:rPr>
        <w:t>ALK</w:t>
      </w:r>
      <w:r w:rsidR="00DD64E9" w:rsidRPr="00DD64E9">
        <w:rPr>
          <w:rFonts w:ascii="Times New Roman" w:eastAsia="宋体" w:hAnsi="Times New Roman" w:cs="Times New Roman" w:hint="eastAsia"/>
          <w:szCs w:val="21"/>
        </w:rPr>
        <w:t>等基因发生融合后</w:t>
      </w:r>
      <w:r w:rsidR="00A21A76" w:rsidRPr="00A21A76">
        <w:rPr>
          <w:rFonts w:ascii="Times New Roman" w:eastAsia="宋体" w:hAnsi="Times New Roman" w:cs="Times New Roman"/>
          <w:szCs w:val="21"/>
        </w:rPr>
        <w:t>，可</w:t>
      </w:r>
      <w:r w:rsidR="00DD64E9">
        <w:rPr>
          <w:rFonts w:ascii="Times New Roman" w:eastAsia="宋体" w:hAnsi="Times New Roman" w:cs="Times New Roman" w:hint="eastAsia"/>
          <w:szCs w:val="21"/>
        </w:rPr>
        <w:t>编码</w:t>
      </w:r>
      <w:r w:rsidR="00A21A76" w:rsidRPr="00A21A76">
        <w:rPr>
          <w:rFonts w:ascii="Times New Roman" w:eastAsia="宋体" w:hAnsi="Times New Roman" w:cs="Times New Roman"/>
          <w:szCs w:val="21"/>
        </w:rPr>
        <w:t>持续活化的融合蛋白，在不依赖</w:t>
      </w:r>
      <w:r w:rsidR="00A21A76" w:rsidRPr="00A21A76">
        <w:rPr>
          <w:rFonts w:ascii="Times New Roman" w:eastAsia="宋体" w:hAnsi="Times New Roman" w:cs="Times New Roman"/>
          <w:szCs w:val="21"/>
        </w:rPr>
        <w:t>EGFR</w:t>
      </w:r>
      <w:r w:rsidR="00A21A76" w:rsidRPr="00A21A76">
        <w:rPr>
          <w:rFonts w:ascii="Times New Roman" w:eastAsia="宋体" w:hAnsi="Times New Roman" w:cs="Times New Roman"/>
          <w:szCs w:val="21"/>
        </w:rPr>
        <w:t>信号的情况下重新激活</w:t>
      </w:r>
      <w:r w:rsidR="00A21A76" w:rsidRPr="00A21A76">
        <w:rPr>
          <w:rFonts w:ascii="Times New Roman" w:eastAsia="宋体" w:hAnsi="Times New Roman" w:cs="Times New Roman"/>
          <w:szCs w:val="21"/>
        </w:rPr>
        <w:t>RAS/MAPK</w:t>
      </w:r>
      <w:r w:rsidR="00A21A76" w:rsidRPr="00A21A76">
        <w:rPr>
          <w:rFonts w:ascii="Times New Roman" w:eastAsia="宋体" w:hAnsi="Times New Roman" w:cs="Times New Roman"/>
          <w:szCs w:val="21"/>
        </w:rPr>
        <w:t>、</w:t>
      </w:r>
      <w:r w:rsidR="00A21A76" w:rsidRPr="00A21A76">
        <w:rPr>
          <w:rFonts w:ascii="Times New Roman" w:eastAsia="宋体" w:hAnsi="Times New Roman" w:cs="Times New Roman"/>
          <w:szCs w:val="21"/>
        </w:rPr>
        <w:t>PI3K/AKT</w:t>
      </w:r>
      <w:r w:rsidR="00A21A76" w:rsidRPr="00A21A76">
        <w:rPr>
          <w:rFonts w:ascii="Times New Roman" w:eastAsia="宋体" w:hAnsi="Times New Roman" w:cs="Times New Roman"/>
          <w:szCs w:val="21"/>
        </w:rPr>
        <w:t>等下游通路，使肿瘤细胞在</w:t>
      </w:r>
      <w:r w:rsidR="00A21A76" w:rsidRPr="00A21A76">
        <w:rPr>
          <w:rFonts w:ascii="Times New Roman" w:eastAsia="宋体" w:hAnsi="Times New Roman" w:cs="Times New Roman"/>
          <w:szCs w:val="21"/>
        </w:rPr>
        <w:t>EGFR</w:t>
      </w:r>
      <w:r w:rsidR="00A21A76" w:rsidRPr="00A21A76">
        <w:rPr>
          <w:rFonts w:ascii="Times New Roman" w:eastAsia="宋体" w:hAnsi="Times New Roman" w:cs="Times New Roman"/>
          <w:szCs w:val="21"/>
        </w:rPr>
        <w:t>持续受到抑制时仍维持增殖和存活</w:t>
      </w:r>
      <w:r w:rsidR="00361741">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{"citationID":"9XUlfPco","properties":{"formattedCitation":"\\super [32]\\nosupersub{}","plainCitation":"[32]","noteIndex":0},"citationItems":[{"id":897,"uris":["http://zotero.org/users/14719789/items/MPR3NNL8"],"itemData":{"id":897,"type":"article-journal","container-title":"Journal of Thoracic Oncology","DOI":"10.1016/j.jtho.2024.11.027","ISSN":"1556-0864, 1556-1380","issue":"4","journalAbbreviation":"Journal of Thoracic Oncology","language":"English","note":"TLDR: Emergence of RTK fusions is one of the mechanisms of bypass resistance of EGFR TKI and dual inhibition of EGFR-RTK was safe and efficacious in patients with targetable RTK fusion post progression on EGFR TKIs.","page":"465-474","PMID":"39622411","publisher":"Elsevier","source":"www.jto.org","title":"Receptor Tyrosine Kinase Fusion-Mediated Resistance to EGFR TKI in EGFR-Mutant NSCLC: A Multi-Center Analysis and Literature Review","title-short":"Receptor Tyrosine Kinase Fusion-Mediated Resistance to EGFR TKI in EGFR-Mutant NSCLC","volume":"20","author":[{"family":"Xia","given":"Yang"},{"family":"Wang","given":"Kaiwen"},{"family":"Zhao","given":"Jing"},{"family":"Arter","given":"Zhaohui"},{"family":"Zhang","given":"Yongchang"},{"family":"Zhou","given":"Jiaqi"},{"family":"Lu","given":"Yuefei"},{"family":"Zeng","given":"Liang"},{"family":"Du","given":"Robyn"},{"family":"Owens","given":"Jennifer A."},{"family":"Elamin","given":"Yasir Y."},{"family":"Gay","given":"Carl M."},{"family":"Skoulidis","given":"Ferdinandos"},{"family":"Tsao","given":"Anne S."},{"family":"Lu","given":"Charles"},{"family":"Cascone","given":"Tina"},{"family":"Gibbons","given":"Don L."},{"family":"Zhang","given":"Jianjun"},{"family":"Chen","given":"Olivia"},{"family":"Mok","given":"Kevin K. S."},{"family":"Nagasaka","given":"Misako"},{"family":"Li","given":"Wen"},{"family":"Heymach","given":"John V."},{"family":"Ou","given":"Sai-Hong Ignatius"},{"family":"Li","given":"Molly"},{"family":"Le","given":"Xiuning"}],"issued":{"date-parts":[["2025",4,1]]}}}],"schema":"https://github.com/citation-style-language/schema/raw/master/csl-citation.json"} </w:instrText>
      </w:r>
      <w:r w:rsidR="00361741">
        <w:rPr>
          <w:rFonts w:ascii="宋体" w:eastAsia="宋体" w:hAnsi="宋体" w:hint="eastAsia"/>
          <w:szCs w:val="21"/>
        </w:rPr>
        <w:fldChar w:fldCharType="separate"/>
      </w:r>
      <w:r w:rsidR="00DF1ED3" w:rsidRPr="00DF1ED3">
        <w:rPr>
          <w:rFonts w:ascii="宋体" w:eastAsia="宋体" w:hAnsi="宋体" w:cs="Times New Roman"/>
          <w:kern w:val="0"/>
          <w:vertAlign w:val="superscript"/>
        </w:rPr>
        <w:t>[32]</w:t>
      </w:r>
      <w:r w:rsidR="00361741">
        <w:rPr>
          <w:rFonts w:ascii="宋体" w:eastAsia="宋体" w:hAnsi="宋体" w:hint="eastAsia"/>
          <w:szCs w:val="21"/>
        </w:rPr>
        <w:fldChar w:fldCharType="end"/>
      </w:r>
      <w:r w:rsidRPr="00B25AE9">
        <w:rPr>
          <w:rFonts w:ascii="宋体" w:eastAsia="宋体" w:hAnsi="宋体"/>
          <w:szCs w:val="21"/>
        </w:rPr>
        <w:t>。</w:t>
      </w:r>
      <w:r w:rsidR="008952A3" w:rsidRPr="008952A3">
        <w:rPr>
          <w:rFonts w:ascii="宋体" w:eastAsia="宋体" w:hAnsi="宋体"/>
          <w:szCs w:val="21"/>
        </w:rPr>
        <w:t>在各类获得性融合中，</w:t>
      </w:r>
      <w:r w:rsidR="003F3A34" w:rsidRPr="00E203CA">
        <w:rPr>
          <w:rFonts w:ascii="Times New Roman" w:eastAsia="宋体" w:hAnsi="Times New Roman" w:cs="Times New Roman" w:hint="eastAsia"/>
          <w:i/>
          <w:iCs/>
          <w:szCs w:val="21"/>
        </w:rPr>
        <w:t>RET</w:t>
      </w:r>
      <w:r w:rsidR="003F3A34" w:rsidRPr="003F3A34">
        <w:rPr>
          <w:rFonts w:ascii="Times New Roman" w:eastAsia="宋体" w:hAnsi="Times New Roman" w:cs="Times New Roman" w:hint="eastAsia"/>
          <w:szCs w:val="21"/>
        </w:rPr>
        <w:t>融合具有一定代表性</w:t>
      </w:r>
      <w:r w:rsidR="008952A3" w:rsidRPr="008952A3">
        <w:rPr>
          <w:rFonts w:ascii="宋体" w:eastAsia="宋体" w:hAnsi="宋体"/>
          <w:szCs w:val="21"/>
        </w:rPr>
        <w:t>。</w:t>
      </w:r>
      <w:r w:rsidR="00C851CF" w:rsidRPr="00C851CF">
        <w:rPr>
          <w:rFonts w:ascii="Times New Roman" w:eastAsia="宋体" w:hAnsi="Times New Roman" w:cs="Times New Roman"/>
          <w:szCs w:val="21"/>
        </w:rPr>
        <w:t>Rotow</w:t>
      </w:r>
      <w:r w:rsidR="00C851CF" w:rsidRPr="00C851CF">
        <w:rPr>
          <w:rFonts w:ascii="Times New Roman" w:eastAsia="宋体" w:hAnsi="Times New Roman" w:cs="Times New Roman"/>
          <w:szCs w:val="21"/>
        </w:rPr>
        <w:t>等开展的前瞻性多中心队列研究显示，</w:t>
      </w:r>
      <w:r w:rsidR="003F3A34">
        <w:rPr>
          <w:rFonts w:ascii="Times New Roman" w:eastAsia="宋体" w:hAnsi="Times New Roman" w:cs="Times New Roman" w:hint="eastAsia"/>
          <w:szCs w:val="21"/>
        </w:rPr>
        <w:t>奥希替尼</w:t>
      </w:r>
      <w:r w:rsidR="00C851CF" w:rsidRPr="00C851CF">
        <w:rPr>
          <w:rFonts w:ascii="Times New Roman" w:eastAsia="宋体" w:hAnsi="Times New Roman" w:cs="Times New Roman"/>
          <w:szCs w:val="21"/>
        </w:rPr>
        <w:t>联合</w:t>
      </w:r>
      <w:r w:rsidR="00C851CF" w:rsidRPr="00C851CF">
        <w:rPr>
          <w:rFonts w:ascii="Times New Roman" w:eastAsia="宋体" w:hAnsi="Times New Roman" w:cs="Times New Roman"/>
          <w:szCs w:val="21"/>
        </w:rPr>
        <w:t>selpercatinib</w:t>
      </w:r>
      <w:r w:rsidR="00C851CF" w:rsidRPr="00C851CF">
        <w:rPr>
          <w:rFonts w:ascii="Times New Roman" w:eastAsia="宋体" w:hAnsi="Times New Roman" w:cs="Times New Roman"/>
          <w:szCs w:val="21"/>
        </w:rPr>
        <w:t>治疗</w:t>
      </w:r>
      <w:r w:rsidR="00C851CF" w:rsidRPr="00E203CA">
        <w:rPr>
          <w:rFonts w:ascii="Times New Roman" w:eastAsia="宋体" w:hAnsi="Times New Roman" w:cs="Times New Roman"/>
          <w:i/>
          <w:iCs/>
          <w:szCs w:val="21"/>
        </w:rPr>
        <w:t>EGFR</w:t>
      </w:r>
      <w:r w:rsidR="00C851CF" w:rsidRPr="00C851CF">
        <w:rPr>
          <w:rFonts w:ascii="Times New Roman" w:eastAsia="宋体" w:hAnsi="Times New Roman" w:cs="Times New Roman"/>
          <w:szCs w:val="21"/>
        </w:rPr>
        <w:t>突变并获得性</w:t>
      </w:r>
      <w:r w:rsidR="00C851CF" w:rsidRPr="00E203CA">
        <w:rPr>
          <w:rFonts w:ascii="Times New Roman" w:eastAsia="宋体" w:hAnsi="Times New Roman" w:cs="Times New Roman"/>
          <w:i/>
          <w:iCs/>
          <w:szCs w:val="21"/>
        </w:rPr>
        <w:t>RET</w:t>
      </w:r>
      <w:r w:rsidR="00C851CF" w:rsidRPr="00C851CF">
        <w:rPr>
          <w:rFonts w:ascii="Times New Roman" w:eastAsia="宋体" w:hAnsi="Times New Roman" w:cs="Times New Roman"/>
          <w:szCs w:val="21"/>
        </w:rPr>
        <w:t>融合的</w:t>
      </w:r>
      <w:r w:rsidR="00C851CF" w:rsidRPr="00C851CF">
        <w:rPr>
          <w:rFonts w:ascii="Times New Roman" w:eastAsia="宋体" w:hAnsi="Times New Roman" w:cs="Times New Roman"/>
          <w:szCs w:val="21"/>
        </w:rPr>
        <w:t>NSCLC</w:t>
      </w:r>
      <w:r w:rsidR="00C851CF" w:rsidRPr="00C851CF">
        <w:rPr>
          <w:rFonts w:ascii="Times New Roman" w:eastAsia="宋体" w:hAnsi="Times New Roman" w:cs="Times New Roman"/>
          <w:szCs w:val="21"/>
        </w:rPr>
        <w:t>患者</w:t>
      </w:r>
      <w:r w:rsidR="004874E9" w:rsidRPr="00C851CF">
        <w:rPr>
          <w:rFonts w:ascii="Times New Roman" w:eastAsia="宋体" w:hAnsi="Times New Roman" w:cs="Times New Roman"/>
          <w:szCs w:val="21"/>
        </w:rPr>
        <w:t>，</w:t>
      </w:r>
      <w:r w:rsidR="004874E9" w:rsidRPr="004874E9">
        <w:rPr>
          <w:rFonts w:ascii="Times New Roman" w:eastAsia="宋体" w:hAnsi="Times New Roman" w:cs="Times New Roman"/>
          <w:szCs w:val="21"/>
        </w:rPr>
        <w:t>14</w:t>
      </w:r>
      <w:r w:rsidR="004874E9" w:rsidRPr="004874E9">
        <w:rPr>
          <w:rFonts w:ascii="Times New Roman" w:eastAsia="宋体" w:hAnsi="Times New Roman" w:cs="Times New Roman"/>
          <w:szCs w:val="21"/>
        </w:rPr>
        <w:t>例可评估患者</w:t>
      </w:r>
      <w:r w:rsidR="00C851CF">
        <w:rPr>
          <w:rFonts w:ascii="Times New Roman" w:eastAsia="宋体" w:hAnsi="Times New Roman" w:cs="Times New Roman" w:hint="eastAsia"/>
          <w:szCs w:val="21"/>
        </w:rPr>
        <w:t>中</w:t>
      </w:r>
      <w:r w:rsidR="004874E9" w:rsidRPr="004874E9">
        <w:rPr>
          <w:rFonts w:ascii="Times New Roman" w:eastAsia="宋体" w:hAnsi="Times New Roman" w:cs="Times New Roman"/>
          <w:szCs w:val="21"/>
        </w:rPr>
        <w:lastRenderedPageBreak/>
        <w:t>ORR</w:t>
      </w:r>
      <w:r w:rsidR="004874E9" w:rsidRPr="004874E9">
        <w:rPr>
          <w:rFonts w:ascii="Times New Roman" w:eastAsia="宋体" w:hAnsi="Times New Roman" w:cs="Times New Roman"/>
          <w:szCs w:val="21"/>
        </w:rPr>
        <w:t>为</w:t>
      </w:r>
      <w:r w:rsidR="004874E9" w:rsidRPr="004874E9">
        <w:rPr>
          <w:rFonts w:ascii="Times New Roman" w:eastAsia="宋体" w:hAnsi="Times New Roman" w:cs="Times New Roman"/>
          <w:szCs w:val="21"/>
        </w:rPr>
        <w:t>50%</w:t>
      </w:r>
      <w:r w:rsidR="004874E9" w:rsidRPr="004874E9">
        <w:rPr>
          <w:rFonts w:ascii="Times New Roman" w:eastAsia="宋体" w:hAnsi="Times New Roman" w:cs="Times New Roman"/>
          <w:szCs w:val="21"/>
        </w:rPr>
        <w:t>，</w:t>
      </w:r>
      <w:r w:rsidR="004F5A3D" w:rsidRPr="004F5A3D">
        <w:rPr>
          <w:rFonts w:ascii="Times New Roman" w:eastAsia="宋体" w:hAnsi="Times New Roman" w:cs="Times New Roman" w:hint="eastAsia"/>
          <w:szCs w:val="21"/>
        </w:rPr>
        <w:t>疾病控制率（</w:t>
      </w:r>
      <w:r w:rsidR="004F5A3D" w:rsidRPr="004F5A3D">
        <w:rPr>
          <w:rFonts w:ascii="Times New Roman" w:eastAsia="宋体" w:hAnsi="Times New Roman" w:cs="Times New Roman" w:hint="eastAsia"/>
          <w:szCs w:val="21"/>
        </w:rPr>
        <w:t>disease control rate</w:t>
      </w:r>
      <w:r w:rsidR="004F5A3D" w:rsidRPr="004F5A3D">
        <w:rPr>
          <w:rFonts w:ascii="Times New Roman" w:eastAsia="宋体" w:hAnsi="Times New Roman" w:cs="Times New Roman" w:hint="eastAsia"/>
          <w:szCs w:val="21"/>
        </w:rPr>
        <w:t>，</w:t>
      </w:r>
      <w:r w:rsidR="004F5A3D" w:rsidRPr="004F5A3D">
        <w:rPr>
          <w:rFonts w:ascii="Times New Roman" w:eastAsia="宋体" w:hAnsi="Times New Roman" w:cs="Times New Roman" w:hint="eastAsia"/>
          <w:szCs w:val="21"/>
        </w:rPr>
        <w:t>DCR</w:t>
      </w:r>
      <w:r w:rsidR="004F5A3D" w:rsidRPr="004F5A3D">
        <w:rPr>
          <w:rFonts w:ascii="Times New Roman" w:eastAsia="宋体" w:hAnsi="Times New Roman" w:cs="Times New Roman" w:hint="eastAsia"/>
          <w:szCs w:val="21"/>
        </w:rPr>
        <w:t>）</w:t>
      </w:r>
      <w:r w:rsidR="004874E9" w:rsidRPr="004874E9">
        <w:rPr>
          <w:rFonts w:ascii="Times New Roman" w:eastAsia="宋体" w:hAnsi="Times New Roman" w:cs="Times New Roman"/>
          <w:szCs w:val="21"/>
        </w:rPr>
        <w:t>为</w:t>
      </w:r>
      <w:r w:rsidR="004874E9" w:rsidRPr="004874E9">
        <w:rPr>
          <w:rFonts w:ascii="Times New Roman" w:eastAsia="宋体" w:hAnsi="Times New Roman" w:cs="Times New Roman"/>
          <w:szCs w:val="21"/>
        </w:rPr>
        <w:t>83%</w:t>
      </w:r>
      <w:r w:rsidR="004874E9" w:rsidRPr="004874E9">
        <w:rPr>
          <w:rFonts w:ascii="Times New Roman" w:eastAsia="宋体" w:hAnsi="Times New Roman" w:cs="Times New Roman"/>
          <w:szCs w:val="21"/>
        </w:rPr>
        <w:t>，中位治疗持续时间为</w:t>
      </w:r>
      <w:r w:rsidR="004874E9" w:rsidRPr="004874E9">
        <w:rPr>
          <w:rFonts w:ascii="Times New Roman" w:eastAsia="宋体" w:hAnsi="Times New Roman" w:cs="Times New Roman"/>
          <w:szCs w:val="21"/>
        </w:rPr>
        <w:t>7.9</w:t>
      </w:r>
      <w:r w:rsidR="004874E9" w:rsidRPr="004874E9">
        <w:rPr>
          <w:rFonts w:ascii="Times New Roman" w:eastAsia="宋体" w:hAnsi="Times New Roman" w:cs="Times New Roman"/>
          <w:szCs w:val="21"/>
        </w:rPr>
        <w:t>个月，提示</w:t>
      </w:r>
      <w:r w:rsidR="004874E9" w:rsidRPr="004874E9">
        <w:rPr>
          <w:rFonts w:ascii="Times New Roman" w:eastAsia="宋体" w:hAnsi="Times New Roman" w:cs="Times New Roman"/>
          <w:szCs w:val="21"/>
        </w:rPr>
        <w:t>EGFR</w:t>
      </w:r>
      <w:r w:rsidR="004874E9" w:rsidRPr="004874E9">
        <w:rPr>
          <w:rFonts w:ascii="Times New Roman" w:eastAsia="宋体" w:hAnsi="Times New Roman" w:cs="Times New Roman"/>
          <w:szCs w:val="21"/>
        </w:rPr>
        <w:t>与</w:t>
      </w:r>
      <w:r w:rsidR="004874E9" w:rsidRPr="004874E9">
        <w:rPr>
          <w:rFonts w:ascii="Times New Roman" w:eastAsia="宋体" w:hAnsi="Times New Roman" w:cs="Times New Roman"/>
          <w:szCs w:val="21"/>
        </w:rPr>
        <w:t>RET</w:t>
      </w:r>
      <w:r w:rsidR="004874E9" w:rsidRPr="004874E9">
        <w:rPr>
          <w:rFonts w:ascii="Times New Roman" w:eastAsia="宋体" w:hAnsi="Times New Roman" w:cs="Times New Roman"/>
          <w:szCs w:val="21"/>
        </w:rPr>
        <w:t>双</w:t>
      </w:r>
      <w:r w:rsidR="004874E9" w:rsidRPr="004874E9">
        <w:rPr>
          <w:rFonts w:ascii="宋体" w:eastAsia="宋体" w:hAnsi="宋体"/>
          <w:szCs w:val="21"/>
        </w:rPr>
        <w:t>通路联合抑制可为此类患者带来临床获益</w:t>
      </w:r>
      <w:r w:rsidR="00BD22B4">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{"citationID":"NSDFhA6I","properties":{"formattedCitation":"\\super [33]\\nosupersub{}","plainCitation":"[33]","noteIndex":0},"citationItems":[{"id":802,"uris":["http://zotero.org/users/14719789/items/NC8TZBCN"],"itemData":{"id":802,"type":"article-journal","abstract":"Purpose:\nAcquired RET fusions have been reported at resistance to treatment with EGFR inhibitors in EGFR-mutant non-small cell lung cancer (NSCLC), however, a multicenter cohort of patients with EGFR-mutant lung cancers treated with osimertinib and selpercatinib for RET fusion-mediated osimertinib resistance has not previously been published.\n\nPatients and methods:\nPatients who received selpercatinib in combination with osimertinib on a prospective expanded access clinical trial (NCT03906331) and single-patient compassionate use programs across five countries were centrally analyzed. All patients had advanced EGFR-mutant NSCLC with a RET fusion detected from tissue or plasma following osimertinib therapy. Clinicopathologic and outcomes data were collected.\n\nResults:\nFourteen patients with EGFR-mutant and RET fusion-positive lung cancers who experienced prior progression on osimertinib received osimertinib and selpercatinib. EGFR exon 19 deletions (±T790M, 86%) and non-KIF5B fusions (CCDC6-RET 50%, NCOA4-RET 36%) predominated. Osimertinib 80mg daily and selpercatinib 80mg twice daily were the most commonly administered dosages. The response rate, disease control rate, and median treatment duration were 50% (95%CI 25%–75%, n=12), 83% (95%CI 55%–95%%), and 7.9 months (range 0.8–25+), respectively. Resistance was complex, involving EGFR on-target (EGFR C797S), RET on-target (RET G810S), and off-target (EML4-ALK/STRN-ALK, KRAS G12S, BRAF V600E) mechanisms, RET fusion loss, or polyclonal mechanisms.\n\nConclusions:\nFor patients with EGFR-mutant NSCLC with an acquired RET fusion as a mechanism of EGFR inhibitor resistance, the addition of selpercatinib to osimertinib was feasible, safe, and offered clinical benefit, supporting the prospective evaluation of this combination.","container-title":"Clinical cancer research : an official journal of the American Association for Cancer Research","DOI":"10.1158/1078-0432.CCR-22-2189","ISSN":"1078-0432","issue":"16","journalAbbreviation":"Clin Cancer Res","note":"TLDR: For patients with EGFR-mutant NSCLC with an acquired RET fusion as a mechanism of EGFR inhibitor resistance, the addition of selpercatinib to osimertinib was feasible, safe, and offered clinical benefit, supporting the prospective evaluation of this combination.","page":"2979-2987","PMID":"36996322","PMCID":"PMC10524391","source":"PubMed Central","title":"Osimertinib and selpercatinib efficacy, safety, and resistance in a multicenter, prospectively treated cohort of EGFR-mutant and RET fusion-positive lung cancers","volume":"29","author":[{"family":"Rotow","given":"Julia"},{"family":"Patel","given":"Jyoti D."},{"family":"Hanley","given":"Matthew P."},{"family":"Yu","given":"Helena"},{"family":"Awad","given":"Mark"},{"family":"Goldman","given":"Jonathan W."},{"family":"Nechushtan","given":"Hovav"},{"family":"Scheffler","given":"Matthias"},{"family":"S Kuo","given":"Chih-Hsi"},{"family":"Rajappa","given":"Senthil"},{"family":"Harada","given":"Guilherme"},{"family":"Clifford","given":"Sarah"},{"family":"Santucci","given":"Alison"},{"family":"Silva","given":"Laura"},{"family":"Tupper","given":"Rebecca"},{"family":"Oxnard","given":"Geoffrey R."},{"family":"Kherani","given":"Jennifer"},{"family":"Drilon","given":"Alexander"}],"issued":{"date-parts":[["2023",8,15]]}}}],"schema":"https://github.com/citation-style-language/schema/raw/master/csl-citation.json"} </w:instrText>
      </w:r>
      <w:r w:rsidR="00BD22B4">
        <w:rPr>
          <w:rFonts w:ascii="宋体" w:eastAsia="宋体" w:hAnsi="宋体" w:hint="eastAsia"/>
          <w:szCs w:val="21"/>
        </w:rPr>
        <w:fldChar w:fldCharType="separate"/>
      </w:r>
      <w:r w:rsidR="00DF1ED3" w:rsidRPr="00DF1ED3">
        <w:rPr>
          <w:rFonts w:ascii="宋体" w:eastAsia="宋体" w:hAnsi="宋体" w:cs="Times New Roman"/>
          <w:kern w:val="0"/>
          <w:vertAlign w:val="superscript"/>
        </w:rPr>
        <w:t>[33]</w:t>
      </w:r>
      <w:r w:rsidR="00BD22B4">
        <w:rPr>
          <w:rFonts w:ascii="宋体" w:eastAsia="宋体" w:hAnsi="宋体" w:hint="eastAsia"/>
          <w:szCs w:val="21"/>
        </w:rPr>
        <w:fldChar w:fldCharType="end"/>
      </w:r>
      <w:r w:rsidR="004874E9">
        <w:rPr>
          <w:rFonts w:ascii="宋体" w:eastAsia="宋体" w:hAnsi="宋体" w:hint="eastAsia"/>
          <w:szCs w:val="21"/>
        </w:rPr>
        <w:t>。</w:t>
      </w:r>
      <w:r w:rsidR="003D123C" w:rsidRPr="003D123C">
        <w:rPr>
          <w:rFonts w:ascii="Times New Roman" w:eastAsia="宋体" w:hAnsi="Times New Roman" w:cs="Times New Roman"/>
          <w:szCs w:val="21"/>
        </w:rPr>
        <w:t>COMPOSIT</w:t>
      </w:r>
      <w:r w:rsidR="003D123C" w:rsidRPr="003D123C">
        <w:rPr>
          <w:rFonts w:ascii="Times New Roman" w:eastAsia="宋体" w:hAnsi="Times New Roman" w:cs="Times New Roman"/>
          <w:szCs w:val="21"/>
        </w:rPr>
        <w:t>研究亦提示，</w:t>
      </w:r>
      <w:r w:rsidR="003F3A34">
        <w:rPr>
          <w:rFonts w:ascii="Times New Roman" w:eastAsia="宋体" w:hAnsi="Times New Roman" w:cs="Times New Roman" w:hint="eastAsia"/>
          <w:szCs w:val="21"/>
        </w:rPr>
        <w:t>奥希替尼</w:t>
      </w:r>
      <w:r w:rsidR="003D123C" w:rsidRPr="003D123C">
        <w:rPr>
          <w:rFonts w:ascii="Times New Roman" w:eastAsia="宋体" w:hAnsi="Times New Roman" w:cs="Times New Roman"/>
          <w:szCs w:val="21"/>
        </w:rPr>
        <w:t>联合</w:t>
      </w:r>
      <w:r w:rsidR="003D123C" w:rsidRPr="003D123C">
        <w:rPr>
          <w:rFonts w:ascii="Times New Roman" w:eastAsia="宋体" w:hAnsi="Times New Roman" w:cs="Times New Roman"/>
          <w:szCs w:val="21"/>
        </w:rPr>
        <w:t>pralsetinib</w:t>
      </w:r>
      <w:r w:rsidR="003F3A34" w:rsidRPr="003F3A34">
        <w:rPr>
          <w:rFonts w:ascii="Times New Roman" w:eastAsia="宋体" w:hAnsi="Times New Roman" w:cs="Times New Roman" w:hint="eastAsia"/>
          <w:szCs w:val="21"/>
        </w:rPr>
        <w:t>对获得性</w:t>
      </w:r>
      <w:r w:rsidR="003F3A34" w:rsidRPr="00E203CA">
        <w:rPr>
          <w:rFonts w:ascii="Times New Roman" w:eastAsia="宋体" w:hAnsi="Times New Roman" w:cs="Times New Roman" w:hint="eastAsia"/>
          <w:i/>
          <w:iCs/>
          <w:szCs w:val="21"/>
        </w:rPr>
        <w:t>RET</w:t>
      </w:r>
      <w:r w:rsidR="003F3A34" w:rsidRPr="003F3A34">
        <w:rPr>
          <w:rFonts w:ascii="Times New Roman" w:eastAsia="宋体" w:hAnsi="Times New Roman" w:cs="Times New Roman" w:hint="eastAsia"/>
          <w:szCs w:val="21"/>
        </w:rPr>
        <w:t>融合患者可能具有治疗价值</w:t>
      </w:r>
      <w:r w:rsidR="003D123C" w:rsidRPr="003D123C">
        <w:rPr>
          <w:rFonts w:ascii="宋体" w:eastAsia="宋体" w:hAnsi="宋体" w:cs="Times New Roman"/>
          <w:kern w:val="0"/>
          <w:vertAlign w:val="superscript"/>
        </w:rPr>
        <w:fldChar w:fldCharType="begin"/>
      </w:r>
      <w:r w:rsidR="00DF1ED3">
        <w:rPr>
          <w:rFonts w:ascii="宋体" w:eastAsia="宋体" w:hAnsi="宋体" w:cs="Times New Roman" w:hint="eastAsia"/>
          <w:kern w:val="0"/>
          <w:vertAlign w:val="superscript"/>
        </w:rPr>
        <w:instrText xml:space="preserve"> ADDIN ZOTERO_ITEM CSL_CITATION {"citationID":"v3APE6dj","properties":{"formattedCitation":"\\super [34]\\nosupersub{}","plainCitation":"[34]","noteIndex":0},"citationItems":[{"id":805,"uris":["http://zotero.org/users/14719789/items/PBPYBFAS"],"itemData":{"id":805,"type":"article-journal","abstract":"Introduction: The emergence of diverse resistance mechanisms after osimertinib therapy, including on-target epidermal growth factor receptor (EGFR) mutations and off-target alterations, warrants investigation of novel therapeutics to overcome these challenges and improve patient outcomes.","container-title":"The Oncologist","DOI":"10.1093/oncolo/oyae312","ISSN":"1083-7159, 1549-490X","issue":"8","language":"en","license":"https://creativecommons.org/licenses/by-nc/4.0/","note":"TLDR: Combinations of osimertinib with other targeted therapies appeared to be feasible and safe and may offer clinical benefit to overcome resistance to osimertinib in EGFRm NSCLC, especially in patients with MET amplification.","page":"oyae312","source":"DOI.org (Crossref)","title":"COMPOSIT study: evaluating osimertinib combination with targeted therapies in &lt;i&gt;EGFR&lt;/i&gt; -mutated non-small cell lung cancer","title-short":"COMPOSIT study","volume":"30","author":[{"family":"Mehlman","given":"Camille"},{"family":"Swalduz","given":"Aurelie"},{"family":"Monnet","given":"Isabelle"},{"family":"Morin","given":"Clara"},{"family":"Wislez","given":"Marie"},{"family":"Guisier","given":"Florian"},{"family":"Curcio","given":"Hubert"},{"family":"Du Rusquec","given":"Pauline"},{"family":"Cortot","given":"Alexis B"},{"family":"Gounant","given":"Valerie"},{"family":"Abbar","given":"Baptiste"},{"family":"Duchemann","given":"Boris"},{"family":"Giroux-Leprieur","given":"Etienne"},{"family":"Pierret","given":"Thomas"},{"family":"Quilot","given":"Fleur-Marie"},{"family":"Cadranel","given":"Jacques"},{"family":"Fallet","given":"Vincent"}],"issued":{"date-parts":[["2025",8,4]]}}}],"schema":"https://github.com/citation-style-language/schema/raw/master/csl-citation.json"} </w:instrText>
      </w:r>
      <w:r w:rsidR="003D123C" w:rsidRPr="003D123C">
        <w:rPr>
          <w:rFonts w:ascii="宋体" w:eastAsia="宋体" w:hAnsi="宋体" w:cs="Times New Roman"/>
          <w:kern w:val="0"/>
          <w:vertAlign w:val="superscript"/>
        </w:rPr>
        <w:fldChar w:fldCharType="separate"/>
      </w:r>
      <w:r w:rsidR="00DF1ED3" w:rsidRPr="00DF1ED3">
        <w:rPr>
          <w:rFonts w:ascii="宋体" w:eastAsia="宋体" w:hAnsi="宋体" w:cs="Times New Roman"/>
          <w:kern w:val="0"/>
          <w:vertAlign w:val="superscript"/>
        </w:rPr>
        <w:t>[34]</w:t>
      </w:r>
      <w:r w:rsidR="003D123C" w:rsidRPr="003D123C">
        <w:rPr>
          <w:rFonts w:ascii="宋体" w:eastAsia="宋体" w:hAnsi="宋体" w:cs="Times New Roman"/>
          <w:kern w:val="0"/>
          <w:vertAlign w:val="superscript"/>
        </w:rPr>
        <w:fldChar w:fldCharType="end"/>
      </w:r>
      <w:r w:rsidR="003D123C">
        <w:rPr>
          <w:rFonts w:ascii="Times New Roman" w:eastAsia="宋体" w:hAnsi="Times New Roman" w:cs="Times New Roman" w:hint="eastAsia"/>
          <w:szCs w:val="21"/>
        </w:rPr>
        <w:t>。</w:t>
      </w:r>
      <w:r w:rsidR="00BC4295" w:rsidRPr="00E203CA">
        <w:rPr>
          <w:rFonts w:ascii="Times New Roman" w:eastAsia="宋体" w:hAnsi="Times New Roman" w:cs="Times New Roman" w:hint="eastAsia"/>
          <w:i/>
          <w:iCs/>
          <w:szCs w:val="21"/>
        </w:rPr>
        <w:t>ALK</w:t>
      </w:r>
      <w:r w:rsidR="00BC4295" w:rsidRPr="00BC4295">
        <w:rPr>
          <w:rFonts w:ascii="Times New Roman" w:eastAsia="宋体" w:hAnsi="Times New Roman" w:cs="Times New Roman" w:hint="eastAsia"/>
          <w:szCs w:val="21"/>
        </w:rPr>
        <w:t>融合亦可作为奥希替尼耐药后的旁路事件，</w:t>
      </w:r>
      <w:r w:rsidR="00A00FBF" w:rsidRPr="00A00FBF">
        <w:rPr>
          <w:rFonts w:ascii="Times New Roman" w:eastAsia="宋体" w:hAnsi="Times New Roman" w:cs="Times New Roman" w:hint="eastAsia"/>
          <w:szCs w:val="21"/>
        </w:rPr>
        <w:t>病例报告显示持续</w:t>
      </w:r>
      <w:r w:rsidR="00A00FBF" w:rsidRPr="00A00FBF">
        <w:rPr>
          <w:rFonts w:ascii="Times New Roman" w:eastAsia="宋体" w:hAnsi="Times New Roman" w:cs="Times New Roman" w:hint="eastAsia"/>
          <w:szCs w:val="21"/>
        </w:rPr>
        <w:t>EGFR</w:t>
      </w:r>
      <w:r w:rsidR="00A00FBF" w:rsidRPr="00A00FBF">
        <w:rPr>
          <w:rFonts w:ascii="Times New Roman" w:eastAsia="宋体" w:hAnsi="Times New Roman" w:cs="Times New Roman" w:hint="eastAsia"/>
          <w:szCs w:val="21"/>
        </w:rPr>
        <w:t>抑制联合</w:t>
      </w:r>
      <w:r w:rsidR="00A00FBF" w:rsidRPr="00A00FBF">
        <w:rPr>
          <w:rFonts w:ascii="Times New Roman" w:eastAsia="宋体" w:hAnsi="Times New Roman" w:cs="Times New Roman" w:hint="eastAsia"/>
          <w:szCs w:val="21"/>
        </w:rPr>
        <w:t>ALK</w:t>
      </w:r>
      <w:r w:rsidR="00A00FBF" w:rsidRPr="00A00FBF">
        <w:rPr>
          <w:rFonts w:ascii="Times New Roman" w:eastAsia="宋体" w:hAnsi="Times New Roman" w:cs="Times New Roman" w:hint="eastAsia"/>
          <w:szCs w:val="21"/>
        </w:rPr>
        <w:t>抑制剂可获得临床应答</w:t>
      </w:r>
      <w:r w:rsidR="0057772B">
        <w:rPr>
          <w:rFonts w:ascii="宋体" w:eastAsia="宋体" w:hAnsi="宋体" w:hint="eastAsia"/>
          <w:szCs w:val="21"/>
        </w:rPr>
        <w:fldChar w:fldCharType="begin"/>
      </w:r>
      <w:r w:rsidR="00627967">
        <w:rPr>
          <w:rFonts w:ascii="宋体" w:eastAsia="宋体" w:hAnsi="宋体" w:hint="eastAsia"/>
          <w:szCs w:val="21"/>
        </w:rPr>
        <w:instrText xml:space="preserve"> ADDIN ZOTERO_ITEM CSL_CITATION {"citationID":"0I4UuBHu","properties":{"unsorted":false,"formattedCitation":"\\super [35,36]\\nosupersub{}","plainCitation":"[35,36]","noteIndex":0},"citationItems":[{"id":809,"uris":["http://zotero.org/users/14719789/items/AJT9KC8C"],"itemData":{"id":809,"type":"article-journal","abstract":"Background: Despite significant benefits from targeted therapy in patients with driver mutations, inevitable drug resistance usually occurred in non-small cell lung cancer (NSCLC), highlighting the necessity for sequential treatments to prolong overall survival. Unfortunately, durable drug response has not been reported in posterior-line therapy of cases with acquired EML4-ALK fusion after resistance to osimertinib, urging the need of referable decision-making in clinical management.We present a case of a 71-year-old Chinese female, never smoker, diagnosed with invasive adenocarcinoma in the left inferior lobe of her lung, with metastases in regional lymph nodes.. She received erlotinib treatment after the detection of coexistent EGFR L858R/ G719S, and BRAF V600E via next-generation sequencing of resected tumor tissue. Routine imaging revealed disease progression approximately 14 months after starting erlotinib treatment, followed by the detection of EGFR L858R through non-invasive liquid biopsy. Subsequently, osimertinib was administered, showing clinical activities for nearly 19 months until the emergence of an EML4-ALK fusion. Given the EML4-ALK fusion, a relatively rare resistance mechanism to osimertinib, she received third-line ensartinib treatment. One month later, alleviated tumor lesions plus normal serum marker levels demonstrated the effectiveness of ensartinib in overcoming resistance to osimertinib. Of note, the clinical response to ensartinib persisted for more than 14 months, superior to the previously reported efficacy of aletinib and crizotinib in osimertinib-failure cases. As of the last follow-up in July 2022, the patient showed no signs of recurrence and maintained a good life quality.We reported a third-line ensartinib therapy in a NSCLC patient who developed an acquired EML4-ALK fusion after sequential treatment with erlotinib and osimertinib. Given the rarity of the EML4-ALK fusion as a resistance mechanism to osimertinib, ensartinib emerges as a promising treatment option for this specific clinical challenge, offering superior efficacy and good safety.","container-title":"Frontiers in Pharmacology","DOI":"10.3389/fphar.2024.1359403","ISSN":"1663-9812","journalAbbreviation":"Front. Pharmacol.","language":"English","note":"TLDR: Third-line ensartinib therapy is reported in a patient with lung adenocarcinoma who developed an acquired EML4-ALK fusion after sequential treatment with erlotinib and osimertinib, offering superior efficacy and good safety.","publisher":"Frontiers","source":"Frontiers","title":"Case report: Durable response of ensartinib targeting EML4-ALK fusion in osimertinib-resistant non-small cell lung cancer","title-short":"Case report","URL":"https://www.frontiersin.org/journals/pharmacology/articles/10.3389/fphar.2024.1359403/full","volume":"15","author":[{"family":"Guo","given":"Yongkuan"},{"family":"Zhang","given":"Ran"},{"family":"Meng","given":"Yiran"},{"family":"Wang","given":"Li"},{"family":"Zheng","given":"Liuqing"},{"family":"You","given":"Jian"}],"accessed":{"date-parts":[["2026",4,14]]},"issued":{"date-parts":[["2024",7,29]]}}},{"id":806,"uris":["http://zotero.org/users/14719789/items/K4BASZFF"],"itemData":{"id":806,"type":"article-journal","abstract":"Acquired resistance to epidermal growth factor receptor (EGFR) tyrosine kinase inhibitors (TKIs) remains a significant challenge in the management of EGFR-mutant non-small-cell lung cancer (NSCLC). While EGFR T790M mutation and MET amplification are well-established resistance mechanisms, the development of secondary oncogenic fusions such as anaplastic lymphoma kinase (ALK) rearrangements is rare but clinically actionable. We report a 62-year-old male with EGFR exon 19 deletion-positive NSCLC who initially responded to osimertinib but developed progressive brain metastasis after 13 months of treatment. Next-generation sequencing of the brain metastasis revealed an acquired EML4::ALK fusion while maintaining the original EGFR exon 19 deletion. The patient was treated with a combination of osimertinib and alectinib, achieving a complete response that has been sustained for 12 months without significant toxicity. Literature review identified 16 reported cases of ALK fusion as a resistance mechanism to EGFR TKIs. The median time to development of ALK fusion resistance was 16 months (range: 6-34 months). Most patients (75%) developed secondary ALK fusion after osimertinib exposure. EML4::ALK was the most common fusion variant (68.8%), though this population showed enrichment for uncommon ALK fusion partners compared to de novo ALK-positive NSCLC. Central nervous system involvement was common (33% of cases). Combination EGFR and ALK TKI therapy demonstrated an objective response rate of 66.7% with good tolerability. Secondary ALK fusion represents a rare but important resistance mechanism to EGFR TKIs that can be effectively treated with combination targeted therapy. This is particularly clinically relevant as treatment with dual EGFR and ALK TKI has a high response rate with low toxicity in an otherwise treatment-refractory population with poor survival. Comprehensive molecular profiling at progression is essential for identifying this actionable resistance mechanism.","container-title":"Cureus","DOI":"10.7759/cureus.92202","ISSN":"2168-8184","issue":"9","journalAbbreviation":"Cureus","language":"eng","note":"TLDR: Primary ALK fusion represents a rare but important resistance mechanism to EGFR TKIs that can be effectively treated with combination targeted therapy and is particularly clinically relevant as treatment with dual EGFR and ALK TKI has a high response rate with low toxicity in an otherwise treatment-refractory population with poor survival.","page":"e92202","PMID":"41089107","PMCID":"PMC12516796","source":"PubMed","title":"Anaplastic Lymphoma Kinase (ALK) Fusion as a Resistance Mechanism to Epidermal Growth Factor Receptor (EGFR) Tyrosine Kinase Inhibitors With Complete Response After Osimertinib and Alectinib: A Case Report and Literature Review","title-short":"Anaplastic Lymphoma Kinase (ALK) Fusion as a Resistance Mechanism to Epidermal Growth Factor Receptor (EGFR) Tyrosine Kinase Inhibitors With Complete Response After Osimertinib and Alectinib","volume":"17","author":[{"family":"Cheung","given":"Ben Man Fei"},{"family":"El Helali","given":"Aya"},{"family":"Leung","given":"Dennis Kwok Chuen"}],"issued":{"date-parts":[["2025",9]]}}}],"schema":"https://github.com/citation-style-language/schema/raw/master/csl-citation.json"} </w:instrText>
      </w:r>
      <w:r w:rsidR="0057772B">
        <w:rPr>
          <w:rFonts w:ascii="宋体" w:eastAsia="宋体" w:hAnsi="宋体" w:hint="eastAsia"/>
          <w:szCs w:val="21"/>
        </w:rPr>
        <w:fldChar w:fldCharType="separate"/>
      </w:r>
      <w:r w:rsidR="00627967" w:rsidRPr="00627967">
        <w:rPr>
          <w:rFonts w:ascii="宋体" w:eastAsia="宋体" w:hAnsi="宋体" w:cs="Times New Roman"/>
          <w:kern w:val="0"/>
          <w:vertAlign w:val="superscript"/>
        </w:rPr>
        <w:t>[35,36]</w:t>
      </w:r>
      <w:r w:rsidR="0057772B">
        <w:rPr>
          <w:rFonts w:ascii="宋体" w:eastAsia="宋体" w:hAnsi="宋体" w:hint="eastAsia"/>
          <w:szCs w:val="21"/>
        </w:rPr>
        <w:fldChar w:fldCharType="end"/>
      </w:r>
      <w:r w:rsidR="005D41DC" w:rsidRPr="005D41DC">
        <w:rPr>
          <w:rFonts w:ascii="Times New Roman" w:eastAsia="宋体" w:hAnsi="Times New Roman" w:cs="Times New Roman"/>
          <w:szCs w:val="21"/>
        </w:rPr>
        <w:t>。</w:t>
      </w:r>
      <w:r w:rsidR="0021531D" w:rsidRPr="0021531D">
        <w:rPr>
          <w:rFonts w:ascii="Times New Roman" w:eastAsia="宋体" w:hAnsi="Times New Roman" w:cs="Times New Roman" w:hint="eastAsia"/>
          <w:szCs w:val="21"/>
        </w:rPr>
        <w:t>获得性融合事件总体发生率较低，</w:t>
      </w:r>
      <w:r w:rsidR="00BC4295" w:rsidRPr="00BC4295">
        <w:rPr>
          <w:rFonts w:ascii="Times New Roman" w:eastAsia="宋体" w:hAnsi="Times New Roman" w:cs="Times New Roman" w:hint="eastAsia"/>
          <w:szCs w:val="21"/>
        </w:rPr>
        <w:t>但在常见耐药机制阴性或疾病快速进展患者中不应忽视</w:t>
      </w:r>
      <w:r w:rsidR="00356043" w:rsidRPr="00356043">
        <w:rPr>
          <w:rFonts w:ascii="宋体" w:eastAsia="宋体" w:hAnsi="宋体" w:cs="Times New Roman"/>
          <w:szCs w:val="21"/>
        </w:rPr>
        <w:fldChar w:fldCharType="begin"/>
      </w:r>
      <w:r w:rsidR="00DF1ED3">
        <w:rPr>
          <w:rFonts w:ascii="宋体" w:eastAsia="宋体" w:hAnsi="宋体" w:cs="Times New Roman" w:hint="eastAsia"/>
          <w:szCs w:val="21"/>
        </w:rPr>
        <w:instrText xml:space="preserve"> ADDIN ZOTERO_ITEM CSL_CITATION {"citationID":"8ZukP2wm","properties":{"formattedCitation":"\\super [32]\\nosupersub{}","plainCitation":"[32]","noteIndex":0},"citationItems":[{"id":897,"uris":["http://zotero.org/users/14719789/items/MPR3NNL8"],"itemData":{"id":897,"type":"article-journal","container-title":"Journal of Thoracic Oncology","DOI":"10.1016/j.jtho.2024.11.027","ISSN":"1556-0864, 1556-1380","issue":"4","journalAbbreviation":"Journal of Thoracic Oncology","language":"English","note":"TLDR: Emergence of RTK fusions is one of the mechanisms of bypass resistance of EGFR TKI and dual inhibition of EGFR-RTK was safe and efficacious in patients with targetable RTK fusion post progression on EGFR TKIs.","page":"465-474","PMID":"39622411","publisher":"Elsevier","source":"www.jto.org","title":"Receptor Tyrosine Kinase Fusion-Mediated Resistance to EGFR TKI in EGFR-Mutant NSCLC: A Multi-Center Analysis and Literature Review","title-short":"Receptor Tyrosine Kinase Fusion-Mediated Resistance to EGFR TKI in EGFR-Mutant NSCLC","volume":"20","author":[{"family":"Xia","given":"Yang"},{"family":"Wang","given":"Kaiwen"},{"family":"Zhao","given":"Jing"},{"family":"Arter","given":"Zhaohui"},{"family":"Zhang","given":"Yongchang"},{"family":"Zhou","given":"Jiaqi"},{"family":"Lu","given":"Yuefei"},{"family":"Zeng","given":"Liang"},{"family":"Du","given":"Robyn"},{"family":"Owens","given":"Jennifer A."},{"family":"Elamin","given":"Yasir Y."},{"family":"Gay","given":"Carl M."},{"family":"Skoulidis","given":"Ferdinandos"},{"family":"Tsao","given":"Anne S."},{"family":"Lu","given":"Charles"},{"family":"Cascone","given":"Tina"},{"family":"Gibbons","given":"Don L."},{"family":"Zhang","given":"Jianjun"},{"family":"Chen","given":"Olivia"},{"family":"Mok","given":"Kevin K. S."},{"family":"Nagasaka","given":"Misako"},{"family":"Li","given":"Wen"},{"family":"Heymach","given":"John V."},{"family":"Ou","given":"Sai-Hong Ignatius"},{"family":"Li","given":"Molly"},{"family":"Le","given":"Xiuning"}],"issued":{"date-parts":[["2025",4,1]]}}}],"schema":"https://github.com/citation-style-language/schema/raw/master/csl-citation.json"} </w:instrText>
      </w:r>
      <w:r w:rsidR="00356043" w:rsidRPr="00356043">
        <w:rPr>
          <w:rFonts w:ascii="宋体" w:eastAsia="宋体" w:hAnsi="宋体" w:cs="Times New Roman"/>
          <w:szCs w:val="21"/>
        </w:rPr>
        <w:fldChar w:fldCharType="separate"/>
      </w:r>
      <w:r w:rsidR="00DF1ED3" w:rsidRPr="00DF1ED3">
        <w:rPr>
          <w:rFonts w:ascii="宋体" w:eastAsia="宋体" w:hAnsi="宋体" w:cs="Times New Roman"/>
          <w:kern w:val="0"/>
          <w:vertAlign w:val="superscript"/>
        </w:rPr>
        <w:t>[32]</w:t>
      </w:r>
      <w:r w:rsidR="00356043" w:rsidRPr="00356043">
        <w:rPr>
          <w:rFonts w:ascii="宋体" w:eastAsia="宋体" w:hAnsi="宋体" w:cs="Times New Roman"/>
          <w:szCs w:val="21"/>
        </w:rPr>
        <w:fldChar w:fldCharType="end"/>
      </w:r>
      <w:r w:rsidR="0021531D" w:rsidRPr="0021531D">
        <w:rPr>
          <w:rFonts w:ascii="Times New Roman" w:eastAsia="宋体" w:hAnsi="Times New Roman" w:cs="Times New Roman" w:hint="eastAsia"/>
          <w:szCs w:val="21"/>
        </w:rPr>
        <w:t>。</w:t>
      </w:r>
    </w:p>
    <w:p w14:paraId="5A0226F4" w14:textId="49348598" w:rsidR="00F719AD" w:rsidRDefault="00F719AD" w:rsidP="00826AF0">
      <w:pPr>
        <w:spacing w:line="360" w:lineRule="auto"/>
        <w:jc w:val="left"/>
        <w:rPr>
          <w:rFonts w:ascii="宋体" w:eastAsia="宋体" w:hAnsi="宋体" w:hint="eastAsia"/>
          <w:szCs w:val="21"/>
        </w:rPr>
      </w:pPr>
      <w:r>
        <w:rPr>
          <w:rFonts w:ascii="宋体" w:eastAsia="宋体" w:hAnsi="宋体" w:hint="eastAsia"/>
          <w:szCs w:val="21"/>
        </w:rPr>
        <w:t>2.</w:t>
      </w:r>
      <w:r w:rsidR="007350C7">
        <w:rPr>
          <w:rFonts w:ascii="宋体" w:eastAsia="宋体" w:hAnsi="宋体" w:hint="eastAsia"/>
          <w:szCs w:val="21"/>
        </w:rPr>
        <w:t>5</w:t>
      </w:r>
      <w:r w:rsidR="00292AD1">
        <w:rPr>
          <w:rFonts w:ascii="宋体" w:eastAsia="宋体" w:hAnsi="宋体" w:hint="eastAsia"/>
          <w:szCs w:val="21"/>
        </w:rPr>
        <w:t xml:space="preserve"> </w:t>
      </w:r>
      <w:r w:rsidRPr="00F719AD">
        <w:rPr>
          <w:rFonts w:ascii="宋体" w:eastAsia="宋体" w:hAnsi="宋体" w:hint="eastAsia"/>
          <w:szCs w:val="21"/>
        </w:rPr>
        <w:t>下游通路突变</w:t>
      </w:r>
    </w:p>
    <w:p w14:paraId="559753F8" w14:textId="1C464042" w:rsidR="00402F0C" w:rsidRDefault="00914536" w:rsidP="007C45F3">
      <w:pPr>
        <w:spacing w:line="360" w:lineRule="auto"/>
        <w:ind w:firstLineChars="200" w:firstLine="420"/>
        <w:jc w:val="left"/>
        <w:rPr>
          <w:rFonts w:ascii="宋体" w:eastAsia="宋体" w:hAnsi="宋体" w:hint="eastAsia"/>
          <w:szCs w:val="21"/>
        </w:rPr>
      </w:pPr>
      <w:r w:rsidRPr="00914536">
        <w:rPr>
          <w:rFonts w:ascii="Times New Roman" w:eastAsia="宋体" w:hAnsi="Times New Roman" w:cs="Times New Roman" w:hint="eastAsia"/>
          <w:szCs w:val="21"/>
        </w:rPr>
        <w:t>PI3K/AKT/mTOR</w:t>
      </w:r>
      <w:r w:rsidRPr="00914536">
        <w:rPr>
          <w:rFonts w:ascii="Times New Roman" w:eastAsia="宋体" w:hAnsi="Times New Roman" w:cs="Times New Roman" w:hint="eastAsia"/>
          <w:szCs w:val="21"/>
        </w:rPr>
        <w:t>、</w:t>
      </w:r>
      <w:r w:rsidRPr="00914536">
        <w:rPr>
          <w:rFonts w:ascii="Times New Roman" w:eastAsia="宋体" w:hAnsi="Times New Roman" w:cs="Times New Roman" w:hint="eastAsia"/>
          <w:szCs w:val="21"/>
        </w:rPr>
        <w:t>RAS/RAF/MEK/ERK</w:t>
      </w:r>
      <w:r w:rsidRPr="00914536">
        <w:rPr>
          <w:rFonts w:ascii="Times New Roman" w:eastAsia="宋体" w:hAnsi="Times New Roman" w:cs="Times New Roman" w:hint="eastAsia"/>
          <w:szCs w:val="21"/>
        </w:rPr>
        <w:t>通路及细胞周期相关异常可通过维持下游增殖和存活信号，降低肿瘤细胞对</w:t>
      </w:r>
      <w:r w:rsidRPr="00914536">
        <w:rPr>
          <w:rFonts w:ascii="Times New Roman" w:eastAsia="宋体" w:hAnsi="Times New Roman" w:cs="Times New Roman" w:hint="eastAsia"/>
          <w:szCs w:val="21"/>
        </w:rPr>
        <w:t>EGFR</w:t>
      </w:r>
      <w:r w:rsidRPr="00914536">
        <w:rPr>
          <w:rFonts w:ascii="Times New Roman" w:eastAsia="宋体" w:hAnsi="Times New Roman" w:cs="Times New Roman" w:hint="eastAsia"/>
          <w:szCs w:val="21"/>
        </w:rPr>
        <w:t>的依赖。</w:t>
      </w:r>
      <w:r w:rsidRPr="008D12C3">
        <w:rPr>
          <w:rFonts w:ascii="Times New Roman" w:eastAsia="宋体" w:hAnsi="Times New Roman" w:cs="Times New Roman" w:hint="eastAsia"/>
          <w:i/>
          <w:iCs/>
          <w:szCs w:val="21"/>
        </w:rPr>
        <w:t>PIK3CA</w:t>
      </w:r>
      <w:r w:rsidRPr="00914536">
        <w:rPr>
          <w:rFonts w:ascii="Times New Roman" w:eastAsia="宋体" w:hAnsi="Times New Roman" w:cs="Times New Roman" w:hint="eastAsia"/>
          <w:szCs w:val="21"/>
        </w:rPr>
        <w:t>突变较具代表性，可与</w:t>
      </w:r>
      <w:r w:rsidRPr="00914536">
        <w:rPr>
          <w:rFonts w:ascii="Times New Roman" w:eastAsia="宋体" w:hAnsi="Times New Roman" w:cs="Times New Roman" w:hint="eastAsia"/>
          <w:szCs w:val="21"/>
        </w:rPr>
        <w:t>T790M</w:t>
      </w:r>
      <w:r w:rsidRPr="00914536">
        <w:rPr>
          <w:rFonts w:ascii="Times New Roman" w:eastAsia="宋体" w:hAnsi="Times New Roman" w:cs="Times New Roman" w:hint="eastAsia"/>
          <w:szCs w:val="21"/>
        </w:rPr>
        <w:t>等靶内突变共同存在</w:t>
      </w:r>
      <w:r w:rsidR="007C45F3">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{"citationID":"ihZxF2cd","properties":{"formattedCitation":"\\super [37]\\nosupersub{}","plainCitation":"[37]","noteIndex":0},"citationItems":[{"id":783,"uris":["http://zotero.org/users/14719789/items/4IYTANZX"],"itemData":{"id":783,"type":"article-journal","abstract":"PI3K-AKT-mTOR pathway alterations in advanced NSCLC patients after progression on EGFR-TKI and clinical response to EGFR-TKI plus everolimus combination therapy","container-title":"Translational Lung Cancer Research","DOI":"10.21037/tlcr-20-141","ISSN":"2226-4477, 2218-6751","issue":"4","language":"en","note":"TLDR: EGFR-TKIs plus everolimus showed limited antitumor activity in EGFR mutant NSCLC patients with PI3K pathway aberrations, and it was revealed that PI3k pathway was activated in at least 14.9% in EG FR-TKI resistant patients.","publisher":"AME Publishing Company","source":"tlcr.amegroups.org","title":"PI3K-AKT-mTOR pathway alterations in advanced NSCLC patients after progression on EGFR-TKI and clinical response to EGFR-TKI plus everolimus combination therapy","URL":"https://tlcr.amegroups.org/article/view/42164","volume":"9","author":[{"family":"Fang","given":"Wenfeng"},{"family":"Huang","given":"Yihua"},{"family":"Gu","given":"Weiguang"},{"family":"Gan","given":"Jiadi"},{"family":"Wang","given":"Wenjing"},{"family":"Zhang","given":"Shiyue"},{"family":"Wang","given":"Kai"},{"family":"Zhan","given":"Jianhua"},{"family":"Yang","given":"Yunpeng"},{"family":"Huang","given":"Yan"},{"family":"Zhao","given":"Hongyun"},{"family":"Zhang","given":"Li"}],"accessed":{"date-parts":[["2026",4,8]]},"issued":{"date-parts":[["2020",8]]}}}],"schema":"https://github.com/citation-style-language/schema/raw/master/csl-citation.json"} </w:instrText>
      </w:r>
      <w:r w:rsidR="007C45F3">
        <w:rPr>
          <w:rFonts w:ascii="宋体" w:eastAsia="宋体" w:hAnsi="宋体" w:hint="eastAsia"/>
          <w:szCs w:val="21"/>
        </w:rPr>
        <w:fldChar w:fldCharType="separate"/>
      </w:r>
      <w:r w:rsidR="00DF1ED3" w:rsidRPr="00DF1ED3">
        <w:rPr>
          <w:rFonts w:ascii="宋体" w:eastAsia="宋体" w:hAnsi="宋体" w:cs="Times New Roman"/>
          <w:kern w:val="0"/>
          <w:vertAlign w:val="superscript"/>
        </w:rPr>
        <w:t>[37]</w:t>
      </w:r>
      <w:r w:rsidR="007C45F3">
        <w:rPr>
          <w:rFonts w:ascii="宋体" w:eastAsia="宋体" w:hAnsi="宋体" w:hint="eastAsia"/>
          <w:szCs w:val="21"/>
        </w:rPr>
        <w:fldChar w:fldCharType="end"/>
      </w:r>
      <w:r w:rsidR="0010016D" w:rsidRPr="0010016D">
        <w:rPr>
          <w:rFonts w:ascii="宋体" w:eastAsia="宋体" w:hAnsi="宋体" w:hint="eastAsia"/>
          <w:szCs w:val="21"/>
        </w:rPr>
        <w:t>。</w:t>
      </w:r>
      <w:r w:rsidR="00402F0C" w:rsidRPr="00E04542">
        <w:rPr>
          <w:rFonts w:ascii="Times New Roman" w:eastAsia="宋体" w:hAnsi="Times New Roman" w:cs="Times New Roman"/>
          <w:szCs w:val="21"/>
        </w:rPr>
        <w:t>对于一代或二代</w:t>
      </w:r>
      <w:r w:rsidR="00402F0C" w:rsidRPr="00E04542">
        <w:rPr>
          <w:rFonts w:ascii="Times New Roman" w:eastAsia="宋体" w:hAnsi="Times New Roman" w:cs="Times New Roman"/>
          <w:szCs w:val="21"/>
        </w:rPr>
        <w:t>EGFR-TKI</w:t>
      </w:r>
      <w:r w:rsidR="00402F0C" w:rsidRPr="00E04542">
        <w:rPr>
          <w:rFonts w:ascii="Times New Roman" w:eastAsia="宋体" w:hAnsi="Times New Roman" w:cs="Times New Roman"/>
          <w:szCs w:val="21"/>
        </w:rPr>
        <w:t>进展后合并</w:t>
      </w:r>
      <w:r w:rsidR="00402F0C" w:rsidRPr="00E203CA">
        <w:rPr>
          <w:rFonts w:ascii="Times New Roman" w:eastAsia="宋体" w:hAnsi="Times New Roman" w:cs="Times New Roman"/>
          <w:i/>
          <w:iCs/>
          <w:szCs w:val="21"/>
        </w:rPr>
        <w:t>PIK3CA</w:t>
      </w:r>
      <w:r w:rsidR="00402F0C" w:rsidRPr="00E04542">
        <w:rPr>
          <w:rFonts w:ascii="Times New Roman" w:eastAsia="宋体" w:hAnsi="Times New Roman" w:cs="Times New Roman"/>
          <w:szCs w:val="21"/>
        </w:rPr>
        <w:t>与</w:t>
      </w:r>
      <w:r w:rsidR="00402F0C" w:rsidRPr="00E04542">
        <w:rPr>
          <w:rFonts w:ascii="Times New Roman" w:eastAsia="宋体" w:hAnsi="Times New Roman" w:cs="Times New Roman"/>
          <w:szCs w:val="21"/>
        </w:rPr>
        <w:t>T790M</w:t>
      </w:r>
      <w:r w:rsidR="00402F0C" w:rsidRPr="00E04542">
        <w:rPr>
          <w:rFonts w:ascii="Times New Roman" w:eastAsia="宋体" w:hAnsi="Times New Roman" w:cs="Times New Roman"/>
          <w:szCs w:val="21"/>
        </w:rPr>
        <w:t>共突变的患者，</w:t>
      </w:r>
      <w:r w:rsidR="001D2279" w:rsidRPr="00E04542">
        <w:rPr>
          <w:rFonts w:ascii="Times New Roman" w:eastAsia="宋体" w:hAnsi="Times New Roman" w:cs="Times New Roman"/>
          <w:szCs w:val="21"/>
        </w:rPr>
        <w:t>临床上</w:t>
      </w:r>
      <w:r w:rsidR="00402F0C" w:rsidRPr="00E04542">
        <w:rPr>
          <w:rFonts w:ascii="Times New Roman" w:eastAsia="宋体" w:hAnsi="Times New Roman" w:cs="Times New Roman"/>
          <w:szCs w:val="21"/>
        </w:rPr>
        <w:t>仍应优先依据</w:t>
      </w:r>
      <w:r w:rsidR="00402F0C" w:rsidRPr="00E04542">
        <w:rPr>
          <w:rFonts w:ascii="Times New Roman" w:eastAsia="宋体" w:hAnsi="Times New Roman" w:cs="Times New Roman"/>
          <w:szCs w:val="21"/>
        </w:rPr>
        <w:t>T790M</w:t>
      </w:r>
      <w:r w:rsidR="00402F0C" w:rsidRPr="00E04542">
        <w:rPr>
          <w:rFonts w:ascii="Times New Roman" w:eastAsia="宋体" w:hAnsi="Times New Roman" w:cs="Times New Roman"/>
          <w:szCs w:val="21"/>
        </w:rPr>
        <w:t>状态选择第三代</w:t>
      </w:r>
      <w:r w:rsidR="00402F0C" w:rsidRPr="00E04542">
        <w:rPr>
          <w:rFonts w:ascii="Times New Roman" w:eastAsia="宋体" w:hAnsi="Times New Roman" w:cs="Times New Roman"/>
          <w:szCs w:val="21"/>
        </w:rPr>
        <w:t>EGFR-TKI</w:t>
      </w:r>
      <w:r w:rsidR="00402F0C" w:rsidRPr="00E04542">
        <w:rPr>
          <w:rFonts w:ascii="Times New Roman" w:eastAsia="宋体" w:hAnsi="Times New Roman" w:cs="Times New Roman"/>
          <w:szCs w:val="21"/>
        </w:rPr>
        <w:t>，而非单独以</w:t>
      </w:r>
      <w:r w:rsidR="00402F0C" w:rsidRPr="00E203CA">
        <w:rPr>
          <w:rFonts w:ascii="Times New Roman" w:eastAsia="宋体" w:hAnsi="Times New Roman" w:cs="Times New Roman"/>
          <w:i/>
          <w:iCs/>
          <w:szCs w:val="21"/>
        </w:rPr>
        <w:t>PIK3CA</w:t>
      </w:r>
      <w:r w:rsidR="00402F0C" w:rsidRPr="00E04542">
        <w:rPr>
          <w:rFonts w:ascii="Times New Roman" w:eastAsia="宋体" w:hAnsi="Times New Roman" w:cs="Times New Roman"/>
          <w:szCs w:val="21"/>
        </w:rPr>
        <w:t>作为主要治疗靶点</w:t>
      </w:r>
      <w:r w:rsidR="009863B9">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{"citationID":"8IDVnNLR","properties":{"formattedCitation":"\\super [22]\\nosupersub{}","plainCitation":"[22]","noteIndex":0},"citationItems":[{"id":729,"uris":["http://zotero.org/users/14719789/items/RIBZJY6J"],"itemData":{"id":729,"type":"article-journal","container-title":"The New England Journal of Medicine","DOI":"10.1056/NEJMoa1612674","ISSN":"1533-4406","issue":"7","language":"English","note":"TLDR: Osimertinib had significantly greater efficacy than platinum therapy plus pemetrexed in patients with T790M‐positive advanced non‐small‐cell lung cancer (including those with CNS metastases) in whom disease had progressed during first‐line EGFR‐TKI therapy.","page":"629-640","publisher":"Massachussetts Medical Society","source":"research.manchester.ac.uk","title":"Osimertinib or Platinum-Pemetrexed in EGFR T790M-Positive Lung Cancer","volume":"376","author":[{"family":"Mok","given":"T. S."},{"family":"Wu","given":"Y.-L."},{"family":"Ahn","given":"Myung Ju"},{"family":"Garassino","given":"Marina Chiara"},{"family":"Kim","given":"H. R."},{"family":"Ramalingham","given":"S. S."},{"family":"Shepherd","given":"F. A."},{"family":"He","given":"Y."},{"family":"Akamatsu","given":"H."},{"family":"Theelen","given":"W."},{"family":"Lee","given":"C. K."},{"family":"Sebastian","given":"M."},{"family":"Templeton","given":"A."},{"family":"Mann","given":"H."},{"family":"Marotti","given":"M."},{"family":"Ghiorghiu","given":"S."},{"family":"Papadimitrakopoulou","given":"V. A."},{"family":"John","given":"T."},{"family":"Hasani","given":"A."},{"family":"Lee","given":"C."},{"family":"Dear","given":"R."},{"family":"O'Byrne","given":"K."},{"family":"Wheatley-Price","given":"P."},{"family":"Shepherd","given":"F."},{"family":"Chu","given":"Q."},{"family":"Laskin","given":"J."},{"family":"Blais","given":"N."},{"family":"Morzycki","given":"W."},{"family":"Zhou","given":"Q."},{"family":"Zhang","given":"L."},{"family":"Wang","given":"J."},{"family":"Zhou","given":"C."},{"family":"Lu","given":"S."},{"family":"Han","given":"B."},{"family":"Zhou","given":"J."},{"family":"Cheng","given":"Y."},{"family":"Zhou","given":"X."},{"family":"Zhang","given":"W."},{"family":"Chen","given":"G."},{"family":"Shi","given":"Y."},{"family":"He","given":"Y."},{"family":"Zhuang","given":"C."},{"family":"Zhao","given":"Y."},{"family":"Shan","given":"L."},{"family":"Jiang","given":"L."},{"family":"Li","given":"K."},{"family":"Cadranel","given":"J."},{"family":"Merle","given":"P."},{"family":"Quoix","given":"E."},{"family":"Planchard","given":"D."},{"family":"Barlesi","given":"F."},{"family":"Dansin","given":"E."},{"family":"Mazieres","given":"J."},{"family":"Coudert","given":"B."},{"family":"Schuler","given":"M."},{"family":"Deschler-Baier","given":"B."},{"family":"Griesinger","given":"F."},{"family":"Schulz","given":"C."},{"family":"Sebastian","given":"M."},{"family":"Kimmich","given":"M."},{"family":"Mok","given":"T."},{"family":"Ho","given":"J."},{"family":"Chan","given":"O. S. H."},{"family":"Lee","given":"V. H. F."},{"family":"Li","given":"Y. C."},{"family":"Ostoros","given":"G."},{"family":"Delmonte","given":"A."},{"family":"Novello","given":"S."},{"family":"Tonini","given":"G."},{"family":"Garassino","given":"M."},{"family":"Gridelli","given":"C."},{"family":"Ikeda","given":"N."},{"family":"Sakai","given":"H."},{"family":"Sekine","given":"A."},{"family":"Takahashi","given":"T."},{"family":"Fujisaka","given":"Y."},{"family":"Akamatsu","given":"H."},{"family":"Yoshioka","given":"H."},{"family":"Shimokawaji","given":"T."},{"family":"Tanaka","given":"H."},{"family":"Hida","given":"T."},{"family":"Kasahara","given":"K."},{"family":"Imamura","given":"F."},{"family":"Atagi","given":"S."},{"family":"Takeda","given":"K."},{"family":"Katakami","given":"N."},{"family":"Satouchi","given":"M."},{"family":"Nogami","given":"N."},{"family":"Okamoto","given":"I."},{"family":"Koyama","given":"R."},{"family":"Nakagawa","given":"K."},{"family":"Yokoi","given":"T."},{"family":"Kiura","given":"K."},{"family":"Maemondo","given":"M."},{"family":"Murakami","given":"S."},{"family":"Kim","given":"Y. H."},{"family":"Alexander","given":"J. Alatorre"},{"family":"Hernández","given":"C. Hernández"},{"family":"Engelsman-Theelen","given":"W."},{"family":"Langen","given":"A.","dropping-particle":"de"},{"family":"Groen","given":"H."},{"family":"Bulavina","given":"I."},{"family":"Poltoratskiy","given":"A."},{"family":"Laktionov","given":"K."},{"family":"Statsenko","given":"G."},{"family":"South","given":"S. O."},{"family":"Ahn","given":"M.-J."},{"family":"Kang","given":"J. H."},{"family":"Lee","given":"J. S."},{"family":"Kim","given":"H. R."},{"family":"Han","given":"J. Y."},{"family":"Kim","given":"S.-W."},{"family":"Cho","given":"E. K."},{"family":"Min","given":"Y. J."},{"family":"Lee","given":"K. H."},{"family":"Choi","given":"J.-H."},{"family":"Lee","given":"G.-W."},{"family":"Lee","given":"S. S."},{"family":"Kim","given":"J.-S."},{"family":"Font","given":"E. Felip"},{"family":"Casado","given":"D. Isla"},{"family":"Jaime","given":"J. Corral"},{"family":"Aix","given":"S. Ponce"},{"family":"Garrido-Lopez","given":"P."},{"family":"Dols","given":"M. Cobo"},{"family":"Ohman","given":"R."},{"family":"Bergman","given":"B."},{"family":"Kolbeck","given":"K.-G."},{"family":"Yang","given":"C.-H."},{"family":"Su","given":"W.-C."},{"family":"Hsia","given":"T.-C."},{"family":"Tsai","given":"C.-M."},{"family":"Chang","given":"G.-C."},{"family":"Yang","given":"C.-T."},{"family":"Wang","given":"C.-C."},{"family":"Ho","given":"M.-L."},{"family":"Lai","given":"R.-S."},{"family":"Wei","given":"Y.-F."},{"family":"Ko","given":"J.-C."},{"family":"Blackhall","given":"Fiona"},{"family":"Dangoor","given":"A."},{"family":"Koh","given":"P."},{"family":"Steele","given":"N."},{"family":"Price","given":"A."},{"family":"Nicolson","given":"M."},{"family":"Arkenau","given":"H.-T."},{"family":"Newsom-Davis","given":"T."},{"family":"Potter","given":"V."},{"family":"Greystoke","given":"A."},{"family":"Brown","given":"N."},{"family":"Gold","given":"K."},{"family":"Rizvi","given":"N."},{"family":"Ramalingham","given":"S."},{"family":"Ou","given":"S.-H."},{"family":"Cosgriff","given":"T."},{"family":"Frank","given":"R."},{"family":"Hanna","given":"N."},{"family":"Dragnev","given":"K."},{"family":"Mekhail","given":"T."},{"family":"Menon","given":"S."},{"family":"Charu","given":"V."},{"family":"Kaye","given":"F."},{"family":"Wrangle","given":"J."},{"family":"Smith","given":"F."},{"family":"Agrawal","given":"A."},{"family":"Anderson","given":"I."},{"family":"Hirsch","given":"R."},{"family":"Gill","given":"N."},{"family":"Harris","given":"M."},{"family":"Sui","given":"X."},{"family":"Belani","given":"C."}],"issued":{"date-parts":[["2017",2,16]]}}}],"schema":"https://github.com/citation-style-language/schema/raw/master/csl-citation.json"} </w:instrText>
      </w:r>
      <w:r w:rsidR="009863B9">
        <w:rPr>
          <w:rFonts w:ascii="宋体" w:eastAsia="宋体" w:hAnsi="宋体" w:hint="eastAsia"/>
          <w:szCs w:val="21"/>
        </w:rPr>
        <w:fldChar w:fldCharType="separate"/>
      </w:r>
      <w:r w:rsidR="00DF1ED3" w:rsidRPr="00DF1ED3">
        <w:rPr>
          <w:rFonts w:ascii="宋体" w:eastAsia="宋体" w:hAnsi="宋体" w:cs="Times New Roman"/>
          <w:kern w:val="0"/>
          <w:vertAlign w:val="superscript"/>
        </w:rPr>
        <w:t>[22]</w:t>
      </w:r>
      <w:r w:rsidR="009863B9">
        <w:rPr>
          <w:rFonts w:ascii="宋体" w:eastAsia="宋体" w:hAnsi="宋体" w:hint="eastAsia"/>
          <w:szCs w:val="21"/>
        </w:rPr>
        <w:fldChar w:fldCharType="end"/>
      </w:r>
      <w:r w:rsidR="007D34EB">
        <w:rPr>
          <w:rFonts w:ascii="宋体" w:eastAsia="宋体" w:hAnsi="宋体" w:hint="eastAsia"/>
          <w:szCs w:val="21"/>
        </w:rPr>
        <w:t>。</w:t>
      </w:r>
    </w:p>
    <w:p w14:paraId="6BFF7D1B" w14:textId="3C6C9256" w:rsidR="002559D5" w:rsidRDefault="00402F0C" w:rsidP="002559D5">
      <w:pPr>
        <w:spacing w:line="360" w:lineRule="auto"/>
        <w:ind w:firstLineChars="200" w:firstLine="420"/>
        <w:jc w:val="left"/>
        <w:rPr>
          <w:rFonts w:eastAsia="宋体" w:hint="eastAsia"/>
          <w:szCs w:val="21"/>
        </w:rPr>
      </w:pPr>
      <w:r w:rsidRPr="00402F0C">
        <w:rPr>
          <w:rFonts w:ascii="Times New Roman" w:eastAsia="宋体" w:hAnsi="Times New Roman" w:cs="Times New Roman"/>
          <w:szCs w:val="21"/>
        </w:rPr>
        <w:t>目前，针对</w:t>
      </w:r>
      <w:r w:rsidRPr="00DD64E9">
        <w:rPr>
          <w:rFonts w:ascii="Times New Roman" w:eastAsia="宋体" w:hAnsi="Times New Roman" w:cs="Times New Roman"/>
          <w:i/>
          <w:iCs/>
          <w:szCs w:val="21"/>
        </w:rPr>
        <w:t>PIK3CA</w:t>
      </w:r>
      <w:r w:rsidRPr="00402F0C">
        <w:rPr>
          <w:rFonts w:ascii="Times New Roman" w:eastAsia="宋体" w:hAnsi="Times New Roman" w:cs="Times New Roman"/>
          <w:szCs w:val="21"/>
        </w:rPr>
        <w:t>或</w:t>
      </w:r>
      <w:r w:rsidRPr="00402F0C">
        <w:rPr>
          <w:rFonts w:ascii="Times New Roman" w:eastAsia="宋体" w:hAnsi="Times New Roman" w:cs="Times New Roman"/>
          <w:szCs w:val="21"/>
        </w:rPr>
        <w:t>PI3K/AKT/mTOR</w:t>
      </w:r>
      <w:r w:rsidRPr="00402F0C">
        <w:rPr>
          <w:rFonts w:ascii="Times New Roman" w:eastAsia="宋体" w:hAnsi="Times New Roman" w:cs="Times New Roman"/>
          <w:szCs w:val="21"/>
        </w:rPr>
        <w:t>通路异常的联合治疗尚未形成标准方案。</w:t>
      </w:r>
      <w:r w:rsidR="00A00FBF" w:rsidRPr="00A00FBF">
        <w:rPr>
          <w:rFonts w:ascii="Times New Roman" w:eastAsia="宋体" w:hAnsi="Times New Roman" w:cs="Times New Roman" w:hint="eastAsia"/>
          <w:szCs w:val="21"/>
        </w:rPr>
        <w:t>一项回顾性小样本研究分析了</w:t>
      </w:r>
      <w:r w:rsidR="00A00FBF" w:rsidRPr="00A00FBF">
        <w:rPr>
          <w:rFonts w:ascii="Times New Roman" w:eastAsia="宋体" w:hAnsi="Times New Roman" w:cs="Times New Roman" w:hint="eastAsia"/>
          <w:szCs w:val="21"/>
        </w:rPr>
        <w:t>6</w:t>
      </w:r>
      <w:r w:rsidR="00A00FBF" w:rsidRPr="00A00FBF">
        <w:rPr>
          <w:rFonts w:ascii="Times New Roman" w:eastAsia="宋体" w:hAnsi="Times New Roman" w:cs="Times New Roman" w:hint="eastAsia"/>
          <w:szCs w:val="21"/>
        </w:rPr>
        <w:t>例接受</w:t>
      </w:r>
      <w:r w:rsidR="00A00FBF" w:rsidRPr="00A00FBF">
        <w:rPr>
          <w:rFonts w:ascii="Times New Roman" w:eastAsia="宋体" w:hAnsi="Times New Roman" w:cs="Times New Roman" w:hint="eastAsia"/>
          <w:szCs w:val="21"/>
        </w:rPr>
        <w:t>EGFR-TKI</w:t>
      </w:r>
      <w:r w:rsidR="00A00FBF" w:rsidRPr="00A00FBF">
        <w:rPr>
          <w:rFonts w:ascii="Times New Roman" w:eastAsia="宋体" w:hAnsi="Times New Roman" w:cs="Times New Roman" w:hint="eastAsia"/>
          <w:szCs w:val="21"/>
        </w:rPr>
        <w:t>联合</w:t>
      </w:r>
      <w:r w:rsidR="00A00FBF" w:rsidRPr="00A00FBF">
        <w:rPr>
          <w:rFonts w:ascii="Times New Roman" w:eastAsia="宋体" w:hAnsi="Times New Roman" w:cs="Times New Roman" w:hint="eastAsia"/>
          <w:szCs w:val="21"/>
        </w:rPr>
        <w:t>everolimus</w:t>
      </w:r>
      <w:r w:rsidR="00A00FBF" w:rsidRPr="00A00FBF">
        <w:rPr>
          <w:rFonts w:ascii="Times New Roman" w:eastAsia="宋体" w:hAnsi="Times New Roman" w:cs="Times New Roman" w:hint="eastAsia"/>
          <w:szCs w:val="21"/>
        </w:rPr>
        <w:t>治疗的患者，总体以疾病稳定为主，</w:t>
      </w:r>
      <w:r w:rsidR="00A00FBF" w:rsidRPr="00A00FBF">
        <w:rPr>
          <w:rFonts w:ascii="Times New Roman" w:eastAsia="宋体" w:hAnsi="Times New Roman" w:cs="Times New Roman" w:hint="eastAsia"/>
          <w:szCs w:val="21"/>
        </w:rPr>
        <w:t>mPFS</w:t>
      </w:r>
      <w:r w:rsidR="00A00FBF" w:rsidRPr="00A00FBF">
        <w:rPr>
          <w:rFonts w:ascii="Times New Roman" w:eastAsia="宋体" w:hAnsi="Times New Roman" w:cs="Times New Roman" w:hint="eastAsia"/>
          <w:szCs w:val="21"/>
        </w:rPr>
        <w:t>仅约</w:t>
      </w:r>
      <w:r w:rsidR="00A00FBF" w:rsidRPr="00A00FBF">
        <w:rPr>
          <w:rFonts w:ascii="Times New Roman" w:eastAsia="宋体" w:hAnsi="Times New Roman" w:cs="Times New Roman" w:hint="eastAsia"/>
          <w:szCs w:val="21"/>
        </w:rPr>
        <w:t>2.1</w:t>
      </w:r>
      <w:r w:rsidR="00A00FBF" w:rsidRPr="00A00FBF">
        <w:rPr>
          <w:rFonts w:ascii="Times New Roman" w:eastAsia="宋体" w:hAnsi="Times New Roman" w:cs="Times New Roman" w:hint="eastAsia"/>
          <w:szCs w:val="21"/>
        </w:rPr>
        <w:t>个月</w:t>
      </w:r>
      <w:r w:rsidR="00374FD9" w:rsidRPr="00374FD9">
        <w:rPr>
          <w:rFonts w:ascii="宋体" w:eastAsia="宋体" w:hAnsi="宋体" w:cs="Times New Roman"/>
          <w:szCs w:val="21"/>
        </w:rPr>
        <w:fldChar w:fldCharType="begin"/>
      </w:r>
      <w:r w:rsidR="00DF1ED3">
        <w:rPr>
          <w:rFonts w:ascii="宋体" w:eastAsia="宋体" w:hAnsi="宋体" w:cs="Times New Roman" w:hint="eastAsia"/>
          <w:szCs w:val="21"/>
        </w:rPr>
        <w:instrText xml:space="preserve"> ADDIN ZOTERO_ITEM CSL_CITATION {"citationID":"TT9ZsigD","properties":{"formattedCitation":"\\super [37]\\nosupersub{}","plainCitation":"[37]","noteIndex":0},"citationItems":[{"id":783,"uris":["http://zotero.org/users/14719789/items/4IYTANZX"],"itemData":{"id":783,"type":"article-journal","abstract":"PI3K-AKT-mTOR pathway alterations in advanced NSCLC patients after progression on EGFR-TKI and clinical response to EGFR-TKI plus everolimus combination therapy","container-title":"Translational Lung Cancer Research","DOI":"10.21037/tlcr-20-141","ISSN":"2226-4477, 2218-6751","issue":"4","language":"en","note":"TLDR: EGFR-TKIs plus everolimus showed limited antitumor activity in EGFR mutant NSCLC patients with PI3K pathway aberrations, and it was revealed that PI3k pathway was activated in at least 14.9% in EG FR-TKI resistant patients.","publisher":"AME Publishing Company","source":"tlcr.amegroups.org","title":"PI3K-AKT-mTOR pathway alterations in advanced NSCLC patients after progression on EGFR-TKI and clinical response to EGFR-TKI plus everolimus combination therapy","URL":"https://tlcr.amegroups.org/article/view/42164","volume":"9","author":[{"family":"Fang","given":"Wenfeng"},{"family":"Huang","given":"Yihua"},{"family":"Gu","given":"Weiguang"},{"family":"Gan","given":"Jiadi"},{"family":"Wang","given":"Wenjing"},{"family":"Zhang","given":"Shiyue"},{"family":"Wang","given":"Kai"},{"family":"Zhan","given":"Jianhua"},{"family":"Yang","given":"Yunpeng"},{"family":"Huang","given":"Yan"},{"family":"Zhao","given":"Hongyun"},{"family":"Zhang","given":"Li"}],"accessed":{"date-parts":[["2026",4,8]]},"issued":{"date-parts":[["2020",8]]}}}],"schema":"https://github.com/citation-style-language/schema/raw/master/csl-citation.json"} </w:instrText>
      </w:r>
      <w:r w:rsidR="00374FD9" w:rsidRPr="00374FD9">
        <w:rPr>
          <w:rFonts w:ascii="宋体" w:eastAsia="宋体" w:hAnsi="宋体" w:cs="Times New Roman"/>
          <w:szCs w:val="21"/>
        </w:rPr>
        <w:fldChar w:fldCharType="separate"/>
      </w:r>
      <w:r w:rsidR="00DF1ED3" w:rsidRPr="00DF1ED3">
        <w:rPr>
          <w:rFonts w:ascii="宋体" w:eastAsia="宋体" w:hAnsi="宋体" w:cs="Times New Roman"/>
          <w:kern w:val="0"/>
          <w:vertAlign w:val="superscript"/>
        </w:rPr>
        <w:t>[37]</w:t>
      </w:r>
      <w:r w:rsidR="00374FD9" w:rsidRPr="00374FD9">
        <w:rPr>
          <w:rFonts w:ascii="宋体" w:eastAsia="宋体" w:hAnsi="宋体" w:cs="Times New Roman"/>
          <w:szCs w:val="21"/>
        </w:rPr>
        <w:fldChar w:fldCharType="end"/>
      </w:r>
      <w:r w:rsidR="00622BCB">
        <w:rPr>
          <w:rFonts w:ascii="宋体" w:eastAsia="宋体" w:hAnsi="宋体" w:hint="eastAsia"/>
          <w:szCs w:val="21"/>
        </w:rPr>
        <w:t>。</w:t>
      </w:r>
      <w:r w:rsidR="00C46317" w:rsidRPr="00C46317">
        <w:rPr>
          <w:rFonts w:ascii="Times New Roman" w:eastAsia="宋体" w:hAnsi="Times New Roman" w:cs="Times New Roman" w:hint="eastAsia"/>
          <w:szCs w:val="21"/>
        </w:rPr>
        <w:t>临床前研究显示，</w:t>
      </w:r>
      <w:r w:rsidR="00C46317" w:rsidRPr="00C46317">
        <w:rPr>
          <w:rFonts w:ascii="Times New Roman" w:eastAsia="宋体" w:hAnsi="Times New Roman" w:cs="Times New Roman" w:hint="eastAsia"/>
          <w:szCs w:val="21"/>
        </w:rPr>
        <w:t>PI3K</w:t>
      </w:r>
      <w:r w:rsidR="00C46317" w:rsidRPr="00A14D16">
        <w:rPr>
          <w:rFonts w:ascii="Times New Roman" w:eastAsia="宋体" w:hAnsi="Times New Roman" w:cs="Times New Roman"/>
          <w:szCs w:val="21"/>
        </w:rPr>
        <w:t>α</w:t>
      </w:r>
      <w:r w:rsidR="00C46317" w:rsidRPr="00C46317">
        <w:rPr>
          <w:rFonts w:ascii="Times New Roman" w:eastAsia="宋体" w:hAnsi="Times New Roman" w:cs="Times New Roman" w:hint="eastAsia"/>
          <w:szCs w:val="21"/>
        </w:rPr>
        <w:t>抑制剂</w:t>
      </w:r>
      <w:r w:rsidR="00C46317" w:rsidRPr="00C46317">
        <w:rPr>
          <w:rFonts w:ascii="Times New Roman" w:eastAsia="宋体" w:hAnsi="Times New Roman" w:cs="Times New Roman" w:hint="eastAsia"/>
          <w:szCs w:val="21"/>
        </w:rPr>
        <w:t>alpelisib</w:t>
      </w:r>
      <w:r w:rsidR="00C46317" w:rsidRPr="00C46317">
        <w:rPr>
          <w:rFonts w:ascii="Times New Roman" w:eastAsia="宋体" w:hAnsi="Times New Roman" w:cs="Times New Roman" w:hint="eastAsia"/>
          <w:szCs w:val="21"/>
        </w:rPr>
        <w:t>及</w:t>
      </w:r>
      <w:r w:rsidR="00C46317" w:rsidRPr="00C46317">
        <w:rPr>
          <w:rFonts w:ascii="Times New Roman" w:eastAsia="宋体" w:hAnsi="Times New Roman" w:cs="Times New Roman" w:hint="eastAsia"/>
          <w:szCs w:val="21"/>
        </w:rPr>
        <w:t>AKT</w:t>
      </w:r>
      <w:r w:rsidR="00C46317" w:rsidRPr="00C46317">
        <w:rPr>
          <w:rFonts w:ascii="Times New Roman" w:eastAsia="宋体" w:hAnsi="Times New Roman" w:cs="Times New Roman" w:hint="eastAsia"/>
          <w:szCs w:val="21"/>
        </w:rPr>
        <w:t>抑制剂</w:t>
      </w:r>
      <w:r w:rsidR="00C46317" w:rsidRPr="00C46317">
        <w:rPr>
          <w:rFonts w:ascii="Times New Roman" w:eastAsia="宋体" w:hAnsi="Times New Roman" w:cs="Times New Roman" w:hint="eastAsia"/>
          <w:szCs w:val="21"/>
        </w:rPr>
        <w:t>capivasertib</w:t>
      </w:r>
      <w:r w:rsidR="00C46317" w:rsidRPr="00C46317">
        <w:rPr>
          <w:rFonts w:ascii="Times New Roman" w:eastAsia="宋体" w:hAnsi="Times New Roman" w:cs="Times New Roman" w:hint="eastAsia"/>
          <w:szCs w:val="21"/>
        </w:rPr>
        <w:t>联合</w:t>
      </w:r>
      <w:r w:rsidR="00C46317" w:rsidRPr="00C46317">
        <w:rPr>
          <w:rFonts w:ascii="Times New Roman" w:eastAsia="宋体" w:hAnsi="Times New Roman" w:cs="Times New Roman" w:hint="eastAsia"/>
          <w:szCs w:val="21"/>
        </w:rPr>
        <w:t>EGFR-TKI</w:t>
      </w:r>
      <w:r w:rsidR="00C46317" w:rsidRPr="00C46317">
        <w:rPr>
          <w:rFonts w:ascii="Times New Roman" w:eastAsia="宋体" w:hAnsi="Times New Roman" w:cs="Times New Roman" w:hint="eastAsia"/>
          <w:szCs w:val="21"/>
        </w:rPr>
        <w:t>可能恢复部分</w:t>
      </w:r>
      <w:r w:rsidR="00C46317" w:rsidRPr="00E203CA">
        <w:rPr>
          <w:rFonts w:ascii="Times New Roman" w:eastAsia="宋体" w:hAnsi="Times New Roman" w:cs="Times New Roman" w:hint="eastAsia"/>
          <w:i/>
          <w:iCs/>
          <w:szCs w:val="21"/>
        </w:rPr>
        <w:t>PIK3CA/PTEN</w:t>
      </w:r>
      <w:r w:rsidR="00C46317" w:rsidRPr="00C46317">
        <w:rPr>
          <w:rFonts w:ascii="Times New Roman" w:eastAsia="宋体" w:hAnsi="Times New Roman" w:cs="Times New Roman" w:hint="eastAsia"/>
          <w:szCs w:val="21"/>
        </w:rPr>
        <w:t>异常模型的药物敏感性，但目前尚缺乏成熟的临床疗效证据</w:t>
      </w:r>
      <w:r w:rsidR="00996257">
        <w:rPr>
          <w:rFonts w:ascii="宋体" w:eastAsia="宋体" w:hAnsi="宋体" w:hint="eastAsia"/>
          <w:szCs w:val="21"/>
        </w:rPr>
        <w:fldChar w:fldCharType="begin"/>
      </w:r>
      <w:r w:rsidR="00DF1ED3">
        <w:rPr>
          <w:rFonts w:ascii="宋体" w:eastAsia="宋体" w:hAnsi="宋体" w:hint="eastAsia"/>
          <w:szCs w:val="21"/>
        </w:rPr>
        <w:instrText xml:space="preserve"> ADDIN ZOTERO_ITEM CSL_CITATION {"citationID":"1oyG6c0T","properties":{"formattedCitation":"\\super [38,39]\\nosupersub{}","plainCitation":"[38,39]","noteIndex":0},"citationItems":[{"id":797,"uris":["http://zotero.org/users/14719789/items/NC7735R3"],"itemData":{"id":797,"type":"article-journal","abstract":"PURPOSE: Osimertinib is an EGFR tyrosine kinase inhibitor indicated for the treatment of EGFR-mutated (EGFRm)-driven lung adenocarcinomas. Osimertinib significantly improves progression-free survival in first-line-treated patients with EGFRm advanced non-small cell lung cancer (NSCLC). Despite the durable disease control, the majority of patients receiving osimertinib eventually develop disease progression.\nEXPERIMENTAL DESIGN: ctDNA profiling analysis of on-progression plasma samples from patients treated with osimertinib in both first- (phase III, FLAURA trial) and second-line trials (phase III, AURA3 trial) revealed a high prevalence of PIK3CA/AKT/PTEN alterations. In vitro and in vivo evidence using CRISPR-engineered NSCLC cell lines and patient-derived xenograft (PDX) models supports a functional role for PIK3CA and PTEN mutations in the development of osimertinib resistance.\nRESULTS: These alterations are functionally relevant as EGFRm NSCLC cells with engineered PIK3CA/AKT/PTEN alterations develop resistance to osimertinib and can be resensitized by treatment with the combination of osimertinib and the AKT inhibitor capivasertib. Moreover, xenograft and PDX in vivo models with PIK3CA/AKT/PTEN alterations display limited sensitivity to osimertinib relative to models without alterations, and in these double-mutant models, capivasertib and osimertinib combination elicits an improved antitumor effect versus osimertinib alone.\nCONCLUSIONS: Together, this approach offers a potential treatment strategy for patients with EGFRm-driven NSCLC who have a suboptimal response or develop resistance to osimertinib through PIK3CA/AKT/PTEN alterations. See related commentary by Vokes et al., p. 3968.","container-title":"Clinical Cancer Research: An Official Journal of the American Association for Cancer Research","DOI":"10.1158/1078-0432.CCR-23-2540","ISSN":"1557-3265","issue":"18","journalAbbreviation":"Clin Cancer Res","language":"eng","note":"TLDR: Together, this approach offers a potential treatment strategy for patients with EGFRm-driven NSCLC that have a sub-optimal response, or develop resistance, to osimertinib through PIK3CA/AKT/PTEN alterations.","page":"4143-4154","PMID":"38630555","source":"PubMed","title":"Overcoming Osimertinib Resistance with AKT Inhibition in EGFRm-Driven Non-Small Cell Lung Cancer with PIK3CA/PTEN Alterations","volume":"30","author":[{"family":"Grazini","given":"Ursula"},{"family":"Markovets","given":"Aleksandra"},{"family":"Ireland","given":"Lucy"},{"family":"O'Neill","given":"Daniel"},{"family":"Phillips","given":"Benjamin"},{"family":"Xu","given":"Man"},{"family":"Pfeifer","given":"Matthias"},{"family":"Vaclova","given":"Tereza"},{"family":"Martin","given":"Matthew J."},{"family":"Bigot","given":"Ludovic"},{"family":"Friboulet","given":"Luc"},{"family":"Hartmaier","given":"Ryan"},{"family":"Cuomo","given":"Maria E."},{"family":"Barry","given":"Simon T."},{"family":"Smith","given":"Paul D."},{"family":"Floc'h","given":"Nicolas"}],"issued":{"date-parts":[["2024",9,13]]}}},{"id":793,"uris":["http://zotero.org/users/14719789/items/G89T6459"],"itemData":{"id":793,"type":"article-journal","abstract":"Non-small cell lung cancer (NSCLC) patients with epidermal growth factor receptor (EGFR) mutation often obtain de novo resistance or develop secondary resistance to EGFR tyrosine kinase inhibitors (EGFR-TKIs), which restricts the clinical benefit for the patients. The activation of phosphatidylinositol 3-kinase (PI3K)/AKT signal pathway is one of the most important mechanisms for the EGFR-TKIs resistance beyond T790M mutation. There are currently no drugs simultaneously targeting EGFR and PI3K signal pathways, and combination of these two pathway inhibitors may be a possible strategy to reverse theses resistances. To test whether this combinational strategy works, we investigated the therapeutic effects and mechanisms of combining BYL719, a PI3Kα inhibitor, with gefitinib, an EGFR-TKI inhibitor in EGFR-TKIs resistance NSCLC models induced by PI3K/AKT activation. Our results demonstrated that PIK3CA mutated cells showed increased growth rate and less sensitive or even resistant to gefitinib, associated with increased PI3K/AKT expression. The combination of BYL719 and gefitinib resulted in synergistic effect compared with the single agents alone in EGFR-mutated NSCLC cells with PI3K/AKT activation. The inhibition of AKT phosphorylation by BYL719 increased the antitumor efficacy of gefitinib in these cell lines. Moreover, the combined effect and mechanism of gefitinib and BYL719 were also confirmed in the NSCLC cells and patient-derived organoids under 3D culture condition, as well as in vivo. Taken together, the data indicate that PIK3CA mutation induces more aggressive growth and gefitinib resistance in NSCLC cells, and the combination treatment with gefitinib and BYL719 is a promising therapeutic approach to overcoming EGFR-TKIs resistance induced by PI3K/AKT activation.","container-title":"BMC cancer","DOI":"10.1186/s12885-023-11243-0","ISSN":"1471-2407","issue":"1","journalAbbreviation":"BMC Cancer","language":"eng","note":"TLDR: The results demonstrated that PIK3CA mutated cells showed increased growth rate and less sensitive or even resistant to gefitinib, associated with increased PI3K/AKT expression, and the combination treatment with gefitinib and BYL719 is a promising therapeutic approach to overcoming EGFR-TKIs resistance induced by PI3K/AKT activation.","page":"732","PMID":"37553597","PMCID":"PMC10408073","source":"PubMed","title":"BYL719 reverses gefitinib-resistance induced by PI3K/AKT activation in non-small cell lung cancer cells","volume":"23","author":[{"family":"Yu","given":"Yaya"},{"family":"Xiao","given":"Zhenzhen"},{"family":"Lei","given":"Chenjing"},{"family":"Ma","given":"Changju"},{"family":"Ding","given":"Lina"},{"family":"Tang","given":"Qing"},{"family":"He","given":"Yihan"},{"family":"Chen","given":"Yadong"},{"family":"Chang","given":"Xuesong"},{"family":"Zhu","given":"Yanjuan"},{"family":"Zhang","given":"Haibo"}],"issued":{"date-parts":[["2023",8,8]]}}}],"schema":"https://github.com/citation-style-language/schema/raw/master/csl-citation.json"} </w:instrText>
      </w:r>
      <w:r w:rsidR="00996257">
        <w:rPr>
          <w:rFonts w:ascii="宋体" w:eastAsia="宋体" w:hAnsi="宋体" w:hint="eastAsia"/>
          <w:szCs w:val="21"/>
        </w:rPr>
        <w:fldChar w:fldCharType="separate"/>
      </w:r>
      <w:r w:rsidR="00DF1ED3" w:rsidRPr="00DF1ED3">
        <w:rPr>
          <w:rFonts w:ascii="宋体" w:eastAsia="宋体" w:hAnsi="宋体" w:cs="Times New Roman"/>
          <w:kern w:val="0"/>
          <w:vertAlign w:val="superscript"/>
        </w:rPr>
        <w:t>[38,39]</w:t>
      </w:r>
      <w:r w:rsidR="00996257">
        <w:rPr>
          <w:rFonts w:ascii="宋体" w:eastAsia="宋体" w:hAnsi="宋体" w:hint="eastAsia"/>
          <w:szCs w:val="21"/>
        </w:rPr>
        <w:fldChar w:fldCharType="end"/>
      </w:r>
      <w:r w:rsidR="00E3192E">
        <w:rPr>
          <w:rFonts w:ascii="宋体" w:eastAsia="宋体" w:hAnsi="宋体" w:hint="eastAsia"/>
          <w:szCs w:val="21"/>
        </w:rPr>
        <w:t>。</w:t>
      </w:r>
      <w:r w:rsidR="0041773C" w:rsidRPr="00570B4F">
        <w:rPr>
          <w:rFonts w:ascii="Times New Roman" w:eastAsia="宋体" w:hAnsi="Times New Roman" w:cs="Times New Roman" w:hint="eastAsia"/>
          <w:i/>
          <w:iCs/>
          <w:szCs w:val="21"/>
        </w:rPr>
        <w:t>BRAF</w:t>
      </w:r>
      <w:r w:rsidR="0041773C" w:rsidRPr="00570B4F">
        <w:rPr>
          <w:rFonts w:ascii="Times New Roman" w:eastAsia="宋体" w:hAnsi="Times New Roman" w:cs="Times New Roman" w:hint="eastAsia"/>
          <w:i/>
          <w:iCs/>
          <w:szCs w:val="21"/>
        </w:rPr>
        <w:t>、</w:t>
      </w:r>
      <w:r w:rsidR="0041773C" w:rsidRPr="00570B4F">
        <w:rPr>
          <w:rFonts w:ascii="Times New Roman" w:eastAsia="宋体" w:hAnsi="Times New Roman" w:cs="Times New Roman" w:hint="eastAsia"/>
          <w:i/>
          <w:iCs/>
          <w:szCs w:val="21"/>
        </w:rPr>
        <w:t>KRAS</w:t>
      </w:r>
      <w:r w:rsidR="0041773C" w:rsidRPr="00570B4F">
        <w:rPr>
          <w:rFonts w:ascii="Times New Roman" w:eastAsia="宋体" w:hAnsi="Times New Roman" w:cs="Times New Roman" w:hint="eastAsia"/>
          <w:i/>
          <w:iCs/>
          <w:szCs w:val="21"/>
        </w:rPr>
        <w:t>、</w:t>
      </w:r>
      <w:r w:rsidR="0041773C" w:rsidRPr="00570B4F">
        <w:rPr>
          <w:rFonts w:ascii="Times New Roman" w:eastAsia="宋体" w:hAnsi="Times New Roman" w:cs="Times New Roman" w:hint="eastAsia"/>
          <w:i/>
          <w:iCs/>
          <w:szCs w:val="21"/>
        </w:rPr>
        <w:t>NRAS</w:t>
      </w:r>
      <w:r w:rsidR="0041773C" w:rsidRPr="00570B4F">
        <w:rPr>
          <w:rFonts w:ascii="Times New Roman" w:eastAsia="宋体" w:hAnsi="Times New Roman" w:cs="Times New Roman" w:hint="eastAsia"/>
          <w:i/>
          <w:iCs/>
          <w:szCs w:val="21"/>
        </w:rPr>
        <w:t>、</w:t>
      </w:r>
      <w:r w:rsidR="0041773C" w:rsidRPr="00570B4F">
        <w:rPr>
          <w:rFonts w:ascii="Times New Roman" w:eastAsia="宋体" w:hAnsi="Times New Roman" w:cs="Times New Roman" w:hint="eastAsia"/>
          <w:i/>
          <w:iCs/>
          <w:szCs w:val="21"/>
        </w:rPr>
        <w:t>MAP2K1</w:t>
      </w:r>
      <w:r w:rsidR="0041773C" w:rsidRPr="0041773C">
        <w:rPr>
          <w:rFonts w:ascii="Times New Roman" w:eastAsia="宋体" w:hAnsi="Times New Roman" w:cs="Times New Roman" w:hint="eastAsia"/>
          <w:szCs w:val="21"/>
        </w:rPr>
        <w:t>突变以及</w:t>
      </w:r>
      <w:r w:rsidR="0041773C" w:rsidRPr="00570B4F">
        <w:rPr>
          <w:rFonts w:ascii="Times New Roman" w:eastAsia="宋体" w:hAnsi="Times New Roman" w:cs="Times New Roman" w:hint="eastAsia"/>
          <w:i/>
          <w:iCs/>
          <w:szCs w:val="21"/>
        </w:rPr>
        <w:t>CCND1</w:t>
      </w:r>
      <w:r w:rsidR="0041773C" w:rsidRPr="00570B4F">
        <w:rPr>
          <w:rFonts w:ascii="Times New Roman" w:eastAsia="宋体" w:hAnsi="Times New Roman" w:cs="Times New Roman" w:hint="eastAsia"/>
          <w:i/>
          <w:iCs/>
          <w:szCs w:val="21"/>
        </w:rPr>
        <w:t>、</w:t>
      </w:r>
      <w:r w:rsidR="0041773C" w:rsidRPr="00570B4F">
        <w:rPr>
          <w:rFonts w:ascii="Times New Roman" w:eastAsia="宋体" w:hAnsi="Times New Roman" w:cs="Times New Roman" w:hint="eastAsia"/>
          <w:i/>
          <w:iCs/>
          <w:szCs w:val="21"/>
        </w:rPr>
        <w:t>CDK4/</w:t>
      </w:r>
      <w:r w:rsidR="008D12C3" w:rsidRPr="008D12C3">
        <w:rPr>
          <w:rFonts w:ascii="Times New Roman" w:eastAsia="宋体" w:hAnsi="Times New Roman" w:cs="Times New Roman" w:hint="eastAsia"/>
          <w:i/>
          <w:iCs/>
          <w:szCs w:val="21"/>
        </w:rPr>
        <w:t>CDK6</w:t>
      </w:r>
      <w:r w:rsidR="0041773C" w:rsidRPr="0041773C">
        <w:rPr>
          <w:rFonts w:ascii="Times New Roman" w:eastAsia="宋体" w:hAnsi="Times New Roman" w:cs="Times New Roman" w:hint="eastAsia"/>
          <w:szCs w:val="21"/>
        </w:rPr>
        <w:t>扩增</w:t>
      </w:r>
      <w:r w:rsidR="00E3192E" w:rsidRPr="00E3192E">
        <w:rPr>
          <w:rFonts w:ascii="Times New Roman" w:eastAsia="宋体" w:hAnsi="Times New Roman" w:cs="Times New Roman" w:hint="eastAsia"/>
          <w:szCs w:val="21"/>
        </w:rPr>
        <w:t>等异常亦可通过</w:t>
      </w:r>
      <w:r w:rsidR="00E3192E" w:rsidRPr="00E3192E">
        <w:rPr>
          <w:rFonts w:ascii="Times New Roman" w:eastAsia="宋体" w:hAnsi="Times New Roman" w:cs="Times New Roman" w:hint="eastAsia"/>
          <w:szCs w:val="21"/>
        </w:rPr>
        <w:t>MAPK</w:t>
      </w:r>
      <w:r w:rsidR="00E3192E" w:rsidRPr="00E3192E">
        <w:rPr>
          <w:rFonts w:ascii="Times New Roman" w:eastAsia="宋体" w:hAnsi="Times New Roman" w:cs="Times New Roman" w:hint="eastAsia"/>
          <w:szCs w:val="21"/>
        </w:rPr>
        <w:t>通路持续激活或细胞周期推进介导</w:t>
      </w:r>
      <w:r w:rsidR="00E3192E" w:rsidRPr="00E3192E">
        <w:rPr>
          <w:rFonts w:ascii="Times New Roman" w:eastAsia="宋体" w:hAnsi="Times New Roman" w:cs="Times New Roman" w:hint="eastAsia"/>
          <w:szCs w:val="21"/>
        </w:rPr>
        <w:t>EGFR-TKI</w:t>
      </w:r>
      <w:r w:rsidR="00E3192E" w:rsidRPr="00E3192E">
        <w:rPr>
          <w:rFonts w:ascii="Times New Roman" w:eastAsia="宋体" w:hAnsi="Times New Roman" w:cs="Times New Roman" w:hint="eastAsia"/>
          <w:szCs w:val="21"/>
        </w:rPr>
        <w:t>耐药</w:t>
      </w:r>
      <w:r w:rsidR="00E3192E" w:rsidRPr="00E3192E">
        <w:rPr>
          <w:rFonts w:ascii="宋体" w:eastAsia="宋体" w:hAnsi="宋体" w:cs="Times New Roman"/>
          <w:szCs w:val="21"/>
        </w:rPr>
        <w:fldChar w:fldCharType="begin"/>
      </w:r>
      <w:r w:rsidR="00DF1ED3">
        <w:rPr>
          <w:rFonts w:ascii="宋体" w:eastAsia="宋体" w:hAnsi="宋体" w:cs="Times New Roman" w:hint="eastAsia"/>
          <w:szCs w:val="21"/>
        </w:rPr>
        <w:instrText xml:space="preserve"> ADDIN ZOTERO_ITEM CSL_CITATION {"citationID":"c0yGToUx","properties":{"formattedCitation":"\\super [40]\\nosupersub{}","plainCitation":"[40]","noteIndex":0},"citationItems":[{"id":852,"uris":["http://zotero.org/users/14719789/items/CQ8MJ4VY"],"itemData":{"id":852,"type":"article-journal","abstract":"Triple-targeted therapy of dabrafenib, trametinib, and osimertinib for the treatment of the acquired BRAF V600E mutation after progression on EGFR-tyrosine kinase inhibitors in advanced EGFR-mutated non-small cell lung cancer patients","container-title":"Translational Lung Cancer Research","DOI":"10.21037/tlcr-24-358","ISSN":"2226-4477, 2218-6751","issue":"10","language":"en","note":"TLDR: EGFR/BRAF/MEK triple-targeted therapy is an effective and safe approach for treating EGFR-mutated NSCLC patients resistant to EGFR-TKIs with acquired BRAF V600E mutations.","publisher":"AME Publishing Company","source":"tlcr.amegroups.org","title":"Triple-targeted therapy of dabrafenib, trametinib, and osimertinib for the treatment of the acquired BRAF V600E mutation after progression on EGFR-tyrosine kinase inhibitors in advanced EGFR-mutated non-small cell lung cancer patients","URL":"https://tlcr.amegroups.org/article/view/91975","volume":"13","author":[{"family":"Weng","given":"Cheng-Di"},{"family":"Liu","given":"Ke-Jun"},{"family":"Jin","given":"Shi"},{"family":"Su","given":"Jun-Wei"},{"family":"Yao","given":"Yi-Hui"},{"family":"Zhou","given":"Cheng-Zhi"},{"family":"Li","given":"Yu-Fa"},{"family":"Chen","given":"Ze-Xin"},{"family":"Chen","given":"Hua-Jun"},{"family":"Li","given":"Yan-Ying"},{"family":"Tang","given":"Ke-Jing"},{"family":"Yang","given":"Jin-Ji"}],"accessed":{"date-parts":[["2026",4,30]]},"issued":{"date-parts":[["2024",10,31]]}}}],"schema":"https://github.com/citation-style-language/schema/raw/master/csl-citation.json"} </w:instrText>
      </w:r>
      <w:r w:rsidR="00E3192E" w:rsidRPr="00E3192E">
        <w:rPr>
          <w:rFonts w:ascii="宋体" w:eastAsia="宋体" w:hAnsi="宋体" w:cs="Times New Roman"/>
          <w:szCs w:val="21"/>
        </w:rPr>
        <w:fldChar w:fldCharType="separate"/>
      </w:r>
      <w:r w:rsidR="00DF1ED3" w:rsidRPr="00DF1ED3">
        <w:rPr>
          <w:rFonts w:ascii="宋体" w:eastAsia="宋体" w:hAnsi="宋体" w:cs="Times New Roman"/>
          <w:kern w:val="0"/>
          <w:vertAlign w:val="superscript"/>
        </w:rPr>
        <w:t>[40]</w:t>
      </w:r>
      <w:r w:rsidR="00E3192E" w:rsidRPr="00E3192E">
        <w:rPr>
          <w:rFonts w:ascii="宋体" w:eastAsia="宋体" w:hAnsi="宋体" w:cs="Times New Roman"/>
          <w:szCs w:val="21"/>
        </w:rPr>
        <w:fldChar w:fldCharType="end"/>
      </w:r>
      <w:r w:rsidR="002559D5" w:rsidRPr="002559D5">
        <w:rPr>
          <w:rFonts w:eastAsia="宋体"/>
          <w:szCs w:val="21"/>
        </w:rPr>
        <w:t>。</w:t>
      </w:r>
    </w:p>
    <w:p w14:paraId="17A2217C" w14:textId="51233D83" w:rsidR="00622BCB" w:rsidRDefault="00622BCB" w:rsidP="002559D5">
      <w:pPr>
        <w:spacing w:line="360" w:lineRule="auto"/>
        <w:ind w:firstLineChars="200" w:firstLine="420"/>
        <w:jc w:val="left"/>
        <w:rPr>
          <w:rFonts w:ascii="Times New Roman" w:eastAsia="宋体" w:hAnsi="Times New Roman" w:cs="Times New Roman"/>
          <w:szCs w:val="21"/>
        </w:rPr>
      </w:pPr>
      <w:r w:rsidRPr="00622BCB">
        <w:rPr>
          <w:rFonts w:ascii="Times New Roman" w:eastAsia="宋体" w:hAnsi="Times New Roman" w:cs="Times New Roman"/>
          <w:szCs w:val="21"/>
        </w:rPr>
        <w:t>与</w:t>
      </w:r>
      <w:r w:rsidRPr="00622BCB">
        <w:rPr>
          <w:rFonts w:ascii="Times New Roman" w:eastAsia="宋体" w:hAnsi="Times New Roman" w:cs="Times New Roman"/>
          <w:szCs w:val="21"/>
        </w:rPr>
        <w:t>T790M</w:t>
      </w:r>
      <w:r w:rsidRPr="00622BCB">
        <w:rPr>
          <w:rFonts w:ascii="Times New Roman" w:eastAsia="宋体" w:hAnsi="Times New Roman" w:cs="Times New Roman"/>
          <w:szCs w:val="21"/>
        </w:rPr>
        <w:t>突变或</w:t>
      </w:r>
      <w:r w:rsidRPr="00E203CA">
        <w:rPr>
          <w:rFonts w:ascii="Times New Roman" w:eastAsia="宋体" w:hAnsi="Times New Roman" w:cs="Times New Roman"/>
          <w:i/>
          <w:iCs/>
          <w:szCs w:val="21"/>
        </w:rPr>
        <w:t>MET</w:t>
      </w:r>
      <w:r w:rsidRPr="00622BCB">
        <w:rPr>
          <w:rFonts w:ascii="Times New Roman" w:eastAsia="宋体" w:hAnsi="Times New Roman" w:cs="Times New Roman"/>
          <w:szCs w:val="21"/>
        </w:rPr>
        <w:t>扩增不同，下游通路异常目前缺乏明确的优势人群筛选标准和成熟的联合治疗证据</w:t>
      </w:r>
      <w:r w:rsidR="009A5693">
        <w:rPr>
          <w:rFonts w:ascii="Times New Roman" w:eastAsia="宋体" w:hAnsi="Times New Roman" w:cs="Times New Roman" w:hint="eastAsia"/>
          <w:szCs w:val="21"/>
        </w:rPr>
        <w:t>，</w:t>
      </w:r>
      <w:r w:rsidR="009A5693" w:rsidRPr="009A5693">
        <w:rPr>
          <w:rFonts w:ascii="Times New Roman" w:eastAsia="宋体" w:hAnsi="Times New Roman" w:cs="Times New Roman" w:hint="eastAsia"/>
          <w:szCs w:val="21"/>
        </w:rPr>
        <w:t>且常与其他耐药机制共存，</w:t>
      </w:r>
      <w:r w:rsidRPr="00622BCB">
        <w:rPr>
          <w:rFonts w:ascii="Times New Roman" w:eastAsia="宋体" w:hAnsi="Times New Roman" w:cs="Times New Roman"/>
          <w:szCs w:val="21"/>
        </w:rPr>
        <w:t>未必是唯一主导机制。因此，未来研究需要通过功能验证、突变丰度分析和治疗反应关联，区分伴随突变和驱动性耐药事件，避免将所有下游通路异常简单等同于可直接干预的耐药靶点。</w:t>
      </w:r>
    </w:p>
    <w:p w14:paraId="799C33BD" w14:textId="19E61659" w:rsidR="00977485" w:rsidRDefault="00977485" w:rsidP="00A14D16">
      <w:pPr>
        <w:spacing w:line="360" w:lineRule="auto"/>
        <w:jc w:val="left"/>
        <w:rPr>
          <w:rFonts w:ascii="Times New Roman" w:eastAsia="宋体" w:hAnsi="Times New Roman" w:cs="Times New Roman"/>
          <w:szCs w:val="21"/>
        </w:rPr>
      </w:pPr>
      <w:r w:rsidRPr="00977485">
        <w:rPr>
          <w:rFonts w:ascii="宋体" w:eastAsia="宋体" w:hAnsi="宋体" w:cs="Times New Roman" w:hint="eastAsia"/>
          <w:szCs w:val="21"/>
        </w:rPr>
        <w:t>2.</w:t>
      </w:r>
      <w:r w:rsidR="00B859FA">
        <w:rPr>
          <w:rFonts w:ascii="宋体" w:eastAsia="宋体" w:hAnsi="宋体" w:cs="Times New Roman" w:hint="eastAsia"/>
          <w:szCs w:val="21"/>
        </w:rPr>
        <w:t>6</w:t>
      </w:r>
      <w:r w:rsidRPr="00977485">
        <w:rPr>
          <w:rFonts w:ascii="Times New Roman" w:eastAsia="宋体" w:hAnsi="Times New Roman" w:cs="Times New Roman" w:hint="eastAsia"/>
          <w:szCs w:val="21"/>
        </w:rPr>
        <w:t xml:space="preserve"> </w:t>
      </w:r>
      <w:r w:rsidRPr="00977485">
        <w:rPr>
          <w:rFonts w:ascii="Times New Roman" w:eastAsia="宋体" w:hAnsi="Times New Roman" w:cs="Times New Roman" w:hint="eastAsia"/>
          <w:szCs w:val="21"/>
        </w:rPr>
        <w:t>耐药机制未明</w:t>
      </w:r>
      <w:r w:rsidR="00E11B7F">
        <w:rPr>
          <w:rFonts w:ascii="Times New Roman" w:eastAsia="宋体" w:hAnsi="Times New Roman" w:cs="Times New Roman" w:hint="eastAsia"/>
          <w:szCs w:val="21"/>
        </w:rPr>
        <w:t>的</w:t>
      </w:r>
      <w:r w:rsidRPr="00977485">
        <w:rPr>
          <w:rFonts w:ascii="Times New Roman" w:eastAsia="宋体" w:hAnsi="Times New Roman" w:cs="Times New Roman" w:hint="eastAsia"/>
          <w:szCs w:val="21"/>
        </w:rPr>
        <w:t>治疗</w:t>
      </w:r>
      <w:r w:rsidR="00B859FA">
        <w:rPr>
          <w:rFonts w:ascii="Times New Roman" w:eastAsia="宋体" w:hAnsi="Times New Roman" w:cs="Times New Roman" w:hint="eastAsia"/>
          <w:szCs w:val="21"/>
        </w:rPr>
        <w:t>进展</w:t>
      </w:r>
    </w:p>
    <w:p w14:paraId="702A4E7D" w14:textId="267705EE" w:rsidR="00977485" w:rsidRDefault="00977485" w:rsidP="002559D5">
      <w:pPr>
        <w:spacing w:line="360" w:lineRule="auto"/>
        <w:ind w:firstLineChars="200" w:firstLine="420"/>
        <w:jc w:val="left"/>
        <w:rPr>
          <w:rFonts w:ascii="Times New Roman" w:eastAsia="宋体" w:hAnsi="Times New Roman" w:cs="Times New Roman"/>
          <w:szCs w:val="21"/>
        </w:rPr>
      </w:pPr>
      <w:r w:rsidRPr="00977485">
        <w:rPr>
          <w:rFonts w:ascii="Times New Roman" w:eastAsia="宋体" w:hAnsi="Times New Roman" w:cs="Times New Roman" w:hint="eastAsia"/>
          <w:szCs w:val="21"/>
        </w:rPr>
        <w:t>部分</w:t>
      </w:r>
      <w:r w:rsidRPr="00977485">
        <w:rPr>
          <w:rFonts w:ascii="Times New Roman" w:eastAsia="宋体" w:hAnsi="Times New Roman" w:cs="Times New Roman" w:hint="eastAsia"/>
          <w:szCs w:val="21"/>
        </w:rPr>
        <w:t>EGFR-TKI</w:t>
      </w:r>
      <w:r w:rsidRPr="00977485">
        <w:rPr>
          <w:rFonts w:ascii="Times New Roman" w:eastAsia="宋体" w:hAnsi="Times New Roman" w:cs="Times New Roman" w:hint="eastAsia"/>
          <w:szCs w:val="21"/>
        </w:rPr>
        <w:t>耐药患者经组织或液体活检仍无法明确主导耐药机制，或虽检出分子异常但缺乏成熟的靶向治疗策略。对于此类患者，含铂化疗仍是重要治疗基础，近年来抗体偶联药物（</w:t>
      </w:r>
      <w:r w:rsidRPr="00977485">
        <w:rPr>
          <w:rFonts w:ascii="Times New Roman" w:eastAsia="宋体" w:hAnsi="Times New Roman" w:cs="Times New Roman" w:hint="eastAsia"/>
          <w:szCs w:val="21"/>
        </w:rPr>
        <w:t>ADC</w:t>
      </w:r>
      <w:r w:rsidRPr="00977485">
        <w:rPr>
          <w:rFonts w:ascii="Times New Roman" w:eastAsia="宋体" w:hAnsi="Times New Roman" w:cs="Times New Roman" w:hint="eastAsia"/>
          <w:szCs w:val="21"/>
        </w:rPr>
        <w:t>）及双特异性抗体等治疗取得了一定进展。</w:t>
      </w:r>
    </w:p>
    <w:p w14:paraId="78526C3C" w14:textId="1EEE8579" w:rsidR="00977485" w:rsidRDefault="00570B4F" w:rsidP="002559D5">
      <w:pPr>
        <w:spacing w:line="360" w:lineRule="auto"/>
        <w:ind w:firstLineChars="200" w:firstLine="420"/>
        <w:jc w:val="left"/>
        <w:rPr>
          <w:rFonts w:ascii="Times New Roman" w:eastAsia="宋体" w:hAnsi="Times New Roman" w:cs="Times New Roman"/>
          <w:szCs w:val="21"/>
        </w:rPr>
      </w:pPr>
      <w:r w:rsidRPr="00570B4F">
        <w:rPr>
          <w:rFonts w:ascii="Times New Roman" w:eastAsia="宋体" w:hAnsi="Times New Roman" w:cs="Times New Roman" w:hint="eastAsia"/>
          <w:szCs w:val="21"/>
        </w:rPr>
        <w:t>滋养层细胞表面抗原</w:t>
      </w:r>
      <w:r w:rsidRPr="00570B4F">
        <w:rPr>
          <w:rFonts w:ascii="Times New Roman" w:eastAsia="宋体" w:hAnsi="Times New Roman" w:cs="Times New Roman" w:hint="eastAsia"/>
          <w:szCs w:val="21"/>
        </w:rPr>
        <w:t>2</w:t>
      </w:r>
      <w:r w:rsidRPr="00570B4F">
        <w:rPr>
          <w:rFonts w:ascii="Times New Roman" w:eastAsia="宋体" w:hAnsi="Times New Roman" w:cs="Times New Roman" w:hint="eastAsia"/>
          <w:szCs w:val="21"/>
        </w:rPr>
        <w:t>（</w:t>
      </w:r>
      <w:r w:rsidRPr="00570B4F">
        <w:rPr>
          <w:rFonts w:ascii="Times New Roman" w:eastAsia="宋体" w:hAnsi="Times New Roman" w:cs="Times New Roman" w:hint="eastAsia"/>
          <w:szCs w:val="21"/>
        </w:rPr>
        <w:t>trophoblast cell surface antigen 2</w:t>
      </w:r>
      <w:r w:rsidRPr="00570B4F">
        <w:rPr>
          <w:rFonts w:ascii="Times New Roman" w:eastAsia="宋体" w:hAnsi="Times New Roman" w:cs="Times New Roman" w:hint="eastAsia"/>
          <w:szCs w:val="21"/>
        </w:rPr>
        <w:t>，</w:t>
      </w:r>
      <w:r w:rsidRPr="00570B4F">
        <w:rPr>
          <w:rFonts w:ascii="Times New Roman" w:eastAsia="宋体" w:hAnsi="Times New Roman" w:cs="Times New Roman" w:hint="eastAsia"/>
          <w:szCs w:val="21"/>
        </w:rPr>
        <w:t>TROP2</w:t>
      </w:r>
      <w:r w:rsidRPr="00570B4F">
        <w:rPr>
          <w:rFonts w:ascii="Times New Roman" w:eastAsia="宋体" w:hAnsi="Times New Roman" w:cs="Times New Roman" w:hint="eastAsia"/>
          <w:szCs w:val="21"/>
        </w:rPr>
        <w:t>）</w:t>
      </w:r>
      <w:r w:rsidR="00977485" w:rsidRPr="00977485">
        <w:rPr>
          <w:rFonts w:ascii="Times New Roman" w:eastAsia="宋体" w:hAnsi="Times New Roman" w:cs="Times New Roman" w:hint="eastAsia"/>
          <w:szCs w:val="21"/>
        </w:rPr>
        <w:t>靶向</w:t>
      </w:r>
      <w:r w:rsidR="00977485" w:rsidRPr="00977485">
        <w:rPr>
          <w:rFonts w:ascii="Times New Roman" w:eastAsia="宋体" w:hAnsi="Times New Roman" w:cs="Times New Roman" w:hint="eastAsia"/>
          <w:szCs w:val="21"/>
        </w:rPr>
        <w:t>ADC</w:t>
      </w:r>
      <w:r w:rsidR="00977485" w:rsidRPr="00977485">
        <w:rPr>
          <w:rFonts w:ascii="Times New Roman" w:eastAsia="宋体" w:hAnsi="Times New Roman" w:cs="Times New Roman" w:hint="eastAsia"/>
          <w:szCs w:val="21"/>
        </w:rPr>
        <w:t>是当前重要研究方向。</w:t>
      </w:r>
      <w:r w:rsidR="00977485" w:rsidRPr="00977485">
        <w:rPr>
          <w:rFonts w:ascii="Times New Roman" w:eastAsia="宋体" w:hAnsi="Times New Roman" w:cs="Times New Roman" w:hint="eastAsia"/>
          <w:szCs w:val="21"/>
        </w:rPr>
        <w:t>II</w:t>
      </w:r>
      <w:r w:rsidR="00977485" w:rsidRPr="00977485">
        <w:rPr>
          <w:rFonts w:ascii="Times New Roman" w:eastAsia="宋体" w:hAnsi="Times New Roman" w:cs="Times New Roman" w:hint="eastAsia"/>
          <w:szCs w:val="21"/>
        </w:rPr>
        <w:t>期</w:t>
      </w:r>
      <w:r w:rsidR="00977485" w:rsidRPr="00977485">
        <w:rPr>
          <w:rFonts w:ascii="Times New Roman" w:eastAsia="宋体" w:hAnsi="Times New Roman" w:cs="Times New Roman" w:hint="eastAsia"/>
          <w:szCs w:val="21"/>
        </w:rPr>
        <w:t>TROPION-Lung05</w:t>
      </w:r>
      <w:r w:rsidR="00977485" w:rsidRPr="00977485">
        <w:rPr>
          <w:rFonts w:ascii="Times New Roman" w:eastAsia="宋体" w:hAnsi="Times New Roman" w:cs="Times New Roman" w:hint="eastAsia"/>
          <w:szCs w:val="21"/>
        </w:rPr>
        <w:t>及</w:t>
      </w:r>
      <w:r w:rsidR="00977485" w:rsidRPr="00977485">
        <w:rPr>
          <w:rFonts w:ascii="Times New Roman" w:eastAsia="宋体" w:hAnsi="Times New Roman" w:cs="Times New Roman" w:hint="eastAsia"/>
          <w:szCs w:val="21"/>
        </w:rPr>
        <w:t>III</w:t>
      </w:r>
      <w:r w:rsidR="00977485" w:rsidRPr="00977485">
        <w:rPr>
          <w:rFonts w:ascii="Times New Roman" w:eastAsia="宋体" w:hAnsi="Times New Roman" w:cs="Times New Roman" w:hint="eastAsia"/>
          <w:szCs w:val="21"/>
        </w:rPr>
        <w:t>期</w:t>
      </w:r>
      <w:r w:rsidR="00977485" w:rsidRPr="00977485">
        <w:rPr>
          <w:rFonts w:ascii="Times New Roman" w:eastAsia="宋体" w:hAnsi="Times New Roman" w:cs="Times New Roman" w:hint="eastAsia"/>
          <w:szCs w:val="21"/>
        </w:rPr>
        <w:t>TROPION-Lung01</w:t>
      </w:r>
      <w:r w:rsidR="00977485" w:rsidRPr="00977485">
        <w:rPr>
          <w:rFonts w:ascii="Times New Roman" w:eastAsia="宋体" w:hAnsi="Times New Roman" w:cs="Times New Roman" w:hint="eastAsia"/>
          <w:szCs w:val="21"/>
        </w:rPr>
        <w:t>研究的</w:t>
      </w:r>
      <w:r w:rsidR="00977485" w:rsidRPr="00E203CA">
        <w:rPr>
          <w:rFonts w:ascii="Times New Roman" w:eastAsia="宋体" w:hAnsi="Times New Roman" w:cs="Times New Roman" w:hint="eastAsia"/>
          <w:i/>
          <w:iCs/>
          <w:szCs w:val="21"/>
        </w:rPr>
        <w:t>EGFR</w:t>
      </w:r>
      <w:r w:rsidR="00977485" w:rsidRPr="00977485">
        <w:rPr>
          <w:rFonts w:ascii="Times New Roman" w:eastAsia="宋体" w:hAnsi="Times New Roman" w:cs="Times New Roman" w:hint="eastAsia"/>
          <w:szCs w:val="21"/>
        </w:rPr>
        <w:t>突变人群汇总分析显示，</w:t>
      </w:r>
      <w:r w:rsidR="00977485" w:rsidRPr="00977485">
        <w:rPr>
          <w:rFonts w:ascii="Times New Roman" w:eastAsia="宋体" w:hAnsi="Times New Roman" w:cs="Times New Roman" w:hint="eastAsia"/>
          <w:szCs w:val="21"/>
        </w:rPr>
        <w:t>datopotamab deruxtecan</w:t>
      </w:r>
      <w:r w:rsidR="00977485" w:rsidRPr="00977485">
        <w:rPr>
          <w:rFonts w:ascii="Times New Roman" w:eastAsia="宋体" w:hAnsi="Times New Roman" w:cs="Times New Roman" w:hint="eastAsia"/>
          <w:szCs w:val="21"/>
        </w:rPr>
        <w:t>治疗既往接受</w:t>
      </w:r>
      <w:r w:rsidR="00977485" w:rsidRPr="00977485">
        <w:rPr>
          <w:rFonts w:ascii="Times New Roman" w:eastAsia="宋体" w:hAnsi="Times New Roman" w:cs="Times New Roman" w:hint="eastAsia"/>
          <w:szCs w:val="21"/>
        </w:rPr>
        <w:t>EGFR</w:t>
      </w:r>
      <w:r w:rsidR="00977485" w:rsidRPr="00977485">
        <w:rPr>
          <w:rFonts w:ascii="Times New Roman" w:eastAsia="宋体" w:hAnsi="Times New Roman" w:cs="Times New Roman" w:hint="eastAsia"/>
          <w:szCs w:val="21"/>
        </w:rPr>
        <w:t>靶向治疗及含铂化疗患者的</w:t>
      </w:r>
      <w:r w:rsidR="00977485" w:rsidRPr="00977485">
        <w:rPr>
          <w:rFonts w:ascii="Times New Roman" w:eastAsia="宋体" w:hAnsi="Times New Roman" w:cs="Times New Roman" w:hint="eastAsia"/>
          <w:szCs w:val="21"/>
        </w:rPr>
        <w:lastRenderedPageBreak/>
        <w:t>ORR</w:t>
      </w:r>
      <w:r w:rsidR="00977485" w:rsidRPr="00977485">
        <w:rPr>
          <w:rFonts w:ascii="Times New Roman" w:eastAsia="宋体" w:hAnsi="Times New Roman" w:cs="Times New Roman" w:hint="eastAsia"/>
          <w:szCs w:val="21"/>
        </w:rPr>
        <w:t>为</w:t>
      </w:r>
      <w:r w:rsidR="00977485" w:rsidRPr="00977485">
        <w:rPr>
          <w:rFonts w:ascii="Times New Roman" w:eastAsia="宋体" w:hAnsi="Times New Roman" w:cs="Times New Roman" w:hint="eastAsia"/>
          <w:szCs w:val="21"/>
        </w:rPr>
        <w:t>43%</w:t>
      </w:r>
      <w:r w:rsidR="00977485" w:rsidRPr="00977485">
        <w:rPr>
          <w:rFonts w:ascii="Times New Roman" w:eastAsia="宋体" w:hAnsi="Times New Roman" w:cs="Times New Roman" w:hint="eastAsia"/>
          <w:szCs w:val="21"/>
        </w:rPr>
        <w:t>，</w:t>
      </w:r>
      <w:r w:rsidR="00977485" w:rsidRPr="00977485">
        <w:rPr>
          <w:rFonts w:ascii="Times New Roman" w:eastAsia="宋体" w:hAnsi="Times New Roman" w:cs="Times New Roman" w:hint="eastAsia"/>
          <w:szCs w:val="21"/>
        </w:rPr>
        <w:t>mPFS</w:t>
      </w:r>
      <w:r w:rsidR="00977485" w:rsidRPr="00977485">
        <w:rPr>
          <w:rFonts w:ascii="Times New Roman" w:eastAsia="宋体" w:hAnsi="Times New Roman" w:cs="Times New Roman" w:hint="eastAsia"/>
          <w:szCs w:val="21"/>
        </w:rPr>
        <w:t>为</w:t>
      </w:r>
      <w:r w:rsidR="00977485" w:rsidRPr="00977485">
        <w:rPr>
          <w:rFonts w:ascii="Times New Roman" w:eastAsia="宋体" w:hAnsi="Times New Roman" w:cs="Times New Roman" w:hint="eastAsia"/>
          <w:szCs w:val="21"/>
        </w:rPr>
        <w:t>5.8</w:t>
      </w:r>
      <w:r w:rsidR="00977485" w:rsidRPr="00977485">
        <w:rPr>
          <w:rFonts w:ascii="Times New Roman" w:eastAsia="宋体" w:hAnsi="Times New Roman" w:cs="Times New Roman" w:hint="eastAsia"/>
          <w:szCs w:val="21"/>
        </w:rPr>
        <w:t>个月</w:t>
      </w:r>
      <w:r w:rsidR="00AC3AF1">
        <w:rPr>
          <w:rFonts w:ascii="Times New Roman" w:eastAsia="宋体" w:hAnsi="Times New Roman" w:cs="Times New Roman"/>
          <w:szCs w:val="21"/>
        </w:rPr>
        <w:fldChar w:fldCharType="begin"/>
      </w:r>
      <w:r w:rsidR="00B859FA">
        <w:rPr>
          <w:rFonts w:ascii="Times New Roman" w:eastAsia="宋体" w:hAnsi="Times New Roman" w:cs="Times New Roman"/>
          <w:szCs w:val="21"/>
        </w:rPr>
        <w:instrText xml:space="preserve"> ADDIN ZOTERO_ITEM CSL_CITATION {"citationID":"MtHH5tc3","properties":{"unsorted":false,"formattedCitation":"\\super [41]\\nosupersub{}","plainCitation":"[41]","noteIndex":0},"citationItems":[{"id":913,"uris":["http://zotero.org/users/14719789/items/U3TJPKKN"],"itemData":{"id":913,"type":"article-journal","abstract":"BACKGROUND: This exploratory analysis assessed datopotamab deruxtecan (Dato-DXd) in pretreated patients with advanced or metastatic NSCLC and EGFR mutations.\nMETHODS: Data were pooled from the phase II TROPION-Lung05 (NCT04484142) and phase III TROPION-Lung01 (NCT04656652) trials. Patients with EGFR-mutated advanced or metastatic NSCLC, who had received previous targeted therapies and platinum-based chemotherapy, received Dato-DXd 6 mg/kg (TROPION-Lung05) or were randomized to Dato-DXd 6 mg/kg or docetaxel 75 mg/m2 (TROPION-Lung01) once every 3 weeks. End points included objective response rate, duration of response, and progression-free survival, all per blinded independent central review, overall survival, and safety.\nRESULTS: In total, 117 patients with EGFR mutations who received Dato-DXd were included in the pool. The population was heavily pretreated (median three lines of previous therapies; range, 1-5) and predominantly Asian (69%). The most common mutations were exon 19 deletion (51%), L858R (32%), and T790M (27%); more than one EGFR mutation could be present. The confirmed objective response rate was 43% (95% confidence interval [CI]: 34-52), including five complete responses (4%). Median duration of response was 7.0 months (95% CI: 4.2-9.8). Median progression-free survival and overall survival were 5.8 (95% CI: 5.4-8.2) and 15.6 months (95% CI: 13.1-19.0), respectively. The safety profile of Dato-DXd was consistent with the individual studies. No new safety signals were observed. Rates of grade greater than or equal to 3 treatment-related adverse events and serious adverse events were 23% and 6%, respectively.\nCONCLUSION: Dato-DXd demonstrated meaningful clinical activity in patients with EGFR-mutated advanced or metastatic NSCLC who had progressed on EGFR-directed therapies and chemotherapy, with an acceptable safety profile.","container-title":"Journal of Thoracic Oncology: Official Publication of the International Association for the Study of Lung Cancer","DOI":"10.1016/j.jtho.2025.06.002","ISSN":"1556-1380","issue":"11","journalAbbreviation":"J Thorac Oncol","language":"eng","page":"1669-1682","PMID":"40516821","source":"PubMed","title":"A Pooled Analysis of Datopotamab Deruxtecan in Patients With EGFR-Mutated NSCLC","volume":"20","author":[{"family":"Ahn","given":"Myung-Ju"},{"family":"Lisberg","given":"Aaron"},{"family":"Goto","given":"Yasushi"},{"family":"Sands","given":"Jacob"},{"family":"Hong","given":"Min Hee"},{"family":"Paz-Ares","given":"Luis"},{"family":"Pons-Tostivint","given":"Elvire"},{"family":"Pérol","given":"Maurice"},{"family":"Felip","given":"Enriqueta"},{"family":"Sugawara","given":"Shunichi"},{"family":"Hayashi","given":"Hidetoshi"},{"family":"Cho","given":"Byoung Chul"},{"family":"Blumenschein","given":"George"},{"family":"Shum","given":"Elaine"},{"family":"Lee","given":"Jong-Seok"},{"family":"Heist","given":"Rebecca S."},{"family":"Cornelissen","given":"Robin"},{"family":"Chang","given":"Wen-Cheng"},{"family":"Kowalski","given":"Dariusz"},{"family":"Zebger-Gong","given":"Hong"},{"family":"Chargualaf","given":"Michael"},{"family":"Gu","given":"Wen"},{"family":"Lan","given":"Lan"},{"family":"Howarth","given":"Paul"},{"family":"Joseph","given":"Richard"},{"family":"Okamoto","given":"Isamu"}],"issued":{"date-parts":[["2025",11]]}}}],"schema":"https://github.com/citation-style-language/schema/raw/master/csl-citation.json"} </w:instrText>
      </w:r>
      <w:r w:rsidR="00AC3AF1">
        <w:rPr>
          <w:rFonts w:ascii="Times New Roman" w:eastAsia="宋体" w:hAnsi="Times New Roman" w:cs="Times New Roman"/>
          <w:szCs w:val="21"/>
        </w:rPr>
        <w:fldChar w:fldCharType="separate"/>
      </w:r>
      <w:r w:rsidR="00B859FA" w:rsidRPr="00B859FA">
        <w:rPr>
          <w:rFonts w:ascii="Times New Roman" w:hAnsi="Times New Roman" w:cs="Times New Roman"/>
          <w:kern w:val="0"/>
          <w:vertAlign w:val="superscript"/>
        </w:rPr>
        <w:t>[41]</w:t>
      </w:r>
      <w:r w:rsidR="00AC3AF1">
        <w:rPr>
          <w:rFonts w:ascii="Times New Roman" w:eastAsia="宋体" w:hAnsi="Times New Roman" w:cs="Times New Roman"/>
          <w:szCs w:val="21"/>
        </w:rPr>
        <w:fldChar w:fldCharType="end"/>
      </w:r>
      <w:r w:rsidR="00977485" w:rsidRPr="00977485">
        <w:rPr>
          <w:rFonts w:ascii="Times New Roman" w:eastAsia="宋体" w:hAnsi="Times New Roman" w:cs="Times New Roman" w:hint="eastAsia"/>
          <w:szCs w:val="21"/>
        </w:rPr>
        <w:t>。</w:t>
      </w:r>
      <w:r w:rsidR="00977485" w:rsidRPr="00977485">
        <w:rPr>
          <w:rFonts w:ascii="Times New Roman" w:eastAsia="宋体" w:hAnsi="Times New Roman" w:cs="Times New Roman" w:hint="eastAsia"/>
          <w:szCs w:val="21"/>
        </w:rPr>
        <w:t>III</w:t>
      </w:r>
      <w:r w:rsidR="00977485" w:rsidRPr="00977485">
        <w:rPr>
          <w:rFonts w:ascii="Times New Roman" w:eastAsia="宋体" w:hAnsi="Times New Roman" w:cs="Times New Roman" w:hint="eastAsia"/>
          <w:szCs w:val="21"/>
        </w:rPr>
        <w:t>期</w:t>
      </w:r>
      <w:r w:rsidR="00977485" w:rsidRPr="00977485">
        <w:rPr>
          <w:rFonts w:ascii="Times New Roman" w:eastAsia="宋体" w:hAnsi="Times New Roman" w:cs="Times New Roman" w:hint="eastAsia"/>
          <w:szCs w:val="21"/>
        </w:rPr>
        <w:t>OptiTROP-Lung04</w:t>
      </w:r>
      <w:r w:rsidR="00977485" w:rsidRPr="00977485">
        <w:rPr>
          <w:rFonts w:ascii="Times New Roman" w:eastAsia="宋体" w:hAnsi="Times New Roman" w:cs="Times New Roman" w:hint="eastAsia"/>
          <w:szCs w:val="21"/>
        </w:rPr>
        <w:t>研究进一步显示，</w:t>
      </w:r>
      <w:r w:rsidR="00977485" w:rsidRPr="00977485">
        <w:rPr>
          <w:rFonts w:ascii="Times New Roman" w:eastAsia="宋体" w:hAnsi="Times New Roman" w:cs="Times New Roman" w:hint="eastAsia"/>
          <w:szCs w:val="21"/>
        </w:rPr>
        <w:t>sacituzumab tirumotecan</w:t>
      </w:r>
      <w:r w:rsidR="00977485" w:rsidRPr="00977485">
        <w:rPr>
          <w:rFonts w:ascii="Times New Roman" w:eastAsia="宋体" w:hAnsi="Times New Roman" w:cs="Times New Roman" w:hint="eastAsia"/>
          <w:szCs w:val="21"/>
        </w:rPr>
        <w:t>较含铂培美曲塞化疗显著延长</w:t>
      </w:r>
      <w:r w:rsidR="00977485" w:rsidRPr="00977485">
        <w:rPr>
          <w:rFonts w:ascii="Times New Roman" w:eastAsia="宋体" w:hAnsi="Times New Roman" w:cs="Times New Roman" w:hint="eastAsia"/>
          <w:szCs w:val="21"/>
        </w:rPr>
        <w:t>mPFS</w:t>
      </w:r>
      <w:r w:rsidR="00580940">
        <w:rPr>
          <w:rFonts w:ascii="Times New Roman" w:eastAsia="宋体" w:hAnsi="Times New Roman" w:cs="Times New Roman" w:hint="eastAsia"/>
          <w:szCs w:val="21"/>
        </w:rPr>
        <w:t>，由</w:t>
      </w:r>
      <w:r w:rsidR="00580940" w:rsidRPr="00977485">
        <w:rPr>
          <w:rFonts w:ascii="Times New Roman" w:eastAsia="宋体" w:hAnsi="Times New Roman" w:cs="Times New Roman" w:hint="eastAsia"/>
          <w:szCs w:val="21"/>
        </w:rPr>
        <w:t>4.3</w:t>
      </w:r>
      <w:r w:rsidR="00580940" w:rsidRPr="00977485">
        <w:rPr>
          <w:rFonts w:ascii="Times New Roman" w:eastAsia="宋体" w:hAnsi="Times New Roman" w:cs="Times New Roman" w:hint="eastAsia"/>
          <w:szCs w:val="21"/>
        </w:rPr>
        <w:t>个月</w:t>
      </w:r>
      <w:r w:rsidR="00580940">
        <w:rPr>
          <w:rFonts w:ascii="Times New Roman" w:eastAsia="宋体" w:hAnsi="Times New Roman" w:cs="Times New Roman" w:hint="eastAsia"/>
          <w:szCs w:val="21"/>
        </w:rPr>
        <w:t>延长至</w:t>
      </w:r>
      <w:r w:rsidR="00977485" w:rsidRPr="00977485">
        <w:rPr>
          <w:rFonts w:ascii="Times New Roman" w:eastAsia="宋体" w:hAnsi="Times New Roman" w:cs="Times New Roman" w:hint="eastAsia"/>
          <w:szCs w:val="21"/>
        </w:rPr>
        <w:t>8.3</w:t>
      </w:r>
      <w:r w:rsidR="00977485" w:rsidRPr="00977485">
        <w:rPr>
          <w:rFonts w:ascii="Times New Roman" w:eastAsia="宋体" w:hAnsi="Times New Roman" w:cs="Times New Roman" w:hint="eastAsia"/>
          <w:szCs w:val="21"/>
        </w:rPr>
        <w:t>个月</w:t>
      </w:r>
      <w:r w:rsidR="00AC3AF1">
        <w:rPr>
          <w:rFonts w:ascii="Times New Roman" w:eastAsia="宋体" w:hAnsi="Times New Roman" w:cs="Times New Roman"/>
          <w:szCs w:val="21"/>
        </w:rPr>
        <w:fldChar w:fldCharType="begin"/>
      </w:r>
      <w:r w:rsidR="00B859FA">
        <w:rPr>
          <w:rFonts w:ascii="Times New Roman" w:eastAsia="宋体" w:hAnsi="Times New Roman" w:cs="Times New Roman"/>
          <w:szCs w:val="21"/>
        </w:rPr>
        <w:instrText xml:space="preserve"> ADDIN ZOTERO_ITEM CSL_CITATION {"citationID":"Vwdko0pj","properties":{"unsorted":false,"formattedCitation":"\\super [42]\\nosupersub{}","plainCitation":"[42]","noteIndex":0},"citationItems":[{"id":915,"uris":["http://zotero.org/users/14719789/items/EJ84DAVW"],"itemData":{"id":915,"type":"article-journal","abstract":"BACKGROUND: Sacituzumab tirumotecan (sac-TMT) is an antibody-drug conjugate targeting trophoblast cell-surface antigen 2 that has shown significant survival benefits in patients with EGFR-mutated non-small-cell lung cancer (NSCLC) that has progressed after epidermal growth factor receptor (EGFR) tyrosine kinase inhibitor (TKI) therapy and platinum-based chemotherapy.\nMETHODS: In this phase 3 trial, we enrolled patients with EGFR-mutated locally advanced or metastatic nonsquamous NSCLC that had progressed after EGFR-TKI therapy. The patients were randomly assigned, in a 1:1 ratio, to receive sac-TMT monotherapy or pemetrexed plus platinum-based chemotherapy. The primary end point was progression-free survival as assessed by blinded independent review. Overall survival was a hierarchically tested key secondary end point. In the interim analysis of progression-free survival as assessed by blinded independent review, sac-TMT monotherapy met the prespecified criterion for significance (two-sided P&lt;0.0001); we report here the prespecified final analysis of progression-free survival and the preplanned interim analysis of overall survival.\nRESULTS: Overall, 376 patients underwent randomization, with 188 assigned to each group. After a median follow-up of 18.9 months, the median progression-free survival was 8.3 months in the sac-TMT group and 4.3 months in the chemotherapy group (hazard ratio for disease progression or death, 0.49; 95% confidence interval [CI], 0.39 to 0.62). Overall survival was significantly longer with sac-TMT than with chemotherapy (hazard ratio for death, 0.60; 95% CI, 0.44 to 0.82; two-sided P = 0.001); 18-month overall survival was 65.8% and 48.0%, respectively. Treatment-related adverse events of grade 3 or higher occurred in 58.0% of patients receiving sac-TMT and in 53.8% of those receiving chemotherapy, with the most common being a decreased neutrophil count (39.9% vs. 33.0%); treatment-related serious adverse events occurred in 9.0% and 17.6%, respectively.\nCONCLUSIONS: In patients with EGFR-mutated advanced or metastatic NSCLC that had progressed after previous EGFR-TKI therapy, progression-free survival and overall survival outcomes were significantly better with sac-TMT than with platinum-based chemotherapy. (Funded by Sichuan Kelun-Biotech Biopharmaceutical; OptiTROP-Lung04 ClinicalTrials.gov number, NCT05870319.).","container-title":"The New England Journal of Medicine","DOI":"10.1056/NEJMoa2512071","ISSN":"1533-4406","issue":"1","journalAbbreviation":"N Engl J Med","language":"eng","page":"13-26","PMID":"41124220","source":"PubMed","title":"Sacituzumab Tirumotecan in EGFR-TKI-Resistant, EGFR-Mutated Advanced NSCLC","volume":"394","author":[{"family":"Fang","given":"Wenfeng"},{"family":"Wu","given":"Lin"},{"family":"Meng","given":"Xiangjiao"},{"family":"Yao","given":"Yu"},{"family":"Zuo","given":"Wei"},{"family":"Yao","given":"Wenxiu"},{"family":"Xie","given":"Yanyan"},{"family":"Zhang","given":"Yu"},{"family":"Cui","given":"Jiuwei"},{"family":"Zhang","given":"Yongchang"},{"family":"Li","given":"Xingya"},{"family":"Zhuang","given":"Wu"},{"family":"Fang","given":"Jian"},{"family":"Wang","given":"Qiming"},{"family":"Jiang","given":"Wei"},{"family":"Li","given":"Kai"},{"family":"Bai","given":"Yuju"},{"family":"Luo","given":"Yongzhong"},{"family":"Ma","given":"Fang"},{"family":"Yu","given":"Yan"},{"family":"Zheng","given":"Wei"},{"family":"Liu","given":"Zhentian"},{"family":"Yang","given":"Bin"},{"family":"Ma","given":"Rui"},{"family":"Fang","given":"Yong"},{"family":"Yang","given":"Runxiang"},{"family":"Jiang","given":"Liyan"},{"family":"Hu","given":"Jie"},{"family":"Yang","given":"Jiacheng"},{"family":"Diao","given":"Yina"},{"family":"Jin","given":"Xiaoping"},{"family":"Ge","given":"Junyou"},{"family":"Yang","given":"Yunpeng"},{"family":"Zhang","given":"Li"}],"issued":{"date-parts":[["2026",1,1]]}}}],"schema":"https://github.com/citation-style-language/schema/raw/master/csl-citation.json"} </w:instrText>
      </w:r>
      <w:r w:rsidR="00AC3AF1">
        <w:rPr>
          <w:rFonts w:ascii="Times New Roman" w:eastAsia="宋体" w:hAnsi="Times New Roman" w:cs="Times New Roman"/>
          <w:szCs w:val="21"/>
        </w:rPr>
        <w:fldChar w:fldCharType="separate"/>
      </w:r>
      <w:r w:rsidR="00B859FA" w:rsidRPr="00B859FA">
        <w:rPr>
          <w:rFonts w:ascii="Times New Roman" w:hAnsi="Times New Roman" w:cs="Times New Roman"/>
          <w:kern w:val="0"/>
          <w:vertAlign w:val="superscript"/>
        </w:rPr>
        <w:t>[42]</w:t>
      </w:r>
      <w:r w:rsidR="00AC3AF1">
        <w:rPr>
          <w:rFonts w:ascii="Times New Roman" w:eastAsia="宋体" w:hAnsi="Times New Roman" w:cs="Times New Roman"/>
          <w:szCs w:val="21"/>
        </w:rPr>
        <w:fldChar w:fldCharType="end"/>
      </w:r>
      <w:r w:rsidR="00977485" w:rsidRPr="00977485">
        <w:rPr>
          <w:rFonts w:ascii="Times New Roman" w:eastAsia="宋体" w:hAnsi="Times New Roman" w:cs="Times New Roman" w:hint="eastAsia"/>
          <w:szCs w:val="21"/>
        </w:rPr>
        <w:t>。此外，</w:t>
      </w:r>
      <w:r w:rsidR="00977485" w:rsidRPr="00977485">
        <w:rPr>
          <w:rFonts w:ascii="Times New Roman" w:eastAsia="宋体" w:hAnsi="Times New Roman" w:cs="Times New Roman" w:hint="eastAsia"/>
          <w:szCs w:val="21"/>
        </w:rPr>
        <w:t>EGFR/HER3</w:t>
      </w:r>
      <w:r w:rsidR="00977485" w:rsidRPr="00977485">
        <w:rPr>
          <w:rFonts w:ascii="Times New Roman" w:eastAsia="宋体" w:hAnsi="Times New Roman" w:cs="Times New Roman" w:hint="eastAsia"/>
          <w:szCs w:val="21"/>
        </w:rPr>
        <w:t>双特异性</w:t>
      </w:r>
      <w:r w:rsidR="00977485" w:rsidRPr="00977485">
        <w:rPr>
          <w:rFonts w:ascii="Times New Roman" w:eastAsia="宋体" w:hAnsi="Times New Roman" w:cs="Times New Roman" w:hint="eastAsia"/>
          <w:szCs w:val="21"/>
        </w:rPr>
        <w:t>ADC izalontamab brengitecan</w:t>
      </w:r>
      <w:r w:rsidR="00977485" w:rsidRPr="00977485">
        <w:rPr>
          <w:rFonts w:ascii="Times New Roman" w:eastAsia="宋体" w:hAnsi="Times New Roman" w:cs="Times New Roman" w:hint="eastAsia"/>
          <w:szCs w:val="21"/>
        </w:rPr>
        <w:t>在</w:t>
      </w:r>
      <w:r w:rsidR="00977485" w:rsidRPr="00977485">
        <w:rPr>
          <w:rFonts w:ascii="Times New Roman" w:eastAsia="宋体" w:hAnsi="Times New Roman" w:cs="Times New Roman" w:hint="eastAsia"/>
          <w:szCs w:val="21"/>
        </w:rPr>
        <w:t>I/II</w:t>
      </w:r>
      <w:r w:rsidR="00977485" w:rsidRPr="00977485">
        <w:rPr>
          <w:rFonts w:ascii="Times New Roman" w:eastAsia="宋体" w:hAnsi="Times New Roman" w:cs="Times New Roman" w:hint="eastAsia"/>
          <w:szCs w:val="21"/>
        </w:rPr>
        <w:t>期研究中显示出一定抗肿瘤活性，</w:t>
      </w:r>
      <w:r w:rsidR="00977485" w:rsidRPr="00977485">
        <w:rPr>
          <w:rFonts w:ascii="Times New Roman" w:eastAsia="宋体" w:hAnsi="Times New Roman" w:cs="Times New Roman" w:hint="eastAsia"/>
          <w:szCs w:val="21"/>
        </w:rPr>
        <w:t>ORR</w:t>
      </w:r>
      <w:r w:rsidR="00977485" w:rsidRPr="00977485">
        <w:rPr>
          <w:rFonts w:ascii="Times New Roman" w:eastAsia="宋体" w:hAnsi="Times New Roman" w:cs="Times New Roman" w:hint="eastAsia"/>
          <w:szCs w:val="21"/>
        </w:rPr>
        <w:t>为</w:t>
      </w:r>
      <w:r w:rsidR="00977485" w:rsidRPr="00977485">
        <w:rPr>
          <w:rFonts w:ascii="Times New Roman" w:eastAsia="宋体" w:hAnsi="Times New Roman" w:cs="Times New Roman" w:hint="eastAsia"/>
          <w:szCs w:val="21"/>
        </w:rPr>
        <w:t>47.4%</w:t>
      </w:r>
      <w:r w:rsidR="00977485" w:rsidRPr="00977485">
        <w:rPr>
          <w:rFonts w:ascii="Times New Roman" w:eastAsia="宋体" w:hAnsi="Times New Roman" w:cs="Times New Roman" w:hint="eastAsia"/>
          <w:szCs w:val="21"/>
        </w:rPr>
        <w:t>，</w:t>
      </w:r>
      <w:r w:rsidR="00977485" w:rsidRPr="00977485">
        <w:rPr>
          <w:rFonts w:ascii="Times New Roman" w:eastAsia="宋体" w:hAnsi="Times New Roman" w:cs="Times New Roman" w:hint="eastAsia"/>
          <w:szCs w:val="21"/>
        </w:rPr>
        <w:t>mPFS</w:t>
      </w:r>
      <w:r w:rsidR="00977485" w:rsidRPr="00977485">
        <w:rPr>
          <w:rFonts w:ascii="Times New Roman" w:eastAsia="宋体" w:hAnsi="Times New Roman" w:cs="Times New Roman" w:hint="eastAsia"/>
          <w:szCs w:val="21"/>
        </w:rPr>
        <w:t>为</w:t>
      </w:r>
      <w:r w:rsidR="00977485" w:rsidRPr="00977485">
        <w:rPr>
          <w:rFonts w:ascii="Times New Roman" w:eastAsia="宋体" w:hAnsi="Times New Roman" w:cs="Times New Roman" w:hint="eastAsia"/>
          <w:szCs w:val="21"/>
        </w:rPr>
        <w:t>6.9</w:t>
      </w:r>
      <w:r w:rsidR="00977485" w:rsidRPr="00977485">
        <w:rPr>
          <w:rFonts w:ascii="Times New Roman" w:eastAsia="宋体" w:hAnsi="Times New Roman" w:cs="Times New Roman" w:hint="eastAsia"/>
          <w:szCs w:val="21"/>
        </w:rPr>
        <w:t>个月</w:t>
      </w:r>
      <w:r w:rsidR="006D75F6">
        <w:rPr>
          <w:rFonts w:ascii="Times New Roman" w:eastAsia="宋体" w:hAnsi="Times New Roman" w:cs="Times New Roman"/>
          <w:szCs w:val="21"/>
        </w:rPr>
        <w:fldChar w:fldCharType="begin"/>
      </w:r>
      <w:r w:rsidR="00B859FA">
        <w:rPr>
          <w:rFonts w:ascii="Times New Roman" w:eastAsia="宋体" w:hAnsi="Times New Roman" w:cs="Times New Roman"/>
          <w:szCs w:val="21"/>
        </w:rPr>
        <w:instrText xml:space="preserve"> ADDIN ZOTERO_ITEM CSL_CITATION {"citationID":"CTx5Qjoe","properties":{"unsorted":false,"formattedCitation":"\\super [43]\\nosupersub{}","plainCitation":"[43]","noteIndex":0},"citationItems":[{"id":917,"uris":["http://zotero.org/users/14719789/items/5T7T7B7D"],"itemData":{"id":917,"type":"article-journal","abstract":"BACKGROUND: Therapeutic options after progression on epidermal growth factor receptor (EGFR) tyrosine kinase inhibitors (TKIs) remain limited for patients with EGFR-mutated non-small-cell lung cancer (NSCLC). Izalontamab brengitecan (Iza-bren; BL-B01D1) is a first-in-class bispecific antibody-drug conjugate targeting EGFR and human epidermal growth factor receptor 3 (HER3) with preclinical and early clinical activity.\nPATIENTS AND METHODS: We pooled individual patient data from a phase Ia/Ib dose-escalation/expansion trial (BL-B01D1-101; NCT05194982) and a phase II multicohort trial (BL-B01D1-203; NCT05880706) in patients with advanced EGFR-mutated NSCLC who had disease progression on prior EGFR TKI therapy. Key endpoints were confirmed objective response rate (cORR), disease control rate (DCR), duration of response (DoR), progression-free survival (PFS), overall survival (OS), and safety. The recommended phase II dose (RP2D) was 2.5 mg/kg on days 1 and 8 every 3 weeks.\nRESULTS: A total of 171 patients were included (data cut-off 30 June 2025; median follow-up 20.5 months). In the pooled population, cORR was 47.4% [95% confidence interval (CI) 39.7% to 55.1%] and DCR was 81.3% (95% CI 74.6% to 86.8%); median DoR was 8.5 months (95% CI 6.9-11.2 months), median PFS was 6.9 months (95% CI 5.5-9.6 months), and median OS was 24.8 months (95% CI 18.5 months to not reached). Efficacy at the RP2D (n = 121) was consistent (cORR 48.8%; DCR 81.0%; median PFS 6.9 months; median OS 24.8 months). In chemotherapy-naive, post-TKI patients treated at the RP2D (n = 50), cORR was 56.0%, DCR was 90.0%, median DoR was 13.7 months, median PFS was 12.5 months, and median OS was not reached. Treatment-related adve</w:instrText>
      </w:r>
      <w:r w:rsidR="00B859FA">
        <w:rPr>
          <w:rFonts w:ascii="Times New Roman" w:eastAsia="宋体" w:hAnsi="Times New Roman" w:cs="Times New Roman" w:hint="eastAsia"/>
          <w:szCs w:val="21"/>
        </w:rPr>
        <w:instrText xml:space="preserve">rse events occurred in 98.8% (grade </w:instrText>
      </w:r>
      <w:r w:rsidR="00B859FA">
        <w:rPr>
          <w:rFonts w:ascii="Times New Roman" w:eastAsia="宋体" w:hAnsi="Times New Roman" w:cs="Times New Roman" w:hint="eastAsia"/>
          <w:szCs w:val="21"/>
        </w:rPr>
        <w:instrText>≥</w:instrText>
      </w:r>
      <w:r w:rsidR="00B859FA">
        <w:rPr>
          <w:rFonts w:ascii="Times New Roman" w:eastAsia="宋体" w:hAnsi="Times New Roman" w:cs="Times New Roman" w:hint="eastAsia"/>
          <w:szCs w:val="21"/>
        </w:rPr>
        <w:instrText>3: 70.2%), predominantly hematologic; interstitial lung disease was rare (0.6%, all grade 1). Discontinuation for treatment-related adverse events was 1.2%; no treatment-related deaths were reported.\nCONCLUSIONS: In t</w:instrText>
      </w:r>
      <w:r w:rsidR="00B859FA">
        <w:rPr>
          <w:rFonts w:ascii="Times New Roman" w:eastAsia="宋体" w:hAnsi="Times New Roman" w:cs="Times New Roman"/>
          <w:szCs w:val="21"/>
        </w:rPr>
        <w:instrText xml:space="preserve">his exploratory post hoc pooled analysis, Iza-bren demonstrated promising antitumor activity and a manageable safety profile in heavily pretreated EGFR-mutated NSCLC. These findings are hypothesis-generating and are being further evaluated in ongoing randomized trials.","container-title":"Annals of Oncology: Official Journal of the European Society for Medical Oncology","DOI":"10.1016/j.annonc.2026.01.009","ISSN":"1569-8041","issue":"6","journalAbbreviation":"Ann Oncol","language":"eng","page":"813-824","PMID":"41611210","source":"PubMed","title":"Izalontamab brengitecan (Iza-bren; BL-B01D1), a first-in-class EGFR-HER3 bispecific antibody-drug conjugate, for patients with EGFR-mutated NSCLC: pooled analysis of phase I and phase II trials","title-short":"Izalontamab brengitecan (Iza-bren; BL-B01D1), a first-in-class EGFR-HER3 bispecific antibody-drug conjugate, for patients with EGFR-mutated NSCLC","volume":"37","author":[{"family":"Hong","given":"S.-D."},{"family":"Wang","given":"Y.-S."},{"family":"Zhao","given":"H.-Y."},{"family":"Zhao","given":"Y.-Y."},{"family":"Wang","given":"Q.-M."},{"family":"Ma","given":"Y.-X."},{"family":"Li","given":"Y.-S."},{"family":"Huang","given":"Y."},{"family":"Yang","given":"Y.-P."},{"family":"Fu","given":"Z.-M."},{"family":"Chen","given":"L.-K."},{"family":"Zhou","given":"F."},{"family":"Yang","given":"J."},{"family":"Li","given":"X.-Y."},{"family":"Hou","given":"X."},{"family":"Zhou","given":"N.-N."},{"family":"Sun","given":"L.-H."},{"family":"Zhang","given":"G.-F."},{"family":"Cui","given":"J.-W."},{"family":"Wu","given":"L."},{"family":"Chen","given":"G."},{"family":"Zhang","given":"Y.-X."},{"family":"Wang","given":"H.-Y."},{"family":"Lv","given":"D.-Q."},{"family":"Shi","given":"J.-H."},{"family":"Jiang","given":"B."},{"family":"Li","given":"C."},{"family":"Li","given":"X.-L."},{"family":"Tang","given":"K.-J."},{"family":"Yu","given":"Y."},{"family":"Ji","given":"Y.-H."},{"family":"He","given":"Z.-Y."},{"family":"Zhu","given":"Y."},{"family":"Zhu","given":"H."},{"family":"Xiao","given":"S."},{"family":"Zhou","given":"C.-C."},{"family":"Zhang","given":"L."},{"family":"Fang","given":"W.-F."}],"issued":{"date-parts":[["2026",6]]}}}],"schema":"https://github.com/citation-style-language/schema/raw/master/csl-citation.json"} </w:instrText>
      </w:r>
      <w:r w:rsidR="006D75F6">
        <w:rPr>
          <w:rFonts w:ascii="Times New Roman" w:eastAsia="宋体" w:hAnsi="Times New Roman" w:cs="Times New Roman"/>
          <w:szCs w:val="21"/>
        </w:rPr>
        <w:fldChar w:fldCharType="separate"/>
      </w:r>
      <w:r w:rsidR="00B859FA" w:rsidRPr="00B859FA">
        <w:rPr>
          <w:rFonts w:ascii="Times New Roman" w:hAnsi="Times New Roman" w:cs="Times New Roman"/>
          <w:kern w:val="0"/>
          <w:vertAlign w:val="superscript"/>
        </w:rPr>
        <w:t>[43]</w:t>
      </w:r>
      <w:r w:rsidR="006D75F6">
        <w:rPr>
          <w:rFonts w:ascii="Times New Roman" w:eastAsia="宋体" w:hAnsi="Times New Roman" w:cs="Times New Roman"/>
          <w:szCs w:val="21"/>
        </w:rPr>
        <w:fldChar w:fldCharType="end"/>
      </w:r>
      <w:r w:rsidR="00977485" w:rsidRPr="00977485">
        <w:rPr>
          <w:rFonts w:ascii="Times New Roman" w:eastAsia="宋体" w:hAnsi="Times New Roman" w:cs="Times New Roman" w:hint="eastAsia"/>
          <w:szCs w:val="21"/>
        </w:rPr>
        <w:t>。</w:t>
      </w:r>
    </w:p>
    <w:p w14:paraId="305BAE15" w14:textId="3D8CA8E3" w:rsidR="00345E31" w:rsidRPr="00345E31" w:rsidRDefault="00345E31" w:rsidP="00345E31">
      <w:pPr>
        <w:spacing w:line="360" w:lineRule="auto"/>
        <w:ind w:firstLineChars="200" w:firstLine="420"/>
        <w:jc w:val="left"/>
        <w:rPr>
          <w:rFonts w:ascii="Times New Roman" w:eastAsia="宋体" w:hAnsi="Times New Roman" w:cs="Times New Roman"/>
          <w:szCs w:val="21"/>
        </w:rPr>
      </w:pPr>
      <w:r w:rsidRPr="00345E31">
        <w:rPr>
          <w:rFonts w:ascii="Times New Roman" w:eastAsia="宋体" w:hAnsi="Times New Roman" w:cs="Times New Roman" w:hint="eastAsia"/>
          <w:szCs w:val="21"/>
        </w:rPr>
        <w:t>依沃西单抗（</w:t>
      </w:r>
      <w:r w:rsidRPr="00345E31">
        <w:rPr>
          <w:rFonts w:ascii="Times New Roman" w:eastAsia="宋体" w:hAnsi="Times New Roman" w:cs="Times New Roman" w:hint="eastAsia"/>
          <w:szCs w:val="21"/>
        </w:rPr>
        <w:t>ivonescimab</w:t>
      </w:r>
      <w:r w:rsidRPr="00345E31">
        <w:rPr>
          <w:rFonts w:ascii="Times New Roman" w:eastAsia="宋体" w:hAnsi="Times New Roman" w:cs="Times New Roman" w:hint="eastAsia"/>
          <w:szCs w:val="21"/>
        </w:rPr>
        <w:t>，</w:t>
      </w:r>
      <w:r w:rsidRPr="00345E31">
        <w:rPr>
          <w:rFonts w:ascii="Times New Roman" w:eastAsia="宋体" w:hAnsi="Times New Roman" w:cs="Times New Roman" w:hint="eastAsia"/>
          <w:szCs w:val="21"/>
        </w:rPr>
        <w:t>AK112</w:t>
      </w:r>
      <w:r w:rsidRPr="00345E31">
        <w:rPr>
          <w:rFonts w:ascii="Times New Roman" w:eastAsia="宋体" w:hAnsi="Times New Roman" w:cs="Times New Roman" w:hint="eastAsia"/>
          <w:szCs w:val="21"/>
        </w:rPr>
        <w:t>）是同时靶向</w:t>
      </w:r>
      <w:r w:rsidR="00570B4F" w:rsidRPr="00570B4F">
        <w:rPr>
          <w:rFonts w:ascii="Times New Roman" w:eastAsia="宋体" w:hAnsi="Times New Roman" w:cs="Times New Roman" w:hint="eastAsia"/>
          <w:szCs w:val="21"/>
        </w:rPr>
        <w:t>程序性死亡受体</w:t>
      </w:r>
      <w:r w:rsidR="00570B4F" w:rsidRPr="00570B4F">
        <w:rPr>
          <w:rFonts w:ascii="Times New Roman" w:eastAsia="宋体" w:hAnsi="Times New Roman" w:cs="Times New Roman" w:hint="eastAsia"/>
          <w:szCs w:val="21"/>
        </w:rPr>
        <w:t>1</w:t>
      </w:r>
      <w:r w:rsidR="00570B4F" w:rsidRPr="00570B4F">
        <w:rPr>
          <w:rFonts w:ascii="Times New Roman" w:eastAsia="宋体" w:hAnsi="Times New Roman" w:cs="Times New Roman" w:hint="eastAsia"/>
          <w:szCs w:val="21"/>
        </w:rPr>
        <w:t>（</w:t>
      </w:r>
      <w:r w:rsidR="00570B4F" w:rsidRPr="00570B4F">
        <w:rPr>
          <w:rFonts w:ascii="Times New Roman" w:eastAsia="宋体" w:hAnsi="Times New Roman" w:cs="Times New Roman" w:hint="eastAsia"/>
          <w:szCs w:val="21"/>
        </w:rPr>
        <w:t>programmed cell death protein 1</w:t>
      </w:r>
      <w:r w:rsidR="00570B4F" w:rsidRPr="00570B4F">
        <w:rPr>
          <w:rFonts w:ascii="Times New Roman" w:eastAsia="宋体" w:hAnsi="Times New Roman" w:cs="Times New Roman" w:hint="eastAsia"/>
          <w:szCs w:val="21"/>
        </w:rPr>
        <w:t>，</w:t>
      </w:r>
      <w:r w:rsidR="00570B4F" w:rsidRPr="00570B4F">
        <w:rPr>
          <w:rFonts w:ascii="Times New Roman" w:eastAsia="宋体" w:hAnsi="Times New Roman" w:cs="Times New Roman" w:hint="eastAsia"/>
          <w:szCs w:val="21"/>
        </w:rPr>
        <w:t>PD-1</w:t>
      </w:r>
      <w:r w:rsidR="00570B4F" w:rsidRPr="00570B4F">
        <w:rPr>
          <w:rFonts w:ascii="Times New Roman" w:eastAsia="宋体" w:hAnsi="Times New Roman" w:cs="Times New Roman" w:hint="eastAsia"/>
          <w:szCs w:val="21"/>
        </w:rPr>
        <w:t>）</w:t>
      </w:r>
      <w:r w:rsidRPr="00345E31">
        <w:rPr>
          <w:rFonts w:ascii="Times New Roman" w:eastAsia="宋体" w:hAnsi="Times New Roman" w:cs="Times New Roman" w:hint="eastAsia"/>
          <w:szCs w:val="21"/>
        </w:rPr>
        <w:t>和</w:t>
      </w:r>
      <w:r w:rsidR="00570B4F" w:rsidRPr="00570B4F">
        <w:rPr>
          <w:rFonts w:ascii="Times New Roman" w:eastAsia="宋体" w:hAnsi="Times New Roman" w:cs="Times New Roman" w:hint="eastAsia"/>
          <w:szCs w:val="21"/>
        </w:rPr>
        <w:t>血管内皮生长因子（</w:t>
      </w:r>
      <w:r w:rsidR="00570B4F" w:rsidRPr="00570B4F">
        <w:rPr>
          <w:rFonts w:ascii="Times New Roman" w:eastAsia="宋体" w:hAnsi="Times New Roman" w:cs="Times New Roman" w:hint="eastAsia"/>
          <w:szCs w:val="21"/>
        </w:rPr>
        <w:t>vascular endothelial growth factor</w:t>
      </w:r>
      <w:r w:rsidR="00570B4F" w:rsidRPr="00570B4F">
        <w:rPr>
          <w:rFonts w:ascii="Times New Roman" w:eastAsia="宋体" w:hAnsi="Times New Roman" w:cs="Times New Roman" w:hint="eastAsia"/>
          <w:szCs w:val="21"/>
        </w:rPr>
        <w:t>，</w:t>
      </w:r>
      <w:r w:rsidR="00570B4F" w:rsidRPr="00570B4F">
        <w:rPr>
          <w:rFonts w:ascii="Times New Roman" w:eastAsia="宋体" w:hAnsi="Times New Roman" w:cs="Times New Roman" w:hint="eastAsia"/>
          <w:szCs w:val="21"/>
        </w:rPr>
        <w:t>VEGF</w:t>
      </w:r>
      <w:r w:rsidR="00570B4F" w:rsidRPr="00570B4F">
        <w:rPr>
          <w:rFonts w:ascii="Times New Roman" w:eastAsia="宋体" w:hAnsi="Times New Roman" w:cs="Times New Roman" w:hint="eastAsia"/>
          <w:szCs w:val="21"/>
        </w:rPr>
        <w:t>）</w:t>
      </w:r>
      <w:r w:rsidRPr="00345E31">
        <w:rPr>
          <w:rFonts w:ascii="Times New Roman" w:eastAsia="宋体" w:hAnsi="Times New Roman" w:cs="Times New Roman" w:hint="eastAsia"/>
          <w:szCs w:val="21"/>
        </w:rPr>
        <w:t>的双特异性抗体。</w:t>
      </w:r>
      <w:r w:rsidRPr="00345E31">
        <w:rPr>
          <w:rFonts w:ascii="Times New Roman" w:eastAsia="宋体" w:hAnsi="Times New Roman" w:cs="Times New Roman" w:hint="eastAsia"/>
          <w:szCs w:val="21"/>
        </w:rPr>
        <w:t>III</w:t>
      </w:r>
      <w:r w:rsidRPr="00345E31">
        <w:rPr>
          <w:rFonts w:ascii="Times New Roman" w:eastAsia="宋体" w:hAnsi="Times New Roman" w:cs="Times New Roman" w:hint="eastAsia"/>
          <w:szCs w:val="21"/>
        </w:rPr>
        <w:t>期</w:t>
      </w:r>
      <w:r w:rsidRPr="00345E31">
        <w:rPr>
          <w:rFonts w:ascii="Times New Roman" w:eastAsia="宋体" w:hAnsi="Times New Roman" w:cs="Times New Roman" w:hint="eastAsia"/>
          <w:szCs w:val="21"/>
        </w:rPr>
        <w:t>HARMONi-A</w:t>
      </w:r>
      <w:r w:rsidRPr="00345E31">
        <w:rPr>
          <w:rFonts w:ascii="Times New Roman" w:eastAsia="宋体" w:hAnsi="Times New Roman" w:cs="Times New Roman" w:hint="eastAsia"/>
          <w:szCs w:val="21"/>
        </w:rPr>
        <w:t>研究显示，在</w:t>
      </w:r>
      <w:r w:rsidRPr="00345E31">
        <w:rPr>
          <w:rFonts w:ascii="Times New Roman" w:eastAsia="宋体" w:hAnsi="Times New Roman" w:cs="Times New Roman" w:hint="eastAsia"/>
          <w:szCs w:val="21"/>
        </w:rPr>
        <w:t>EGFR-TKI</w:t>
      </w:r>
      <w:r w:rsidRPr="00345E31">
        <w:rPr>
          <w:rFonts w:ascii="Times New Roman" w:eastAsia="宋体" w:hAnsi="Times New Roman" w:cs="Times New Roman" w:hint="eastAsia"/>
          <w:szCs w:val="21"/>
        </w:rPr>
        <w:t>治疗后进展的</w:t>
      </w:r>
      <w:r w:rsidRPr="00E203CA">
        <w:rPr>
          <w:rFonts w:ascii="Times New Roman" w:eastAsia="宋体" w:hAnsi="Times New Roman" w:cs="Times New Roman" w:hint="eastAsia"/>
          <w:i/>
          <w:iCs/>
          <w:szCs w:val="21"/>
        </w:rPr>
        <w:t>EGFR</w:t>
      </w:r>
      <w:r w:rsidRPr="00345E31">
        <w:rPr>
          <w:rFonts w:ascii="Times New Roman" w:eastAsia="宋体" w:hAnsi="Times New Roman" w:cs="Times New Roman" w:hint="eastAsia"/>
          <w:szCs w:val="21"/>
        </w:rPr>
        <w:t>突变型非鳞</w:t>
      </w:r>
      <w:r w:rsidRPr="00345E31">
        <w:rPr>
          <w:rFonts w:ascii="Times New Roman" w:eastAsia="宋体" w:hAnsi="Times New Roman" w:cs="Times New Roman" w:hint="eastAsia"/>
          <w:szCs w:val="21"/>
        </w:rPr>
        <w:t>NSCLC</w:t>
      </w:r>
      <w:r w:rsidRPr="00345E31">
        <w:rPr>
          <w:rFonts w:ascii="Times New Roman" w:eastAsia="宋体" w:hAnsi="Times New Roman" w:cs="Times New Roman" w:hint="eastAsia"/>
          <w:szCs w:val="21"/>
        </w:rPr>
        <w:t>患者中，依沃西单抗联合化疗较单纯化疗显著延长</w:t>
      </w:r>
      <w:r w:rsidRPr="00345E31">
        <w:rPr>
          <w:rFonts w:ascii="Times New Roman" w:eastAsia="宋体" w:hAnsi="Times New Roman" w:cs="Times New Roman" w:hint="eastAsia"/>
          <w:szCs w:val="21"/>
        </w:rPr>
        <w:t>mPFS</w:t>
      </w:r>
      <w:r w:rsidR="00580940">
        <w:rPr>
          <w:rFonts w:ascii="Times New Roman" w:eastAsia="宋体" w:hAnsi="Times New Roman" w:cs="Times New Roman" w:hint="eastAsia"/>
          <w:szCs w:val="21"/>
        </w:rPr>
        <w:t>至</w:t>
      </w:r>
      <w:r w:rsidRPr="00345E31">
        <w:rPr>
          <w:rFonts w:ascii="Times New Roman" w:eastAsia="宋体" w:hAnsi="Times New Roman" w:cs="Times New Roman" w:hint="eastAsia"/>
          <w:szCs w:val="21"/>
        </w:rPr>
        <w:t>7.1</w:t>
      </w:r>
      <w:r w:rsidRPr="00345E31">
        <w:rPr>
          <w:rFonts w:ascii="Times New Roman" w:eastAsia="宋体" w:hAnsi="Times New Roman" w:cs="Times New Roman" w:hint="eastAsia"/>
          <w:szCs w:val="21"/>
        </w:rPr>
        <w:t>个月</w:t>
      </w:r>
      <w:r w:rsidR="00580940" w:rsidRPr="00C46317">
        <w:rPr>
          <w:rFonts w:ascii="宋体" w:eastAsia="宋体" w:hAnsi="宋体" w:cs="Times New Roman"/>
          <w:szCs w:val="21"/>
        </w:rPr>
        <w:fldChar w:fldCharType="begin"/>
      </w:r>
      <w:r w:rsidR="00B859FA" w:rsidRPr="00C46317">
        <w:rPr>
          <w:rFonts w:ascii="宋体" w:eastAsia="宋体" w:hAnsi="宋体" w:cs="Times New Roman"/>
          <w:szCs w:val="21"/>
        </w:rPr>
        <w:instrText xml:space="preserve"> ADDIN ZOTERO_ITEM CSL_CITATION {"citationID":"WX9lXsHy","properties":{"unsorted":false,"formattedCitation":"\\super [44]\\nosupersub{}","plainCitation":"[44]","noteIndex":0},"citationItems":[{"id":919,"uris":["http://zotero.org/users/14719789/items/SHYN7EST"],"itemData":{"id":919,"type":"article-journal","abstract":"IMPORTANCE: For patients with non-small cell lung cancer whose disease progressed while receiving EGFR tyrosine kinase inhibitor (EGFR-TKI) therapy, particularly third-generation TKIs, optimal treatment options remain limited.\nOBJECTIVE: To compare the efficacy of ivonescimab plus chemotherapy with chemotherapy alone for patients with relapsed advanced or metastatic non-small cell lung cancer with the epidermal growth factor receptor (EGFR) variant.\nDESIGN, SETTING, AND PARTICIPANTS: Double-blind, placebo-controlled, randomized, phase 3 trial at 55 sites in China enrolled participants from January 2022 to November 2022; a total of 322 eligible patients were enrolled.\nINTERVENTIONS: Participants received ivonescimab (n</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161) or placebo (n</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161) plus pemetrexed and carboplatin once every 3 weeks for 4 cycles, followed by maintenance therapy of ivonescimab plus pemetrexed or placebo plus pemetrexed.\nMAIN OUTCOMES AND MEASURES: The primary end point was progression-free survival in the intention-to-treat population assessed by an independent radiographic review committee (IRRC) per Response Evaluation Criteria in Solid Tumors version 1.1. The results of the first planned interim analysis are reported.\nRESULTS: Among 322 enrolled patients in the ivonescimab and placebo groups, the median age was 59.6 vs 59.4 years and 52.2% vs 50.9% of patients were female. As of March 10, 2023, median follow-up time was 7.89 months. Median progression-free survival was 7.1 (95% CI, 5.9-8.7) months in the ivonescimab group vs 4.8 (95% CI, 4.2-5.6) months for placebo (difference, 2.3 months; hazard ratio [HR], 0.46 [95% CI, 0.34-0.62]; P</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&lt;</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.001). The prespecified subgroup analysis showed progression-free survival benefit favoring patients receiving ivonescimab over placebo across almost all subgroups, including patients whose disease progressed while receiving third-generation EGFR-TKI therapy (HR, 0.48 [95% CI 0.35-0.66]) and those with brain metastases (HR, 0.40 [95% CI, 0.22-0.73]). The objective response rate was 50.6% (95% CI, 42.6%-58.6%) with ivonescimab and 35.4% (95% CI, 28.0%-43.3%) with placebo (difference, 15.6% [95% CI, 5.3%-26.0%]; P</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w:instrText>
      </w:r>
      <w:r w:rsidR="00B859FA" w:rsidRPr="00C46317">
        <w:rPr>
          <w:rFonts w:ascii="Times New Roman" w:eastAsia="宋体" w:hAnsi="Times New Roman" w:cs="Times New Roman"/>
          <w:szCs w:val="21"/>
        </w:rPr>
        <w:instrText> </w:instrText>
      </w:r>
      <w:r w:rsidR="00B859FA" w:rsidRPr="00C46317">
        <w:rPr>
          <w:rFonts w:ascii="宋体" w:eastAsia="宋体" w:hAnsi="宋体" w:cs="Times New Roman"/>
          <w:szCs w:val="21"/>
        </w:rPr>
        <w:instrText xml:space="preserve">.006). The median overall survival data were not mature; at data cutoff, 69 patients (21.4%) had died. Grade 3 or higher treatment-emergent adverse events occurred in 99 patients (61.5%) in the ivonescimab group vs 79 patients (49.1%) in the placebo group, the most common of which were chemotherapy-related. Grade 3 or higher immune-related adverse events occurred in 10 patients (6.2%) in the ivonescimab group vs 4 (2.5%) in the placebo group. Grade 3 or higher vascular endothelial growth factor-related adverse events occurred in 5 patients (3.1%) in the ivonescimab group vs 4 (2.5%) in the placebo group.\nCONCLUSIONS: Ivonescimab plus chemotherapy significantly improved progression-free survival with tolerable safety profile in TKI-treated non-small cell lung cancer.\nTRIAL REGISTRATION: ClinicalTrials.gov Identifier: NCT05184712.","container-title":"JAMA","DOI":"10.1001/jama.2024.10613","ISSN":"1538-3598","issue":"7","journalAbbreviation":"JAMA","language":"eng","page":"561-570","PMID":"38820549","PMCID":"PMC11337070","source":"PubMed","title":"Ivonescimab Plus Chemotherapy in Non-Small Cell Lung Cancer With EGFR Variant: A Randomized Clinical Trial","title-short":"Ivonescimab Plus Chemotherapy in Non-Small Cell Lung Cancer With EGFR Variant","volume":"332","author":[{"literal":"HARMONi-A Study Investigators"},{"family":"Fang","given":"Wenfeng"},{"family":"Zhao","given":"Yuanyuan"},{"family":"Luo","given":"Yongzhong"},{"family":"Yang","given":"Runxiang"},{"family":"Huang","given":"Yan"},{"family":"He","given":"Zhiyong"},{"family":"Zhao","given":"Hui"},{"family":"Li","given":"Mingjun"},{"family":"Li","given":"Kai"},{"family":"Song","given":"Qibin"},{"family":"Du","given":"Xiaobo"},{"family":"Sun","given":"Yulan"},{"family":"Li","given":"Wei"},{"family":"Xu","given":"Fei"},{"family":"Wang","given":"Zhiyu"},{"family":"Yang","given":"Kunning"},{"family":"Fan","given":"Yun"},{"family":"Liu","given":"Baogang"},{"family":"Zhao","given":"Hongyun"},{"family":"Hu","given":"Ying"},{"family":"Jia","given":"Li"},{"family":"Xu","given":"Shen"},{"family":"Yi","given":"Tienan"},{"family":"Lv","given":"Dongqing"},{"family":"Lan","given":"Haitao"},{"family":"Li","given":"Mengxia"},{"family":"Liang","given":"Wenhua"},{"family":"Wang","given":"Yongsheng"},{"family":"Yang","given":"Hui"},{"family":"Jia","given":"Yuming"},{"family":"Chen","given":"Yuan"},{"family":"Lu","given":"Junguo"},{"family":"Feng","given":"Jifeng"},{"family":"Liu","given":"Chunling"},{"family":"Zhou","given":"Ming"},{"family":"Zhou","given":"Jianya"},{"family":"Liu","given":"Xianling"},{"family":"Zhou","given":"Ningning"},{"family":"He","given":"Ming"},{"family":"Dong","given":"Xiaorong"},{"family":"Chen","given":"Hualin"},{"family":"Chen","given":"Yongxing"},{"family":"Su","given":"Haichuan"},{"family":"Li","given":"Xiaoling"},{"family":"Zhang","given":"Zhihong"},{"family":"Yang","given":"Lei"},{"family":"Cheng","given":"Ying"},{"family":"Chen","given":"Likun"},{"family":"Hou","given":"Xue"},{"family":"Zhang","given":"Yu"},{"family":"Guo","given":"Jun"},{"family":"Wang","given":"Zhen"},{"family":"Lu","given":"Hong"},{"family":"Wu","given":"Di"},{"family":"Feng","given":"Weineng"},{"family":"Li","given":"Wen"},{"family":"Huang","given":"Jianan"},{"family":"Wang","given":"Yan"},{"family":"Song","given":"Xia"},{"family":"Peng","given":"Jiewen"},{"family":"Liu","given":"Laiyu"},{"family":"Guo","given":"Yubiao"},{"family":"Li","given":"Wenting"},{"family":"Lu","given":"Dongmei"},{"family":"Hu","given":"Mingxiu"},{"family":"Wang","given":"Zhongmin Maxwell"},{"family":"Li","given":"Baiyong"},{"family":"Xia","given":"Michelle"},{"family":"Zhang","given":"Li"}],"issued":{"date-parts":[["2024",8,20]]}}}],"schema":"https://github.com/citation-style-language/schema/raw/master/csl-citation.json"} </w:instrText>
      </w:r>
      <w:r w:rsidR="00580940" w:rsidRPr="00C46317">
        <w:rPr>
          <w:rFonts w:ascii="宋体" w:eastAsia="宋体" w:hAnsi="宋体" w:cs="Times New Roman"/>
          <w:szCs w:val="21"/>
        </w:rPr>
        <w:fldChar w:fldCharType="separate"/>
      </w:r>
      <w:r w:rsidR="00B859FA" w:rsidRPr="00C46317">
        <w:rPr>
          <w:rFonts w:ascii="宋体" w:eastAsia="宋体" w:hAnsi="宋体" w:cs="Times New Roman"/>
          <w:kern w:val="0"/>
          <w:vertAlign w:val="superscript"/>
        </w:rPr>
        <w:t>[44]</w:t>
      </w:r>
      <w:r w:rsidR="00580940" w:rsidRPr="00C46317">
        <w:rPr>
          <w:rFonts w:ascii="宋体" w:eastAsia="宋体" w:hAnsi="宋体" w:cs="Times New Roman"/>
          <w:szCs w:val="21"/>
        </w:rPr>
        <w:fldChar w:fldCharType="end"/>
      </w:r>
      <w:r w:rsidR="00C46317" w:rsidRPr="00345E31">
        <w:rPr>
          <w:rFonts w:ascii="Times New Roman" w:eastAsia="宋体" w:hAnsi="Times New Roman" w:cs="Times New Roman" w:hint="eastAsia"/>
          <w:szCs w:val="21"/>
        </w:rPr>
        <w:t>，并显示总生存获益</w:t>
      </w:r>
      <w:r w:rsidR="00C46317" w:rsidRPr="00C46317">
        <w:rPr>
          <w:rFonts w:ascii="宋体" w:eastAsia="宋体" w:hAnsi="宋体" w:cs="Times New Roman"/>
          <w:szCs w:val="21"/>
        </w:rPr>
        <w:fldChar w:fldCharType="begin"/>
      </w:r>
      <w:r w:rsidR="00C46317" w:rsidRPr="00C46317">
        <w:rPr>
          <w:rFonts w:ascii="宋体" w:eastAsia="宋体" w:hAnsi="宋体" w:cs="Times New Roman"/>
          <w:szCs w:val="21"/>
        </w:rPr>
        <w:instrText xml:space="preserve"> ADDIN ZOTERO_ITEM CSL_CITATION {"citationID":"dIajQ3Qo","properties":{"unsorted":false,"formattedCitation":"\\super [45]\\nosupersub{}","plainCitation":"[45]","noteIndex":0},"citationItems":[{"id":921,"uris":["http://zotero.org/users/14719789/items/MHFRDKMT"],"itemData":{"id":921,"type":"article-journal","abstract":"IMPORTANCE: Patients with epidermal growth factor receptor (EGFR) gene variant nonsquamous non-small cell lung cancer (NSCLC) who have disease progression after prior EGFR tyrosine kinase inhibitor (TKI) therapy have limited treatment options, creating a need for more effective subsequent therapies.\nOBJECTIVE: To provide final overall results of a trial assessing whether adding ivonescimab (a bispecific antibody targeting programmed cell death protein 1 and vascular endothelial growth factor) to chemotherapy improves overall survival in this population.\nDESIGN, SETTING, AND PARTICIPANTS: Randomized, double-blind, placebo-controlled phase 3 trial conducted at 55 sites in China. From January 25 to November 2, 2022, a total of 322 adult patients with locally advanced or metastatic EGFR-variant nonsquamous NSCLC who had received prior EGFR-TKI therapy were enrolled. The data cutoff date was April 12, 2025.\nINTERVENTIONS: Patients were randomized 1:1 to receive ivonescimab (20 mg/kg; n</w:instrText>
      </w:r>
      <w:r w:rsidR="00C46317" w:rsidRPr="00C46317">
        <w:rPr>
          <w:rFonts w:ascii="Times New Roman" w:eastAsia="宋体" w:hAnsi="Times New Roman" w:cs="Times New Roman"/>
          <w:szCs w:val="21"/>
        </w:rPr>
        <w:instrText> </w:instrText>
      </w:r>
      <w:r w:rsidR="00C46317" w:rsidRPr="00C46317">
        <w:rPr>
          <w:rFonts w:ascii="宋体" w:eastAsia="宋体" w:hAnsi="宋体" w:cs="Times New Roman"/>
          <w:szCs w:val="21"/>
        </w:rPr>
        <w:instrText>=</w:instrText>
      </w:r>
      <w:r w:rsidR="00C46317" w:rsidRPr="00C46317">
        <w:rPr>
          <w:rFonts w:ascii="Times New Roman" w:eastAsia="宋体" w:hAnsi="Times New Roman" w:cs="Times New Roman"/>
          <w:szCs w:val="21"/>
        </w:rPr>
        <w:instrText> </w:instrText>
      </w:r>
      <w:r w:rsidR="00C46317" w:rsidRPr="00C46317">
        <w:rPr>
          <w:rFonts w:ascii="宋体" w:eastAsia="宋体" w:hAnsi="宋体" w:cs="Times New Roman"/>
          <w:szCs w:val="21"/>
        </w:rPr>
        <w:instrText>161) or placebo (n</w:instrText>
      </w:r>
      <w:r w:rsidR="00C46317" w:rsidRPr="00C46317">
        <w:rPr>
          <w:rFonts w:ascii="Times New Roman" w:eastAsia="宋体" w:hAnsi="Times New Roman" w:cs="Times New Roman"/>
          <w:szCs w:val="21"/>
        </w:rPr>
        <w:instrText> </w:instrText>
      </w:r>
      <w:r w:rsidR="00C46317" w:rsidRPr="00C46317">
        <w:rPr>
          <w:rFonts w:ascii="宋体" w:eastAsia="宋体" w:hAnsi="宋体" w:cs="Times New Roman"/>
          <w:szCs w:val="21"/>
        </w:rPr>
        <w:instrText>=</w:instrText>
      </w:r>
      <w:r w:rsidR="00C46317" w:rsidRPr="00C46317">
        <w:rPr>
          <w:rFonts w:ascii="Times New Roman" w:eastAsia="宋体" w:hAnsi="Times New Roman" w:cs="Times New Roman"/>
          <w:szCs w:val="21"/>
        </w:rPr>
        <w:instrText> </w:instrText>
      </w:r>
      <w:r w:rsidR="00C46317" w:rsidRPr="00C46317">
        <w:rPr>
          <w:rFonts w:ascii="宋体" w:eastAsia="宋体" w:hAnsi="宋体" w:cs="Times New Roman"/>
          <w:szCs w:val="21"/>
        </w:rPr>
        <w:instrText>161) plus chemotherapy with pemetrexed and carboplatin once every 3 weeks for 4 cycles, followed by maintenance therapy.\nMAIN OUTCOMES AND MEASURES: This final results report focuses on overall survival, the key secondary end point, tested in a hierarchical manner (the primary end point was progression-free survival assessed by an independent radiology review committee).\nRESULTS: The 322 enrolled patients had a median age of 59.4 years, and 51.6% were female. During a median follow-up of 32.5 months, ivonescimab plus chemotherapy improved overall survival compared with chemotherapy alone (median survival, 16.8 months vs 14.1 months; stratified hazard ratio, 0.74; 95% CI, 0.58-0.95; P</w:instrText>
      </w:r>
      <w:r w:rsidR="00C46317" w:rsidRPr="00C46317">
        <w:rPr>
          <w:rFonts w:ascii="Times New Roman" w:eastAsia="宋体" w:hAnsi="Times New Roman" w:cs="Times New Roman"/>
          <w:szCs w:val="21"/>
        </w:rPr>
        <w:instrText> </w:instrText>
      </w:r>
      <w:r w:rsidR="00C46317" w:rsidRPr="00C46317">
        <w:rPr>
          <w:rFonts w:ascii="宋体" w:eastAsia="宋体" w:hAnsi="宋体" w:cs="Times New Roman"/>
          <w:szCs w:val="21"/>
        </w:rPr>
        <w:instrText>=</w:instrText>
      </w:r>
      <w:r w:rsidR="00C46317" w:rsidRPr="00C46317">
        <w:rPr>
          <w:rFonts w:ascii="Times New Roman" w:eastAsia="宋体" w:hAnsi="Times New Roman" w:cs="Times New Roman"/>
          <w:szCs w:val="21"/>
        </w:rPr>
        <w:instrText> </w:instrText>
      </w:r>
      <w:r w:rsidR="00C46317" w:rsidRPr="00C46317">
        <w:rPr>
          <w:rFonts w:ascii="宋体" w:eastAsia="宋体" w:hAnsi="宋体" w:cs="Times New Roman"/>
          <w:szCs w:val="21"/>
        </w:rPr>
        <w:instrText xml:space="preserve">.02). The absolute difference in median overall survival was 2.7 months. Estimated 30-month survival rates were 29.1% (95% CI, 22.1%-36.4%) with ivonescimab and 18.4% (95% CI, 12.8%-24.8%) with placebo. Grade 3 or higher treatment-emergent adverse events occurred in 67.1% and 54.7% of patients receiving ivonescimab and placebo, respectively.\nCONCLUSIONS AND RELEVANCE: Ivonescimab plus chemotherapy provided a statistically significant and clinically meaningful improvement in overall survival with an acceptable safety profile in patients with EGFR-variant NSCLC after EGFR-TKI therapy.\nTRIAL REGISTRATION: ClinicalTrials.gov Identifier: NCT05184712.","container-title":"JAMA","DOI":"10.1001/jama.2026.7745","ISSN":"1538-3598","issue":"4","journalAbbreviation":"JAMA","language":"eng","page":"306-314","PMID":"42307937","PMCID":"PMC13276664","source":"PubMed","title":"Bispecific Antibody Ivonescimab Added to Chemotherapy in EGFR-Variant Non-Small Cell Lung Cancer: The HARMONi-A Randomized Clinical Trial","title-short":"Bispecific Antibody Ivonescimab Added to Chemotherapy in EGFR-Variant Non-Small Cell Lung Cancer","volume":"336","author":[{"literal":"HARMONi-A Study Investigators"},{"family":"Fang","given":"Wenfeng"},{"family":"Zhao","given":"Yuanyuan"},{"family":"Luo","given":"Yongzhong"},{"family":"Yang","given":"Runxiang"},{"family":"Huang","given":"Yan"},{"family":"He","given":"Zhiyong"},{"family":"Zhao","given":"Hui"},{"family":"Li","given":"Mingjun"},{"family":"Li","given":"Kai"},{"family":"Song","given":"Qibin"},{"family":"Du","given":"Xiaobo"},{"family":"Sun","given":"Yulan"},{"family":"Li","given":"Wei"},{"family":"Sun","given":"Longhua"},{"family":"Wang","given":"Zhiyu"},{"family":"Yang","given":"Kunning"},{"family":"Fan","given":"Yun"},{"family":"Liu","given":"Baogang"},{"family":"Zhao","given":"Hongyun"},{"family":"Hu","given":"Ying"},{"family":"Jia","given":"Li"},{"family":"Xu","given":"Shen"},{"family":"Yi","given":"Tienan"},{"family":"Lv","given":"Dongqing"},{"family":"Lan","given":"Haitao"},{"family":"Li","given":"Mengxia"},{"family":"Liang","given":"Wenhua"},{"family":"Wang","given":"Yongsheng"},{"family":"Yang","given":"Hui"},{"family":"Jia","given":"Yuming"},{"family":"Chen","given":"Yuan"},{"family":"Lu","given":"Junguo"},{"family":"Shi","given":"Meiqi"},{"family":"Liu","given":"Chunling"},{"family":"Zhou","given":"Ming"},{"family":"Zhou","given":"Jianya"},{"family":"Liu","given":"Xianling"},{"family":"Zhou","given":"Ningning"},{"family":"He","given":"Ming"},{"family":"Dong","given":"Xiaorong"},{"family":"Chen","given":"Hualin"},{"family":"Chen","given":"Yongxing"},{"family":"Su","given":"Haichuan"},{"family":"Li","given":"Xiaoling"},{"family":"Zhang","given":"Zhihong"},{"family":"Yang","given":"Lei"},{"family":"Liu","given":"Ying"},{"family":"Chen","given":"Likun"},{"family":"Hou","given":"Xue"},{"family":"Zhang","given":"Yu"},{"family":"Guo","given":"Jun"},{"family":"Ma","given":"Ruiqiang"},{"family":"Lu","given":"Hong"},{"family":"Wu","given":"Di"},{"family":"Feng","given":"Weineng"},{"family":"Li","given":"Wen"},{"family":"Huang","given":"Jianan"},{"family":"Wang","given":"Yan"},{"family":"Song","given":"Xia"},{"family":"Peng","given":"Jiewen"},{"family":"Liu","given":"Laiyu"},{"family":"Guo","given":"Yubiao"},{"family":"Li","given":"Wenting"},{"family":"Xia","given":"Mengying"},{"family":"Lu","given":"Dongmei"},{"family":"Hu","given":"Mingxiu"},{"family":"Wang","given":"Zhongmin Maxwell"},{"family":"Li","given":"Baiyong"},{"family":"Xia","given":"Michelle Y."},{"family":"Zhang","given":"Li"}],"issued":{"date-parts":[["2026",7,28]]}}}],"schema":"https://github.com/citation-style-language/schema/raw/master/csl-citation.json"} </w:instrText>
      </w:r>
      <w:r w:rsidR="00C46317" w:rsidRPr="00C46317">
        <w:rPr>
          <w:rFonts w:ascii="宋体" w:eastAsia="宋体" w:hAnsi="宋体" w:cs="Times New Roman"/>
          <w:szCs w:val="21"/>
        </w:rPr>
        <w:fldChar w:fldCharType="separate"/>
      </w:r>
      <w:r w:rsidR="00C46317" w:rsidRPr="00C46317">
        <w:rPr>
          <w:rFonts w:ascii="宋体" w:eastAsia="宋体" w:hAnsi="宋体" w:cs="Times New Roman"/>
          <w:kern w:val="0"/>
          <w:vertAlign w:val="superscript"/>
        </w:rPr>
        <w:t>[45]</w:t>
      </w:r>
      <w:r w:rsidR="00C46317" w:rsidRPr="00C46317">
        <w:rPr>
          <w:rFonts w:ascii="宋体" w:eastAsia="宋体" w:hAnsi="宋体" w:cs="Times New Roman"/>
          <w:szCs w:val="21"/>
        </w:rPr>
        <w:fldChar w:fldCharType="end"/>
      </w:r>
      <w:r w:rsidRPr="00345E31">
        <w:rPr>
          <w:rFonts w:ascii="Times New Roman" w:eastAsia="宋体" w:hAnsi="Times New Roman" w:cs="Times New Roman" w:hint="eastAsia"/>
          <w:szCs w:val="21"/>
        </w:rPr>
        <w:t>。</w:t>
      </w:r>
    </w:p>
    <w:p w14:paraId="63162A59" w14:textId="07170B33" w:rsidR="00997C67" w:rsidRDefault="00997C67" w:rsidP="002559D5">
      <w:pPr>
        <w:spacing w:line="360" w:lineRule="auto"/>
        <w:ind w:firstLineChars="200" w:firstLine="420"/>
        <w:jc w:val="left"/>
        <w:rPr>
          <w:rFonts w:ascii="Times New Roman" w:eastAsia="宋体" w:hAnsi="Times New Roman" w:cs="Times New Roman"/>
          <w:szCs w:val="21"/>
        </w:rPr>
      </w:pPr>
      <w:r w:rsidRPr="00997C67">
        <w:rPr>
          <w:rFonts w:ascii="Times New Roman" w:eastAsia="宋体" w:hAnsi="Times New Roman" w:cs="Times New Roman" w:hint="eastAsia"/>
          <w:szCs w:val="21"/>
        </w:rPr>
        <w:t>上述研究主要基于</w:t>
      </w:r>
      <w:r w:rsidRPr="00997C67">
        <w:rPr>
          <w:rFonts w:ascii="Times New Roman" w:eastAsia="宋体" w:hAnsi="Times New Roman" w:cs="Times New Roman" w:hint="eastAsia"/>
          <w:szCs w:val="21"/>
        </w:rPr>
        <w:t>EGFR-TKI</w:t>
      </w:r>
      <w:r w:rsidRPr="00997C67">
        <w:rPr>
          <w:rFonts w:ascii="Times New Roman" w:eastAsia="宋体" w:hAnsi="Times New Roman" w:cs="Times New Roman" w:hint="eastAsia"/>
          <w:szCs w:val="21"/>
        </w:rPr>
        <w:t>治疗后进展</w:t>
      </w:r>
      <w:r>
        <w:rPr>
          <w:rFonts w:ascii="Times New Roman" w:eastAsia="宋体" w:hAnsi="Times New Roman" w:cs="Times New Roman" w:hint="eastAsia"/>
          <w:szCs w:val="21"/>
        </w:rPr>
        <w:t>患者</w:t>
      </w:r>
      <w:r w:rsidRPr="00997C67">
        <w:rPr>
          <w:rFonts w:ascii="Times New Roman" w:eastAsia="宋体" w:hAnsi="Times New Roman" w:cs="Times New Roman" w:hint="eastAsia"/>
          <w:szCs w:val="21"/>
        </w:rPr>
        <w:t>，并非专门纳入耐药机制未明人群。因此，</w:t>
      </w:r>
      <w:r w:rsidR="00E11B7F" w:rsidRPr="00E11B7F">
        <w:rPr>
          <w:rFonts w:ascii="Times New Roman" w:eastAsia="宋体" w:hAnsi="Times New Roman" w:cs="Times New Roman" w:hint="eastAsia"/>
          <w:szCs w:val="21"/>
        </w:rPr>
        <w:t>对于此类患者仍应优先完善耐药机制检测，在缺乏明确可靶向机制时，</w:t>
      </w:r>
      <w:r w:rsidR="001A20B9" w:rsidRPr="001A20B9">
        <w:rPr>
          <w:rFonts w:ascii="Times New Roman" w:eastAsia="宋体" w:hAnsi="Times New Roman" w:cs="Times New Roman" w:hint="eastAsia"/>
          <w:szCs w:val="21"/>
        </w:rPr>
        <w:t>TROP2 ADC</w:t>
      </w:r>
      <w:r w:rsidR="001A20B9" w:rsidRPr="001A20B9">
        <w:rPr>
          <w:rFonts w:ascii="Times New Roman" w:eastAsia="宋体" w:hAnsi="Times New Roman" w:cs="Times New Roman" w:hint="eastAsia"/>
          <w:szCs w:val="21"/>
        </w:rPr>
        <w:t>、</w:t>
      </w:r>
      <w:r w:rsidR="001A20B9" w:rsidRPr="001A20B9">
        <w:rPr>
          <w:rFonts w:ascii="Times New Roman" w:eastAsia="宋体" w:hAnsi="Times New Roman" w:cs="Times New Roman" w:hint="eastAsia"/>
          <w:szCs w:val="21"/>
        </w:rPr>
        <w:t>EGFR/HER3</w:t>
      </w:r>
      <w:r w:rsidR="001A20B9" w:rsidRPr="001A20B9">
        <w:rPr>
          <w:rFonts w:ascii="Times New Roman" w:eastAsia="宋体" w:hAnsi="Times New Roman" w:cs="Times New Roman" w:hint="eastAsia"/>
          <w:szCs w:val="21"/>
        </w:rPr>
        <w:t>双特异性</w:t>
      </w:r>
      <w:r w:rsidR="001A20B9" w:rsidRPr="001A20B9">
        <w:rPr>
          <w:rFonts w:ascii="Times New Roman" w:eastAsia="宋体" w:hAnsi="Times New Roman" w:cs="Times New Roman" w:hint="eastAsia"/>
          <w:szCs w:val="21"/>
        </w:rPr>
        <w:t>ADC</w:t>
      </w:r>
      <w:r w:rsidR="001A20B9" w:rsidRPr="001A20B9">
        <w:rPr>
          <w:rFonts w:ascii="Times New Roman" w:eastAsia="宋体" w:hAnsi="Times New Roman" w:cs="Times New Roman" w:hint="eastAsia"/>
          <w:szCs w:val="21"/>
        </w:rPr>
        <w:t>及免疫</w:t>
      </w:r>
      <w:r w:rsidR="001A20B9" w:rsidRPr="001A20B9">
        <w:rPr>
          <w:rFonts w:ascii="Times New Roman" w:eastAsia="宋体" w:hAnsi="Times New Roman" w:cs="Times New Roman" w:hint="eastAsia"/>
          <w:szCs w:val="21"/>
        </w:rPr>
        <w:t>-</w:t>
      </w:r>
      <w:r w:rsidR="001A20B9" w:rsidRPr="001A20B9">
        <w:rPr>
          <w:rFonts w:ascii="Times New Roman" w:eastAsia="宋体" w:hAnsi="Times New Roman" w:cs="Times New Roman" w:hint="eastAsia"/>
          <w:szCs w:val="21"/>
        </w:rPr>
        <w:t>抗血管双重阻断等对特定耐药机制依赖较低的治疗策略，为后续治疗提供了新的研究方向</w:t>
      </w:r>
      <w:r w:rsidRPr="00997C67">
        <w:rPr>
          <w:rFonts w:ascii="Times New Roman" w:eastAsia="宋体" w:hAnsi="Times New Roman" w:cs="Times New Roman" w:hint="eastAsia"/>
          <w:szCs w:val="21"/>
        </w:rPr>
        <w:t>。</w:t>
      </w:r>
    </w:p>
    <w:p w14:paraId="546B7F3B" w14:textId="7140A652" w:rsidR="00452144" w:rsidRDefault="00452144" w:rsidP="002559D5">
      <w:pPr>
        <w:spacing w:line="360" w:lineRule="auto"/>
        <w:ind w:firstLineChars="200" w:firstLine="420"/>
        <w:jc w:val="left"/>
        <w:rPr>
          <w:rFonts w:ascii="Times New Roman" w:eastAsia="宋体" w:hAnsi="Times New Roman" w:cs="Times New Roman"/>
          <w:szCs w:val="21"/>
        </w:rPr>
      </w:pPr>
      <w:r w:rsidRPr="00452144">
        <w:rPr>
          <w:rFonts w:ascii="宋体" w:eastAsia="宋体" w:hAnsi="宋体" w:hint="eastAsia"/>
          <w:szCs w:val="21"/>
        </w:rPr>
        <w:t>2.</w:t>
      </w:r>
      <w:r w:rsidR="00B859FA">
        <w:rPr>
          <w:rFonts w:ascii="宋体" w:eastAsia="宋体" w:hAnsi="宋体" w:hint="eastAsia"/>
          <w:szCs w:val="21"/>
        </w:rPr>
        <w:t>7</w:t>
      </w:r>
      <w:r w:rsidR="008964FF">
        <w:rPr>
          <w:rFonts w:ascii="宋体" w:eastAsia="宋体" w:hAnsi="宋体" w:hint="eastAsia"/>
          <w:szCs w:val="21"/>
        </w:rPr>
        <w:t xml:space="preserve"> </w:t>
      </w:r>
      <w:r w:rsidRPr="00452144">
        <w:rPr>
          <w:rFonts w:ascii="宋体" w:eastAsia="宋体" w:hAnsi="宋体" w:hint="eastAsia"/>
          <w:szCs w:val="21"/>
        </w:rPr>
        <w:t>总</w:t>
      </w:r>
      <w:r>
        <w:rPr>
          <w:rFonts w:ascii="Times New Roman" w:eastAsia="宋体" w:hAnsi="Times New Roman" w:cs="Times New Roman" w:hint="eastAsia"/>
          <w:szCs w:val="21"/>
        </w:rPr>
        <w:t>结与展望</w:t>
      </w:r>
    </w:p>
    <w:p w14:paraId="4750123A" w14:textId="4DE8F6E5" w:rsidR="00690F05" w:rsidRDefault="00690F05" w:rsidP="00690F05">
      <w:pPr>
        <w:spacing w:line="360" w:lineRule="auto"/>
        <w:ind w:firstLineChars="200" w:firstLine="420"/>
        <w:jc w:val="left"/>
        <w:rPr>
          <w:rFonts w:ascii="Times New Roman" w:eastAsia="宋体" w:hAnsi="Times New Roman" w:cs="Times New Roman"/>
          <w:szCs w:val="21"/>
        </w:rPr>
      </w:pPr>
      <w:r w:rsidRPr="00690F05">
        <w:rPr>
          <w:rFonts w:ascii="Times New Roman" w:eastAsia="宋体" w:hAnsi="Times New Roman" w:cs="Times New Roman" w:hint="eastAsia"/>
          <w:szCs w:val="21"/>
        </w:rPr>
        <w:t>EGFR-TKI</w:t>
      </w:r>
      <w:r w:rsidRPr="00690F05">
        <w:rPr>
          <w:rFonts w:ascii="Times New Roman" w:eastAsia="宋体" w:hAnsi="Times New Roman" w:cs="Times New Roman" w:hint="eastAsia"/>
          <w:szCs w:val="21"/>
        </w:rPr>
        <w:t>获得性耐药是限制</w:t>
      </w:r>
      <w:r w:rsidRPr="00E203CA">
        <w:rPr>
          <w:rFonts w:ascii="Times New Roman" w:eastAsia="宋体" w:hAnsi="Times New Roman" w:cs="Times New Roman" w:hint="eastAsia"/>
          <w:i/>
          <w:iCs/>
          <w:szCs w:val="21"/>
        </w:rPr>
        <w:t>EGFR</w:t>
      </w:r>
      <w:r w:rsidRPr="00690F05">
        <w:rPr>
          <w:rFonts w:ascii="Times New Roman" w:eastAsia="宋体" w:hAnsi="Times New Roman" w:cs="Times New Roman" w:hint="eastAsia"/>
          <w:szCs w:val="21"/>
        </w:rPr>
        <w:t>突变</w:t>
      </w:r>
      <w:r w:rsidRPr="00690F05">
        <w:rPr>
          <w:rFonts w:ascii="Times New Roman" w:eastAsia="宋体" w:hAnsi="Times New Roman" w:cs="Times New Roman" w:hint="eastAsia"/>
          <w:szCs w:val="21"/>
        </w:rPr>
        <w:t>NSCLC</w:t>
      </w:r>
      <w:r w:rsidRPr="00690F05">
        <w:rPr>
          <w:rFonts w:ascii="Times New Roman" w:eastAsia="宋体" w:hAnsi="Times New Roman" w:cs="Times New Roman" w:hint="eastAsia"/>
          <w:szCs w:val="21"/>
        </w:rPr>
        <w:t>长期获益的核心问题，其本质是治疗压力下肿瘤克隆持续演化的结果。现有研究已明确</w:t>
      </w:r>
      <w:r w:rsidRPr="00B802CA">
        <w:rPr>
          <w:rFonts w:ascii="Times New Roman" w:eastAsia="宋体" w:hAnsi="Times New Roman" w:cs="Times New Roman" w:hint="eastAsia"/>
          <w:i/>
          <w:iCs/>
          <w:szCs w:val="21"/>
        </w:rPr>
        <w:t>EGFR</w:t>
      </w:r>
      <w:r w:rsidRPr="00690F05">
        <w:rPr>
          <w:rFonts w:ascii="Times New Roman" w:eastAsia="宋体" w:hAnsi="Times New Roman" w:cs="Times New Roman" w:hint="eastAsia"/>
          <w:szCs w:val="21"/>
        </w:rPr>
        <w:t>二次突变、</w:t>
      </w:r>
      <w:r w:rsidRPr="00690F05">
        <w:rPr>
          <w:rFonts w:ascii="Times New Roman" w:eastAsia="宋体" w:hAnsi="Times New Roman" w:cs="Times New Roman" w:hint="eastAsia"/>
          <w:szCs w:val="21"/>
        </w:rPr>
        <w:t>MET/HER2</w:t>
      </w:r>
      <w:r w:rsidRPr="00690F05">
        <w:rPr>
          <w:rFonts w:ascii="Times New Roman" w:eastAsia="宋体" w:hAnsi="Times New Roman" w:cs="Times New Roman" w:hint="eastAsia"/>
          <w:szCs w:val="21"/>
        </w:rPr>
        <w:t>旁路激活、获得性融合、下游通路异常及组织学转化等多种机制，但不同机制的临床转化成熟度存在明显差异。</w:t>
      </w:r>
      <w:r w:rsidR="00E3134D" w:rsidRPr="00E3134D">
        <w:rPr>
          <w:rFonts w:ascii="Times New Roman" w:eastAsia="宋体" w:hAnsi="Times New Roman" w:cs="Times New Roman" w:hint="eastAsia"/>
          <w:szCs w:val="21"/>
        </w:rPr>
        <w:t>目前，</w:t>
      </w:r>
      <w:r w:rsidR="00E3134D" w:rsidRPr="00E3134D">
        <w:rPr>
          <w:rFonts w:ascii="Times New Roman" w:eastAsia="宋体" w:hAnsi="Times New Roman" w:cs="Times New Roman" w:hint="eastAsia"/>
          <w:szCs w:val="21"/>
        </w:rPr>
        <w:t>T790M</w:t>
      </w:r>
      <w:r w:rsidR="00E3134D" w:rsidRPr="00E3134D">
        <w:rPr>
          <w:rFonts w:ascii="Times New Roman" w:eastAsia="宋体" w:hAnsi="Times New Roman" w:cs="Times New Roman" w:hint="eastAsia"/>
          <w:szCs w:val="21"/>
        </w:rPr>
        <w:t>阳性耐药已形成以第三代</w:t>
      </w:r>
      <w:r w:rsidR="00E3134D" w:rsidRPr="00E3134D">
        <w:rPr>
          <w:rFonts w:ascii="Times New Roman" w:eastAsia="宋体" w:hAnsi="Times New Roman" w:cs="Times New Roman" w:hint="eastAsia"/>
          <w:szCs w:val="21"/>
        </w:rPr>
        <w:t>EGFR-TKI</w:t>
      </w:r>
      <w:r w:rsidR="00E3134D" w:rsidRPr="00E3134D">
        <w:rPr>
          <w:rFonts w:ascii="Times New Roman" w:eastAsia="宋体" w:hAnsi="Times New Roman" w:cs="Times New Roman" w:hint="eastAsia"/>
          <w:szCs w:val="21"/>
        </w:rPr>
        <w:t>为核心的序贯治疗模式，</w:t>
      </w:r>
      <w:r w:rsidR="00E3134D" w:rsidRPr="00B802CA">
        <w:rPr>
          <w:rFonts w:ascii="Times New Roman" w:eastAsia="宋体" w:hAnsi="Times New Roman" w:cs="Times New Roman" w:hint="eastAsia"/>
          <w:i/>
          <w:iCs/>
          <w:szCs w:val="21"/>
        </w:rPr>
        <w:t>MET</w:t>
      </w:r>
      <w:r w:rsidR="00E3134D" w:rsidRPr="00E3134D">
        <w:rPr>
          <w:rFonts w:ascii="Times New Roman" w:eastAsia="宋体" w:hAnsi="Times New Roman" w:cs="Times New Roman" w:hint="eastAsia"/>
          <w:szCs w:val="21"/>
        </w:rPr>
        <w:t>扩增耐药中</w:t>
      </w:r>
      <w:r w:rsidR="00E3134D" w:rsidRPr="00E3134D">
        <w:rPr>
          <w:rFonts w:ascii="Times New Roman" w:eastAsia="宋体" w:hAnsi="Times New Roman" w:cs="Times New Roman" w:hint="eastAsia"/>
          <w:szCs w:val="21"/>
        </w:rPr>
        <w:t>EGFR-TKI</w:t>
      </w:r>
      <w:r w:rsidR="00E3134D" w:rsidRPr="00E3134D">
        <w:rPr>
          <w:rFonts w:ascii="Times New Roman" w:eastAsia="宋体" w:hAnsi="Times New Roman" w:cs="Times New Roman" w:hint="eastAsia"/>
          <w:szCs w:val="21"/>
        </w:rPr>
        <w:t>联合</w:t>
      </w:r>
      <w:r w:rsidR="00E3134D" w:rsidRPr="00E3134D">
        <w:rPr>
          <w:rFonts w:ascii="Times New Roman" w:eastAsia="宋体" w:hAnsi="Times New Roman" w:cs="Times New Roman" w:hint="eastAsia"/>
          <w:szCs w:val="21"/>
        </w:rPr>
        <w:t>MET</w:t>
      </w:r>
      <w:r w:rsidR="00E3134D" w:rsidRPr="00E3134D">
        <w:rPr>
          <w:rFonts w:ascii="Times New Roman" w:eastAsia="宋体" w:hAnsi="Times New Roman" w:cs="Times New Roman" w:hint="eastAsia"/>
          <w:szCs w:val="21"/>
        </w:rPr>
        <w:t>抑制剂也显示出较明确的临床价值。相比之下，</w:t>
      </w:r>
      <w:r w:rsidR="00E3134D" w:rsidRPr="00E3134D">
        <w:rPr>
          <w:rFonts w:ascii="Times New Roman" w:eastAsia="宋体" w:hAnsi="Times New Roman" w:cs="Times New Roman" w:hint="eastAsia"/>
          <w:szCs w:val="21"/>
        </w:rPr>
        <w:t>C797S</w:t>
      </w:r>
      <w:r w:rsidR="00E3134D" w:rsidRPr="00E3134D">
        <w:rPr>
          <w:rFonts w:ascii="Times New Roman" w:eastAsia="宋体" w:hAnsi="Times New Roman" w:cs="Times New Roman" w:hint="eastAsia"/>
          <w:szCs w:val="21"/>
        </w:rPr>
        <w:t>、</w:t>
      </w:r>
      <w:r w:rsidR="00E3134D" w:rsidRPr="00B802CA">
        <w:rPr>
          <w:rFonts w:ascii="Times New Roman" w:eastAsia="宋体" w:hAnsi="Times New Roman" w:cs="Times New Roman" w:hint="eastAsia"/>
          <w:i/>
          <w:iCs/>
          <w:szCs w:val="21"/>
        </w:rPr>
        <w:t>HER2</w:t>
      </w:r>
      <w:r w:rsidR="00E3134D" w:rsidRPr="00E3134D">
        <w:rPr>
          <w:rFonts w:ascii="Times New Roman" w:eastAsia="宋体" w:hAnsi="Times New Roman" w:cs="Times New Roman" w:hint="eastAsia"/>
          <w:szCs w:val="21"/>
        </w:rPr>
        <w:t>扩增、</w:t>
      </w:r>
      <w:r w:rsidR="00E3134D" w:rsidRPr="00B802CA">
        <w:rPr>
          <w:rFonts w:ascii="Times New Roman" w:eastAsia="宋体" w:hAnsi="Times New Roman" w:cs="Times New Roman" w:hint="eastAsia"/>
          <w:i/>
          <w:iCs/>
          <w:szCs w:val="21"/>
        </w:rPr>
        <w:t>RET/ALK</w:t>
      </w:r>
      <w:r w:rsidR="00E3134D" w:rsidRPr="00E3134D">
        <w:rPr>
          <w:rFonts w:ascii="Times New Roman" w:eastAsia="宋体" w:hAnsi="Times New Roman" w:cs="Times New Roman" w:hint="eastAsia"/>
          <w:szCs w:val="21"/>
        </w:rPr>
        <w:t>等获得性融合、</w:t>
      </w:r>
      <w:r w:rsidR="00E3134D" w:rsidRPr="00E3134D">
        <w:rPr>
          <w:rFonts w:ascii="Times New Roman" w:eastAsia="宋体" w:hAnsi="Times New Roman" w:cs="Times New Roman" w:hint="eastAsia"/>
          <w:szCs w:val="21"/>
        </w:rPr>
        <w:t>PI3K/AKT/mTOR</w:t>
      </w:r>
      <w:r w:rsidR="00E3134D" w:rsidRPr="00E3134D">
        <w:rPr>
          <w:rFonts w:ascii="Times New Roman" w:eastAsia="宋体" w:hAnsi="Times New Roman" w:cs="Times New Roman" w:hint="eastAsia"/>
          <w:szCs w:val="21"/>
        </w:rPr>
        <w:t>及</w:t>
      </w:r>
      <w:r w:rsidR="00E3134D" w:rsidRPr="00E3134D">
        <w:rPr>
          <w:rFonts w:ascii="Times New Roman" w:eastAsia="宋体" w:hAnsi="Times New Roman" w:cs="Times New Roman" w:hint="eastAsia"/>
          <w:szCs w:val="21"/>
        </w:rPr>
        <w:t>MAPK</w:t>
      </w:r>
      <w:r w:rsidR="00E3134D" w:rsidRPr="00E3134D">
        <w:rPr>
          <w:rFonts w:ascii="Times New Roman" w:eastAsia="宋体" w:hAnsi="Times New Roman" w:cs="Times New Roman" w:hint="eastAsia"/>
          <w:szCs w:val="21"/>
        </w:rPr>
        <w:t>通路异常等亚型仍面临样本量有限、检测标准不统一、共突变背景复杂和缺乏随机对照证据等问题，尚难形成统一标准治疗路径。未来研究应从单纯发现和罗列耐药机制，转向建立动态、标准化、可解释的耐药分子分型体系。重视组织再活检与</w:t>
      </w:r>
      <w:r w:rsidR="00E3134D" w:rsidRPr="00E3134D">
        <w:rPr>
          <w:rFonts w:ascii="Times New Roman" w:eastAsia="宋体" w:hAnsi="Times New Roman" w:cs="Times New Roman" w:hint="eastAsia"/>
          <w:szCs w:val="21"/>
        </w:rPr>
        <w:t>ctDNA</w:t>
      </w:r>
      <w:r w:rsidR="00E3134D" w:rsidRPr="00E3134D">
        <w:rPr>
          <w:rFonts w:ascii="Times New Roman" w:eastAsia="宋体" w:hAnsi="Times New Roman" w:cs="Times New Roman" w:hint="eastAsia"/>
          <w:szCs w:val="21"/>
        </w:rPr>
        <w:t>液体活检的互补应用，规范检测平台、报告阈值和结果解释</w:t>
      </w:r>
      <w:r w:rsidR="006C7966">
        <w:rPr>
          <w:rFonts w:ascii="Times New Roman" w:eastAsia="宋体" w:hAnsi="Times New Roman" w:cs="Times New Roman" w:hint="eastAsia"/>
          <w:szCs w:val="21"/>
        </w:rPr>
        <w:t>，</w:t>
      </w:r>
      <w:r w:rsidR="00E3134D" w:rsidRPr="00E3134D">
        <w:rPr>
          <w:rFonts w:ascii="Times New Roman" w:eastAsia="宋体" w:hAnsi="Times New Roman" w:cs="Times New Roman" w:hint="eastAsia"/>
          <w:szCs w:val="21"/>
        </w:rPr>
        <w:t>结合耐药机制的时空异质性、进展模式和治疗时序，开展机制指导下的前瞻性联合治疗研究，从而推动</w:t>
      </w:r>
      <w:r w:rsidR="00E3134D" w:rsidRPr="00B802CA">
        <w:rPr>
          <w:rFonts w:ascii="Times New Roman" w:eastAsia="宋体" w:hAnsi="Times New Roman" w:cs="Times New Roman" w:hint="eastAsia"/>
          <w:i/>
          <w:iCs/>
          <w:szCs w:val="21"/>
        </w:rPr>
        <w:t>EGFR</w:t>
      </w:r>
      <w:r w:rsidR="00E3134D" w:rsidRPr="00E3134D">
        <w:rPr>
          <w:rFonts w:ascii="Times New Roman" w:eastAsia="宋体" w:hAnsi="Times New Roman" w:cs="Times New Roman" w:hint="eastAsia"/>
          <w:szCs w:val="21"/>
        </w:rPr>
        <w:t>突变</w:t>
      </w:r>
      <w:r w:rsidR="00E3134D" w:rsidRPr="00E3134D">
        <w:rPr>
          <w:rFonts w:ascii="Times New Roman" w:eastAsia="宋体" w:hAnsi="Times New Roman" w:cs="Times New Roman" w:hint="eastAsia"/>
          <w:szCs w:val="21"/>
        </w:rPr>
        <w:t>NSCLC</w:t>
      </w:r>
      <w:r w:rsidR="00E3134D" w:rsidRPr="00E3134D">
        <w:rPr>
          <w:rFonts w:ascii="Times New Roman" w:eastAsia="宋体" w:hAnsi="Times New Roman" w:cs="Times New Roman" w:hint="eastAsia"/>
          <w:szCs w:val="21"/>
        </w:rPr>
        <w:t>耐药后治疗由经验性序贯走向精准分层。</w:t>
      </w:r>
    </w:p>
    <w:p w14:paraId="4021580A" w14:textId="04B24D67" w:rsidR="00CB67A5" w:rsidRDefault="00CB67A5" w:rsidP="00690F05">
      <w:pPr>
        <w:spacing w:line="360" w:lineRule="auto"/>
        <w:ind w:firstLineChars="200" w:firstLine="420"/>
        <w:jc w:val="left"/>
        <w:rPr>
          <w:rFonts w:ascii="宋体" w:eastAsia="宋体" w:hAnsi="宋体" w:hint="eastAsia"/>
          <w:szCs w:val="21"/>
        </w:rPr>
      </w:pPr>
      <w:r>
        <w:rPr>
          <w:rFonts w:ascii="宋体" w:eastAsia="宋体" w:hAnsi="宋体" w:hint="eastAsia"/>
          <w:szCs w:val="21"/>
        </w:rPr>
        <w:t>参考文献</w:t>
      </w:r>
    </w:p>
    <w:p w14:paraId="61DD7D32" w14:textId="76CEFF64" w:rsidR="00627967" w:rsidRPr="00627967" w:rsidRDefault="00C5280A" w:rsidP="00627967">
      <w:pPr>
        <w:pStyle w:val="af1"/>
        <w:rPr>
          <w:rFonts w:hint="eastAsia"/>
        </w:rPr>
      </w:pPr>
      <w:r>
        <w:rPr>
          <w:rFonts w:ascii="宋体" w:eastAsia="宋体" w:hAnsi="宋体" w:hint="eastAsia"/>
          <w:szCs w:val="21"/>
        </w:rPr>
        <w:fldChar w:fldCharType="begin"/>
      </w:r>
      <w:r w:rsidR="00627967">
        <w:rPr>
          <w:rFonts w:ascii="宋体" w:eastAsia="宋体" w:hAnsi="宋体" w:hint="eastAsia"/>
          <w:szCs w:val="21"/>
        </w:rPr>
        <w:instrText xml:space="preserve"> ADDIN ZOTERO_BIBL {"uncited":[],"omitted":[],"custom":[]} CSL_BIBLIOGRAPHY </w:instrText>
      </w:r>
      <w:r>
        <w:rPr>
          <w:rFonts w:ascii="宋体" w:eastAsia="宋体" w:hAnsi="宋体" w:hint="eastAsia"/>
          <w:szCs w:val="21"/>
        </w:rPr>
        <w:fldChar w:fldCharType="separate"/>
      </w:r>
      <w:r w:rsidR="00627967" w:rsidRPr="00627967">
        <w:t>[1]</w:t>
      </w:r>
      <w:r w:rsidR="00627967" w:rsidRPr="00627967">
        <w:tab/>
        <w:t>Bade B C</w:t>
      </w:r>
      <w:r w:rsidR="003071C8">
        <w:rPr>
          <w:rFonts w:hint="eastAsia"/>
        </w:rPr>
        <w:t xml:space="preserve">, </w:t>
      </w:r>
      <w:r w:rsidR="00627967" w:rsidRPr="00627967">
        <w:t xml:space="preserve">Dela Cruz C S. Lung </w:t>
      </w:r>
      <w:r w:rsidR="00900A24">
        <w:rPr>
          <w:rFonts w:hint="eastAsia"/>
        </w:rPr>
        <w:t>c</w:t>
      </w:r>
      <w:r w:rsidR="00627967" w:rsidRPr="00627967">
        <w:t>ancer 2020</w:t>
      </w:r>
      <w:r w:rsidR="004554B0">
        <w:t xml:space="preserve">: </w:t>
      </w:r>
      <w:r w:rsidR="00900A24">
        <w:rPr>
          <w:rFonts w:hint="eastAsia"/>
        </w:rPr>
        <w:t>E</w:t>
      </w:r>
      <w:r w:rsidR="00627967" w:rsidRPr="00627967">
        <w:t xml:space="preserve">pidemiology, </w:t>
      </w:r>
      <w:r w:rsidR="00900A24">
        <w:rPr>
          <w:rFonts w:hint="eastAsia"/>
        </w:rPr>
        <w:t>e</w:t>
      </w:r>
      <w:r w:rsidR="00627967" w:rsidRPr="00627967">
        <w:t xml:space="preserve">tiology, and </w:t>
      </w:r>
      <w:r w:rsidR="00900A24">
        <w:rPr>
          <w:rFonts w:hint="eastAsia"/>
        </w:rPr>
        <w:t>p</w:t>
      </w:r>
      <w:r w:rsidR="00627967" w:rsidRPr="00627967">
        <w:t xml:space="preserve">revention[J]. </w:t>
      </w:r>
      <w:r w:rsidR="003071C8" w:rsidRPr="003071C8">
        <w:rPr>
          <w:rFonts w:hint="eastAsia"/>
        </w:rPr>
        <w:t>Clin Chest Med</w:t>
      </w:r>
      <w:r w:rsidR="00F23B36">
        <w:rPr>
          <w:rFonts w:hint="eastAsia"/>
        </w:rPr>
        <w:t xml:space="preserve">, </w:t>
      </w:r>
      <w:r w:rsidR="00627967" w:rsidRPr="00627967">
        <w:t>2020</w:t>
      </w:r>
      <w:r w:rsidR="00F23B36">
        <w:rPr>
          <w:rFonts w:hint="eastAsia"/>
        </w:rPr>
        <w:t xml:space="preserve">, </w:t>
      </w:r>
      <w:r w:rsidR="00627967" w:rsidRPr="00627967">
        <w:t>41</w:t>
      </w:r>
      <w:r w:rsidR="00F23B36">
        <w:rPr>
          <w:rFonts w:hint="eastAsia"/>
        </w:rPr>
        <w:t xml:space="preserve"> (1)</w:t>
      </w:r>
      <w:r w:rsidR="004554B0">
        <w:rPr>
          <w:rFonts w:hint="eastAsia"/>
        </w:rPr>
        <w:t xml:space="preserve">: </w:t>
      </w:r>
      <w:r w:rsidR="00627967" w:rsidRPr="00627967">
        <w:t>1-24.</w:t>
      </w:r>
    </w:p>
    <w:p w14:paraId="0918C162" w14:textId="7E28A4D9" w:rsidR="00627967" w:rsidRPr="00627967" w:rsidRDefault="00627967" w:rsidP="00627967">
      <w:pPr>
        <w:pStyle w:val="af1"/>
        <w:rPr>
          <w:rFonts w:hint="eastAsia"/>
        </w:rPr>
      </w:pPr>
      <w:r w:rsidRPr="00627967">
        <w:t>[2]</w:t>
      </w:r>
      <w:r w:rsidRPr="00627967">
        <w:tab/>
        <w:t>Li Y</w:t>
      </w:r>
      <w:r w:rsidR="003071C8">
        <w:rPr>
          <w:rFonts w:hint="eastAsia"/>
        </w:rPr>
        <w:t xml:space="preserve">, </w:t>
      </w:r>
      <w:r w:rsidRPr="00627967">
        <w:t>Xue J</w:t>
      </w:r>
      <w:r w:rsidR="003071C8">
        <w:rPr>
          <w:rFonts w:hint="eastAsia"/>
        </w:rPr>
        <w:t xml:space="preserve">, </w:t>
      </w:r>
      <w:r w:rsidRPr="00627967">
        <w:t>Zhang L. New advances in lung cancer treatment</w:t>
      </w:r>
      <w:r w:rsidR="004554B0">
        <w:t xml:space="preserve">: </w:t>
      </w:r>
      <w:r w:rsidRPr="00627967">
        <w:t xml:space="preserve">Efficacy, safety, and future research directions[J]. </w:t>
      </w:r>
      <w:r w:rsidR="003071C8" w:rsidRPr="003071C8">
        <w:rPr>
          <w:rFonts w:hint="eastAsia"/>
        </w:rPr>
        <w:t>Cancer Pathog Ther</w:t>
      </w:r>
      <w:r w:rsidR="003071C8">
        <w:rPr>
          <w:rFonts w:hint="eastAsia"/>
        </w:rPr>
        <w:t xml:space="preserve">, </w:t>
      </w:r>
      <w:r w:rsidRPr="00627967">
        <w:t>2024</w:t>
      </w:r>
      <w:r w:rsidR="003071C8">
        <w:rPr>
          <w:rFonts w:hint="eastAsia"/>
        </w:rPr>
        <w:t xml:space="preserve">, </w:t>
      </w:r>
      <w:r w:rsidRPr="00627967">
        <w:t>3</w:t>
      </w:r>
      <w:r w:rsidR="002F356C">
        <w:rPr>
          <w:rFonts w:hint="eastAsia"/>
        </w:rPr>
        <w:t>(3)</w:t>
      </w:r>
      <w:r w:rsidR="004554B0">
        <w:rPr>
          <w:rFonts w:hint="eastAsia"/>
        </w:rPr>
        <w:t xml:space="preserve">: </w:t>
      </w:r>
      <w:r w:rsidRPr="00627967">
        <w:t>181-182.</w:t>
      </w:r>
    </w:p>
    <w:p w14:paraId="15BF7464" w14:textId="382BEA18" w:rsidR="00627967" w:rsidRPr="00627967" w:rsidRDefault="00627967" w:rsidP="00627967">
      <w:pPr>
        <w:pStyle w:val="af1"/>
        <w:rPr>
          <w:rFonts w:hint="eastAsia"/>
        </w:rPr>
      </w:pPr>
      <w:r w:rsidRPr="00627967">
        <w:lastRenderedPageBreak/>
        <w:t>[3]</w:t>
      </w:r>
      <w:r w:rsidRPr="00627967">
        <w:tab/>
        <w:t>Singh S</w:t>
      </w:r>
      <w:r w:rsidR="003071C8">
        <w:rPr>
          <w:rFonts w:hint="eastAsia"/>
        </w:rPr>
        <w:t xml:space="preserve">, </w:t>
      </w:r>
      <w:r w:rsidRPr="00627967">
        <w:t>Sadhukhan S</w:t>
      </w:r>
      <w:r w:rsidR="003071C8">
        <w:rPr>
          <w:rFonts w:hint="eastAsia"/>
        </w:rPr>
        <w:t xml:space="preserve">, </w:t>
      </w:r>
      <w:r w:rsidRPr="00627967">
        <w:t>Sonawane A.</w:t>
      </w:r>
      <w:r w:rsidR="004554B0">
        <w:rPr>
          <w:rFonts w:hint="eastAsia"/>
        </w:rPr>
        <w:t xml:space="preserve"> </w:t>
      </w:r>
      <w:r w:rsidRPr="00627967">
        <w:t>20 years since the approval of first EGFR-TKI, gefitinib</w:t>
      </w:r>
      <w:r w:rsidR="004554B0">
        <w:t xml:space="preserve">: </w:t>
      </w:r>
      <w:r w:rsidRPr="00627967">
        <w:t xml:space="preserve">Insight and foresight[J]. </w:t>
      </w:r>
      <w:r w:rsidR="003071C8" w:rsidRPr="003071C8">
        <w:rPr>
          <w:rFonts w:hint="eastAsia"/>
        </w:rPr>
        <w:t>Biochim Biophys Acta Rev Cancer</w:t>
      </w:r>
      <w:r w:rsidR="002F356C">
        <w:rPr>
          <w:rFonts w:hint="eastAsia"/>
        </w:rPr>
        <w:t xml:space="preserve">, </w:t>
      </w:r>
      <w:r w:rsidRPr="00627967">
        <w:t>2023</w:t>
      </w:r>
      <w:r w:rsidR="002F356C">
        <w:rPr>
          <w:rFonts w:hint="eastAsia"/>
        </w:rPr>
        <w:t xml:space="preserve">, </w:t>
      </w:r>
      <w:r w:rsidRPr="00627967">
        <w:t>1878</w:t>
      </w:r>
      <w:r w:rsidR="003B79C8">
        <w:rPr>
          <w:rFonts w:hint="eastAsia"/>
        </w:rPr>
        <w:t>(6)</w:t>
      </w:r>
      <w:r w:rsidR="004554B0">
        <w:rPr>
          <w:rFonts w:hint="eastAsia"/>
        </w:rPr>
        <w:t xml:space="preserve">: </w:t>
      </w:r>
      <w:r w:rsidR="003B79C8">
        <w:rPr>
          <w:rFonts w:hint="eastAsia"/>
        </w:rPr>
        <w:t xml:space="preserve"> </w:t>
      </w:r>
      <w:r w:rsidRPr="00627967">
        <w:t>188967.</w:t>
      </w:r>
    </w:p>
    <w:p w14:paraId="6CE0E51C" w14:textId="258654B6" w:rsidR="00627967" w:rsidRPr="00627967" w:rsidRDefault="00627967" w:rsidP="00627967">
      <w:pPr>
        <w:pStyle w:val="af1"/>
        <w:rPr>
          <w:rFonts w:hint="eastAsia"/>
        </w:rPr>
      </w:pPr>
      <w:r w:rsidRPr="00627967">
        <w:t>[4]</w:t>
      </w:r>
      <w:r w:rsidRPr="00627967">
        <w:tab/>
        <w:t>Duggirala K B</w:t>
      </w:r>
      <w:r w:rsidR="003071C8">
        <w:rPr>
          <w:rFonts w:hint="eastAsia"/>
        </w:rPr>
        <w:t xml:space="preserve">, </w:t>
      </w:r>
      <w:r w:rsidRPr="00627967">
        <w:t>Lee Y</w:t>
      </w:r>
      <w:r w:rsidR="003071C8">
        <w:rPr>
          <w:rFonts w:hint="eastAsia"/>
        </w:rPr>
        <w:t xml:space="preserve">, </w:t>
      </w:r>
      <w:r w:rsidRPr="00627967">
        <w:t xml:space="preserve">Lee K. Chronicles of EGFR </w:t>
      </w:r>
      <w:r w:rsidR="00900A24">
        <w:rPr>
          <w:rFonts w:hint="eastAsia"/>
        </w:rPr>
        <w:t>t</w:t>
      </w:r>
      <w:r w:rsidRPr="00627967">
        <w:t xml:space="preserve">yrosine </w:t>
      </w:r>
      <w:r w:rsidR="00900A24">
        <w:rPr>
          <w:rFonts w:hint="eastAsia"/>
        </w:rPr>
        <w:t>k</w:t>
      </w:r>
      <w:r w:rsidRPr="00627967">
        <w:t xml:space="preserve">inase </w:t>
      </w:r>
      <w:r w:rsidR="00900A24">
        <w:rPr>
          <w:rFonts w:hint="eastAsia"/>
        </w:rPr>
        <w:t>i</w:t>
      </w:r>
      <w:r w:rsidRPr="00627967">
        <w:t>nhibitors</w:t>
      </w:r>
      <w:r w:rsidR="004554B0">
        <w:t xml:space="preserve">: </w:t>
      </w:r>
      <w:r w:rsidR="00900A24">
        <w:rPr>
          <w:rFonts w:hint="eastAsia"/>
        </w:rPr>
        <w:t>T</w:t>
      </w:r>
      <w:r w:rsidRPr="00627967">
        <w:t xml:space="preserve">argeting EGFR C797S </w:t>
      </w:r>
      <w:r w:rsidR="00900A24">
        <w:rPr>
          <w:rFonts w:hint="eastAsia"/>
        </w:rPr>
        <w:t>c</w:t>
      </w:r>
      <w:r w:rsidRPr="00627967">
        <w:t xml:space="preserve">ontaining </w:t>
      </w:r>
      <w:r w:rsidR="00900A24">
        <w:rPr>
          <w:rFonts w:hint="eastAsia"/>
        </w:rPr>
        <w:t>t</w:t>
      </w:r>
      <w:r w:rsidRPr="00627967">
        <w:t xml:space="preserve">riple </w:t>
      </w:r>
      <w:r w:rsidR="00900A24">
        <w:rPr>
          <w:rFonts w:hint="eastAsia"/>
        </w:rPr>
        <w:t>m</w:t>
      </w:r>
      <w:r w:rsidRPr="00627967">
        <w:t xml:space="preserve">utations[J]. </w:t>
      </w:r>
      <w:r w:rsidR="003071C8" w:rsidRPr="003071C8">
        <w:rPr>
          <w:rFonts w:hint="eastAsia"/>
        </w:rPr>
        <w:t>Biomol Ther (Seoul)</w:t>
      </w:r>
      <w:r w:rsidR="003071C8">
        <w:rPr>
          <w:rFonts w:hint="eastAsia"/>
        </w:rPr>
        <w:t xml:space="preserve">, </w:t>
      </w:r>
      <w:r w:rsidRPr="00627967">
        <w:t>2022</w:t>
      </w:r>
      <w:r w:rsidR="003071C8">
        <w:rPr>
          <w:rFonts w:hint="eastAsia"/>
        </w:rPr>
        <w:t xml:space="preserve">, </w:t>
      </w:r>
      <w:r w:rsidRPr="00627967">
        <w:t>30</w:t>
      </w:r>
      <w:r w:rsidR="003B79C8">
        <w:rPr>
          <w:rFonts w:hint="eastAsia"/>
        </w:rPr>
        <w:t>(1)</w:t>
      </w:r>
      <w:r w:rsidR="004554B0">
        <w:rPr>
          <w:rFonts w:hint="eastAsia"/>
        </w:rPr>
        <w:t xml:space="preserve">: </w:t>
      </w:r>
      <w:r w:rsidRPr="00627967">
        <w:t>19-27.</w:t>
      </w:r>
    </w:p>
    <w:p w14:paraId="0AC259A3" w14:textId="55277214" w:rsidR="00627967" w:rsidRPr="00627967" w:rsidRDefault="00627967" w:rsidP="00627967">
      <w:pPr>
        <w:pStyle w:val="af1"/>
        <w:rPr>
          <w:rFonts w:hint="eastAsia"/>
        </w:rPr>
      </w:pPr>
      <w:r w:rsidRPr="00627967">
        <w:t>[5]</w:t>
      </w:r>
      <w:r w:rsidRPr="00627967">
        <w:tab/>
        <w:t>Leonetti A</w:t>
      </w:r>
      <w:r w:rsidR="003071C8">
        <w:rPr>
          <w:rFonts w:hint="eastAsia"/>
        </w:rPr>
        <w:t xml:space="preserve">, </w:t>
      </w:r>
      <w:r w:rsidRPr="00627967">
        <w:t>Sharma S</w:t>
      </w:r>
      <w:r w:rsidR="003071C8">
        <w:rPr>
          <w:rFonts w:hint="eastAsia"/>
        </w:rPr>
        <w:t xml:space="preserve">, </w:t>
      </w:r>
      <w:r w:rsidRPr="00627967">
        <w:t>Minari R</w:t>
      </w:r>
      <w:r w:rsidR="003071C8">
        <w:rPr>
          <w:rFonts w:hint="eastAsia"/>
        </w:rPr>
        <w:t xml:space="preserve">, </w:t>
      </w:r>
      <w:r w:rsidRPr="00627967">
        <w:t xml:space="preserve">et al. Resistance mechanisms to osimertinib in EGFR-mutated non-small cell lung cancer[J]. </w:t>
      </w:r>
      <w:r w:rsidR="003071C8" w:rsidRPr="003071C8">
        <w:rPr>
          <w:rFonts w:hint="eastAsia"/>
        </w:rPr>
        <w:t>Br J Cancer</w:t>
      </w:r>
      <w:r w:rsidR="003B79C8">
        <w:rPr>
          <w:rFonts w:hint="eastAsia"/>
        </w:rPr>
        <w:t xml:space="preserve">, </w:t>
      </w:r>
      <w:r w:rsidRPr="00627967">
        <w:t>2019</w:t>
      </w:r>
      <w:r w:rsidR="003B79C8">
        <w:rPr>
          <w:rFonts w:hint="eastAsia"/>
        </w:rPr>
        <w:t xml:space="preserve">, </w:t>
      </w:r>
      <w:r w:rsidRPr="00627967">
        <w:t>121</w:t>
      </w:r>
      <w:r w:rsidR="003B79C8">
        <w:rPr>
          <w:rFonts w:hint="eastAsia"/>
        </w:rPr>
        <w:t>(9)</w:t>
      </w:r>
      <w:r w:rsidR="004554B0">
        <w:rPr>
          <w:rFonts w:hint="eastAsia"/>
        </w:rPr>
        <w:t xml:space="preserve">: </w:t>
      </w:r>
      <w:r w:rsidRPr="00627967">
        <w:t>725-737.</w:t>
      </w:r>
    </w:p>
    <w:p w14:paraId="5CF57C6F" w14:textId="3290479A" w:rsidR="00627967" w:rsidRPr="00627967" w:rsidRDefault="00627967" w:rsidP="00627967">
      <w:pPr>
        <w:pStyle w:val="af1"/>
        <w:rPr>
          <w:rFonts w:hint="eastAsia"/>
        </w:rPr>
      </w:pPr>
      <w:r w:rsidRPr="00627967">
        <w:t>[6]</w:t>
      </w:r>
      <w:r w:rsidRPr="00627967">
        <w:tab/>
        <w:t>Jackman D，Pao W，Riely G J，</w:t>
      </w:r>
      <w:r w:rsidR="00685A5C" w:rsidRPr="00627967">
        <w:t>et al</w:t>
      </w:r>
      <w:r w:rsidRPr="00627967">
        <w:t xml:space="preserve">. Clinical definition of acquired resistance to epidermal growth factor receptor tyrosine kinase inhibitors in non-small-cell lung cancer[J]. </w:t>
      </w:r>
      <w:r w:rsidR="003071C8" w:rsidRPr="003071C8">
        <w:rPr>
          <w:rFonts w:hint="eastAsia"/>
        </w:rPr>
        <w:t>J Clin Oncol</w:t>
      </w:r>
      <w:r w:rsidR="003071C8">
        <w:rPr>
          <w:rFonts w:hint="eastAsia"/>
        </w:rPr>
        <w:t xml:space="preserve">, </w:t>
      </w:r>
      <w:r w:rsidRPr="00627967">
        <w:t>2010</w:t>
      </w:r>
      <w:r w:rsidR="003071C8">
        <w:rPr>
          <w:rFonts w:hint="eastAsia"/>
        </w:rPr>
        <w:t xml:space="preserve">, </w:t>
      </w:r>
      <w:r w:rsidRPr="00627967">
        <w:t>28</w:t>
      </w:r>
      <w:r w:rsidR="003B79C8">
        <w:rPr>
          <w:rFonts w:hint="eastAsia"/>
        </w:rPr>
        <w:t>(2)</w:t>
      </w:r>
      <w:r w:rsidR="004554B0">
        <w:rPr>
          <w:rFonts w:hint="eastAsia"/>
        </w:rPr>
        <w:t xml:space="preserve">: </w:t>
      </w:r>
      <w:r w:rsidRPr="00627967">
        <w:t>357-360.</w:t>
      </w:r>
    </w:p>
    <w:p w14:paraId="50B38D55" w14:textId="1A446701" w:rsidR="00627967" w:rsidRPr="00627967" w:rsidRDefault="00627967" w:rsidP="00627967">
      <w:pPr>
        <w:pStyle w:val="af1"/>
        <w:rPr>
          <w:rFonts w:hint="eastAsia"/>
        </w:rPr>
      </w:pPr>
      <w:r w:rsidRPr="00627967">
        <w:t>[7]</w:t>
      </w:r>
      <w:r w:rsidRPr="00627967">
        <w:tab/>
        <w:t>Passaro A</w:t>
      </w:r>
      <w:r w:rsidR="003071C8">
        <w:rPr>
          <w:rFonts w:hint="eastAsia"/>
        </w:rPr>
        <w:t xml:space="preserve">, </w:t>
      </w:r>
      <w:r w:rsidRPr="00627967">
        <w:t>Leighl N</w:t>
      </w:r>
      <w:r w:rsidR="003071C8">
        <w:rPr>
          <w:rFonts w:hint="eastAsia"/>
        </w:rPr>
        <w:t xml:space="preserve">, </w:t>
      </w:r>
      <w:r w:rsidRPr="00627967">
        <w:t>Blackhall F</w:t>
      </w:r>
      <w:r w:rsidR="003071C8">
        <w:rPr>
          <w:rFonts w:hint="eastAsia"/>
        </w:rPr>
        <w:t xml:space="preserve">, </w:t>
      </w:r>
      <w:r w:rsidR="00685A5C" w:rsidRPr="00627967">
        <w:t>et al</w:t>
      </w:r>
      <w:r w:rsidRPr="00627967">
        <w:t xml:space="preserve">. ESMO expert consensus statements on the management of EGFR mutant non-small-cell lung cancer[J]. </w:t>
      </w:r>
      <w:r w:rsidR="003071C8" w:rsidRPr="003071C8">
        <w:rPr>
          <w:rFonts w:hint="eastAsia"/>
        </w:rPr>
        <w:t>Ann Oncol</w:t>
      </w:r>
      <w:r w:rsidR="003B79C8">
        <w:rPr>
          <w:rFonts w:hint="eastAsia"/>
        </w:rPr>
        <w:t xml:space="preserve">, </w:t>
      </w:r>
      <w:r w:rsidRPr="00627967">
        <w:t>2022</w:t>
      </w:r>
      <w:r w:rsidR="003B79C8">
        <w:rPr>
          <w:rFonts w:hint="eastAsia"/>
        </w:rPr>
        <w:t xml:space="preserve">, </w:t>
      </w:r>
      <w:r w:rsidRPr="00627967">
        <w:t>33</w:t>
      </w:r>
      <w:r w:rsidR="003B79C8">
        <w:rPr>
          <w:rFonts w:hint="eastAsia"/>
        </w:rPr>
        <w:t>(5)</w:t>
      </w:r>
      <w:r w:rsidR="004554B0">
        <w:rPr>
          <w:rFonts w:hint="eastAsia"/>
        </w:rPr>
        <w:t xml:space="preserve">: </w:t>
      </w:r>
      <w:r w:rsidR="003B79C8">
        <w:rPr>
          <w:rFonts w:hint="eastAsia"/>
        </w:rPr>
        <w:t xml:space="preserve"> </w:t>
      </w:r>
      <w:r w:rsidRPr="00627967">
        <w:t>466-487.</w:t>
      </w:r>
    </w:p>
    <w:p w14:paraId="1341DC02" w14:textId="52B279E9" w:rsidR="00627967" w:rsidRPr="00627967" w:rsidRDefault="00627967" w:rsidP="00627967">
      <w:pPr>
        <w:pStyle w:val="af1"/>
        <w:rPr>
          <w:rFonts w:hint="eastAsia"/>
        </w:rPr>
      </w:pPr>
      <w:r w:rsidRPr="00627967">
        <w:t>[8]</w:t>
      </w:r>
      <w:r w:rsidRPr="00627967">
        <w:tab/>
        <w:t>Chmielecki J</w:t>
      </w:r>
      <w:r w:rsidR="003071C8">
        <w:rPr>
          <w:rFonts w:hint="eastAsia"/>
        </w:rPr>
        <w:t xml:space="preserve">, </w:t>
      </w:r>
      <w:r w:rsidRPr="00627967">
        <w:t>Gray J E</w:t>
      </w:r>
      <w:r w:rsidR="003071C8">
        <w:rPr>
          <w:rFonts w:hint="eastAsia"/>
        </w:rPr>
        <w:t xml:space="preserve">, </w:t>
      </w:r>
      <w:r w:rsidRPr="00627967">
        <w:t>Cheng Y</w:t>
      </w:r>
      <w:r w:rsidR="003071C8">
        <w:rPr>
          <w:rFonts w:hint="eastAsia"/>
        </w:rPr>
        <w:t xml:space="preserve">, </w:t>
      </w:r>
      <w:r w:rsidRPr="00627967">
        <w:t xml:space="preserve">et al. Candidate mechanisms of acquired resistance to first-line osimertinib in EGFR-mutated advanced non-small cell lung cancer[J]. </w:t>
      </w:r>
      <w:r w:rsidR="003071C8" w:rsidRPr="003071C8">
        <w:rPr>
          <w:rFonts w:hint="eastAsia"/>
        </w:rPr>
        <w:t>Nat Commun</w:t>
      </w:r>
      <w:r w:rsidR="003071C8">
        <w:rPr>
          <w:rFonts w:hint="eastAsia"/>
        </w:rPr>
        <w:t xml:space="preserve">, </w:t>
      </w:r>
      <w:r w:rsidRPr="00627967">
        <w:t>2023</w:t>
      </w:r>
      <w:r w:rsidR="003071C8">
        <w:rPr>
          <w:rFonts w:hint="eastAsia"/>
        </w:rPr>
        <w:t xml:space="preserve">, </w:t>
      </w:r>
      <w:r w:rsidRPr="00627967">
        <w:t>14</w:t>
      </w:r>
      <w:r w:rsidR="003B79C8">
        <w:rPr>
          <w:rFonts w:hint="eastAsia"/>
        </w:rPr>
        <w:t>(1)</w:t>
      </w:r>
      <w:r w:rsidR="004554B0">
        <w:rPr>
          <w:rFonts w:hint="eastAsia"/>
        </w:rPr>
        <w:t xml:space="preserve">: </w:t>
      </w:r>
      <w:r w:rsidRPr="00627967">
        <w:t>1070.</w:t>
      </w:r>
    </w:p>
    <w:p w14:paraId="60A2024E" w14:textId="04579F3F" w:rsidR="00627967" w:rsidRPr="00627967" w:rsidRDefault="00627967" w:rsidP="00627967">
      <w:pPr>
        <w:pStyle w:val="af1"/>
        <w:rPr>
          <w:rFonts w:hint="eastAsia"/>
        </w:rPr>
      </w:pPr>
      <w:r w:rsidRPr="00627967">
        <w:t>[9]</w:t>
      </w:r>
      <w:r w:rsidRPr="00627967">
        <w:tab/>
        <w:t>Wu Y-L</w:t>
      </w:r>
      <w:r w:rsidR="003071C8">
        <w:rPr>
          <w:rFonts w:hint="eastAsia"/>
        </w:rPr>
        <w:t xml:space="preserve">, </w:t>
      </w:r>
      <w:r w:rsidRPr="00627967">
        <w:t>Guarneri V</w:t>
      </w:r>
      <w:r w:rsidR="003071C8">
        <w:rPr>
          <w:rFonts w:hint="eastAsia"/>
        </w:rPr>
        <w:t xml:space="preserve">, </w:t>
      </w:r>
      <w:r w:rsidRPr="00627967">
        <w:t>Voon P J</w:t>
      </w:r>
      <w:r w:rsidR="003071C8">
        <w:rPr>
          <w:rFonts w:hint="eastAsia"/>
        </w:rPr>
        <w:t xml:space="preserve">, </w:t>
      </w:r>
      <w:r w:rsidR="00685A5C" w:rsidRPr="00627967">
        <w:t>et al</w:t>
      </w:r>
      <w:r w:rsidRPr="00627967">
        <w:t>. Tepotinib plus osimertinib in patients with EGFR-mutated non-small-cell lung cancer with MET amplification following progression on first-line osimertinib (INSIGHT 2)</w:t>
      </w:r>
      <w:r w:rsidR="004554B0">
        <w:t xml:space="preserve">: </w:t>
      </w:r>
      <w:r w:rsidRPr="00627967">
        <w:t xml:space="preserve">a multicentre, open-label, phase 2 trial[J]. </w:t>
      </w:r>
      <w:r w:rsidR="003071C8" w:rsidRPr="003071C8">
        <w:rPr>
          <w:rFonts w:hint="eastAsia"/>
        </w:rPr>
        <w:t>Lancet Oncol</w:t>
      </w:r>
      <w:r w:rsidR="003071C8">
        <w:rPr>
          <w:rFonts w:hint="eastAsia"/>
        </w:rPr>
        <w:t xml:space="preserve">, </w:t>
      </w:r>
      <w:r w:rsidRPr="00627967">
        <w:t>2024</w:t>
      </w:r>
      <w:r w:rsidR="003071C8">
        <w:rPr>
          <w:rFonts w:hint="eastAsia"/>
        </w:rPr>
        <w:t xml:space="preserve">, </w:t>
      </w:r>
      <w:r w:rsidRPr="00627967">
        <w:t>25</w:t>
      </w:r>
      <w:r w:rsidR="003B79C8">
        <w:rPr>
          <w:rFonts w:hint="eastAsia"/>
        </w:rPr>
        <w:t>(8)</w:t>
      </w:r>
      <w:r w:rsidR="004554B0">
        <w:rPr>
          <w:rFonts w:hint="eastAsia"/>
        </w:rPr>
        <w:t xml:space="preserve">: </w:t>
      </w:r>
      <w:r w:rsidRPr="00627967">
        <w:t>989-1002.</w:t>
      </w:r>
    </w:p>
    <w:p w14:paraId="423F5269" w14:textId="3084EEEE" w:rsidR="00627967" w:rsidRPr="00627967" w:rsidRDefault="00627967" w:rsidP="00627967">
      <w:pPr>
        <w:pStyle w:val="af1"/>
        <w:rPr>
          <w:rFonts w:hint="eastAsia"/>
        </w:rPr>
      </w:pPr>
      <w:r w:rsidRPr="00627967">
        <w:t>[10]</w:t>
      </w:r>
      <w:r w:rsidRPr="00627967">
        <w:tab/>
        <w:t>Hartmaier R J</w:t>
      </w:r>
      <w:r w:rsidR="003071C8">
        <w:rPr>
          <w:rFonts w:hint="eastAsia"/>
        </w:rPr>
        <w:t xml:space="preserve">, </w:t>
      </w:r>
      <w:r w:rsidRPr="00627967">
        <w:t>Markovets A A</w:t>
      </w:r>
      <w:r w:rsidR="003071C8">
        <w:rPr>
          <w:rFonts w:hint="eastAsia"/>
        </w:rPr>
        <w:t xml:space="preserve">, </w:t>
      </w:r>
      <w:r w:rsidRPr="00627967">
        <w:t>Ahn M J</w:t>
      </w:r>
      <w:r w:rsidR="003071C8">
        <w:rPr>
          <w:rFonts w:hint="eastAsia"/>
        </w:rPr>
        <w:t xml:space="preserve">, </w:t>
      </w:r>
      <w:r w:rsidR="00685A5C" w:rsidRPr="00627967">
        <w:t>et al</w:t>
      </w:r>
      <w:r w:rsidRPr="00627967">
        <w:t xml:space="preserve">. Osimertinib + Savolitinib to </w:t>
      </w:r>
      <w:r w:rsidR="00900A24">
        <w:rPr>
          <w:rFonts w:hint="eastAsia"/>
        </w:rPr>
        <w:t>o</w:t>
      </w:r>
      <w:r w:rsidRPr="00627967">
        <w:t xml:space="preserve">vercome </w:t>
      </w:r>
      <w:r w:rsidR="00900A24">
        <w:rPr>
          <w:rFonts w:hint="eastAsia"/>
        </w:rPr>
        <w:t>a</w:t>
      </w:r>
      <w:r w:rsidRPr="00627967">
        <w:t xml:space="preserve">cquired MET-Mediated </w:t>
      </w:r>
      <w:r w:rsidR="001831BB">
        <w:rPr>
          <w:rFonts w:hint="eastAsia"/>
        </w:rPr>
        <w:t>r</w:t>
      </w:r>
      <w:r w:rsidRPr="00627967">
        <w:t xml:space="preserve">esistance in </w:t>
      </w:r>
      <w:r w:rsidR="001831BB">
        <w:rPr>
          <w:rFonts w:hint="eastAsia"/>
        </w:rPr>
        <w:t>e</w:t>
      </w:r>
      <w:r w:rsidRPr="00627967">
        <w:t xml:space="preserve">pidermal </w:t>
      </w:r>
      <w:r w:rsidR="001831BB">
        <w:rPr>
          <w:rFonts w:hint="eastAsia"/>
        </w:rPr>
        <w:t>g</w:t>
      </w:r>
      <w:r w:rsidRPr="00627967">
        <w:t xml:space="preserve">rowth </w:t>
      </w:r>
      <w:r w:rsidR="001831BB">
        <w:rPr>
          <w:rFonts w:hint="eastAsia"/>
        </w:rPr>
        <w:t>f</w:t>
      </w:r>
      <w:r w:rsidRPr="00627967">
        <w:t xml:space="preserve">actor Receptor-Mutated, MET-Amplified </w:t>
      </w:r>
      <w:r w:rsidR="00900A24">
        <w:rPr>
          <w:rFonts w:hint="eastAsia"/>
        </w:rPr>
        <w:t>n</w:t>
      </w:r>
      <w:r w:rsidRPr="00627967">
        <w:t>on-</w:t>
      </w:r>
      <w:r w:rsidR="00900A24">
        <w:rPr>
          <w:rFonts w:hint="eastAsia"/>
        </w:rPr>
        <w:t>s</w:t>
      </w:r>
      <w:r w:rsidRPr="00627967">
        <w:t xml:space="preserve">mall </w:t>
      </w:r>
      <w:r w:rsidR="00900A24">
        <w:rPr>
          <w:rFonts w:hint="eastAsia"/>
        </w:rPr>
        <w:t>c</w:t>
      </w:r>
      <w:r w:rsidRPr="00627967">
        <w:t xml:space="preserve">ell </w:t>
      </w:r>
      <w:r w:rsidR="00900A24">
        <w:rPr>
          <w:rFonts w:hint="eastAsia"/>
        </w:rPr>
        <w:t>l</w:t>
      </w:r>
      <w:r w:rsidRPr="00627967">
        <w:t xml:space="preserve">ung </w:t>
      </w:r>
      <w:r w:rsidR="00900A24">
        <w:rPr>
          <w:rFonts w:hint="eastAsia"/>
        </w:rPr>
        <w:t>c</w:t>
      </w:r>
      <w:r w:rsidRPr="00627967">
        <w:t>ancer</w:t>
      </w:r>
      <w:r w:rsidR="004554B0">
        <w:t xml:space="preserve">: </w:t>
      </w:r>
      <w:r w:rsidRPr="00627967">
        <w:t xml:space="preserve">TATTON[J]. </w:t>
      </w:r>
      <w:r w:rsidR="003071C8" w:rsidRPr="003071C8">
        <w:rPr>
          <w:rFonts w:hint="eastAsia"/>
        </w:rPr>
        <w:t>Cancer Discov</w:t>
      </w:r>
      <w:r w:rsidRPr="00627967">
        <w:t>，2023，13</w:t>
      </w:r>
      <w:r w:rsidR="004554B0">
        <w:t>(</w:t>
      </w:r>
      <w:r w:rsidRPr="00627967">
        <w:t>1</w:t>
      </w:r>
      <w:r w:rsidR="004554B0">
        <w:t xml:space="preserve">): </w:t>
      </w:r>
      <w:r w:rsidRPr="00627967">
        <w:t>98-113.</w:t>
      </w:r>
    </w:p>
    <w:p w14:paraId="12496B73" w14:textId="56CB6773" w:rsidR="00627967" w:rsidRPr="00627967" w:rsidRDefault="00627967" w:rsidP="00627967">
      <w:pPr>
        <w:pStyle w:val="af1"/>
        <w:rPr>
          <w:rFonts w:hint="eastAsia"/>
        </w:rPr>
      </w:pPr>
      <w:r w:rsidRPr="00627967">
        <w:t>[11]</w:t>
      </w:r>
      <w:r w:rsidRPr="00627967">
        <w:tab/>
        <w:t>de Marinis F，Kim T M，Bonanno L，</w:t>
      </w:r>
      <w:r w:rsidR="00685A5C" w:rsidRPr="00627967">
        <w:t>et al</w:t>
      </w:r>
      <w:r w:rsidRPr="00627967">
        <w:t>. Savolitinib plus osimertinib in epidermal growth factor receptor (EGFR)-mutated advanced non-small cell lung cancer with MET overexpression and/or amplification following disease progression on osimertinib</w:t>
      </w:r>
      <w:r w:rsidR="004554B0">
        <w:t xml:space="preserve">: </w:t>
      </w:r>
      <w:r w:rsidRPr="00627967">
        <w:t xml:space="preserve"> primary results from the phase II SAVANNAH study[J]. </w:t>
      </w:r>
      <w:r w:rsidR="003071C8" w:rsidRPr="003071C8">
        <w:rPr>
          <w:rFonts w:hint="eastAsia"/>
        </w:rPr>
        <w:t>Ann Oncol</w:t>
      </w:r>
      <w:r w:rsidR="003071C8">
        <w:rPr>
          <w:rFonts w:hint="eastAsia"/>
        </w:rPr>
        <w:t xml:space="preserve">, </w:t>
      </w:r>
      <w:r w:rsidRPr="00627967">
        <w:t>2025</w:t>
      </w:r>
      <w:r w:rsidR="003071C8">
        <w:rPr>
          <w:rFonts w:hint="eastAsia"/>
        </w:rPr>
        <w:t xml:space="preserve">, </w:t>
      </w:r>
      <w:r w:rsidRPr="00627967">
        <w:t>36</w:t>
      </w:r>
      <w:r w:rsidR="004554B0">
        <w:t>(</w:t>
      </w:r>
      <w:r w:rsidRPr="00627967">
        <w:t>8</w:t>
      </w:r>
      <w:r w:rsidR="004554B0">
        <w:t xml:space="preserve">): </w:t>
      </w:r>
      <w:r w:rsidRPr="00627967">
        <w:t>920-933.</w:t>
      </w:r>
    </w:p>
    <w:p w14:paraId="25ABE46F" w14:textId="07C07D1A" w:rsidR="00627967" w:rsidRPr="00627967" w:rsidRDefault="00627967" w:rsidP="00627967">
      <w:pPr>
        <w:pStyle w:val="af1"/>
        <w:rPr>
          <w:rFonts w:hint="eastAsia"/>
        </w:rPr>
      </w:pPr>
      <w:r w:rsidRPr="00627967">
        <w:t>[12]</w:t>
      </w:r>
      <w:r w:rsidRPr="00627967">
        <w:tab/>
        <w:t>Lu S</w:t>
      </w:r>
      <w:r w:rsidR="0055347A">
        <w:rPr>
          <w:rFonts w:hint="eastAsia"/>
        </w:rPr>
        <w:t xml:space="preserve">, </w:t>
      </w:r>
      <w:r w:rsidRPr="00627967">
        <w:t>Wang J</w:t>
      </w:r>
      <w:r w:rsidR="0055347A">
        <w:rPr>
          <w:rFonts w:hint="eastAsia"/>
        </w:rPr>
        <w:t xml:space="preserve">, </w:t>
      </w:r>
      <w:r w:rsidRPr="00627967">
        <w:t>Yang N</w:t>
      </w:r>
      <w:r w:rsidR="0055347A">
        <w:rPr>
          <w:rFonts w:hint="eastAsia"/>
        </w:rPr>
        <w:t xml:space="preserve">, </w:t>
      </w:r>
      <w:r w:rsidR="00685A5C" w:rsidRPr="00627967">
        <w:t>et al</w:t>
      </w:r>
      <w:r w:rsidRPr="00627967">
        <w:t>. Savolitinib plus osimertinib versus chemotherapy for advanced, EGFR mutation-positive, MET-amplified non-small-cell lung cancer in China (SACHI)</w:t>
      </w:r>
      <w:r w:rsidR="004554B0">
        <w:t xml:space="preserve">: </w:t>
      </w:r>
      <w:r w:rsidRPr="00627967">
        <w:t>interim analysis of a multicentre, open-label, phase 3 randomised controlled trial[J]. Lancet</w:t>
      </w:r>
      <w:r w:rsidR="0055347A">
        <w:rPr>
          <w:rFonts w:hint="eastAsia"/>
        </w:rPr>
        <w:t xml:space="preserve">, </w:t>
      </w:r>
      <w:r w:rsidRPr="00627967">
        <w:t>2026</w:t>
      </w:r>
      <w:r w:rsidR="0055347A">
        <w:rPr>
          <w:rFonts w:hint="eastAsia"/>
        </w:rPr>
        <w:t xml:space="preserve">, </w:t>
      </w:r>
      <w:r w:rsidRPr="00627967">
        <w:t>407</w:t>
      </w:r>
      <w:r w:rsidR="004554B0">
        <w:t>(</w:t>
      </w:r>
      <w:r w:rsidRPr="00627967">
        <w:t>10526</w:t>
      </w:r>
      <w:r w:rsidR="004554B0">
        <w:t xml:space="preserve">): </w:t>
      </w:r>
      <w:r w:rsidRPr="00627967">
        <w:t>375-387.</w:t>
      </w:r>
    </w:p>
    <w:p w14:paraId="4E673F01" w14:textId="78E87BA4" w:rsidR="00627967" w:rsidRPr="00627967" w:rsidRDefault="00627967" w:rsidP="00627967">
      <w:pPr>
        <w:pStyle w:val="af1"/>
        <w:rPr>
          <w:rFonts w:hint="eastAsia"/>
        </w:rPr>
      </w:pPr>
      <w:r w:rsidRPr="00627967">
        <w:t>[13]</w:t>
      </w:r>
      <w:r w:rsidRPr="00627967">
        <w:tab/>
        <w:t>Passaro A</w:t>
      </w:r>
      <w:r w:rsidR="0055347A">
        <w:rPr>
          <w:rFonts w:hint="eastAsia"/>
        </w:rPr>
        <w:t xml:space="preserve">, </w:t>
      </w:r>
      <w:r w:rsidRPr="00627967">
        <w:t>Wang J</w:t>
      </w:r>
      <w:r w:rsidR="0055347A">
        <w:rPr>
          <w:rFonts w:hint="eastAsia"/>
        </w:rPr>
        <w:t xml:space="preserve">, </w:t>
      </w:r>
      <w:r w:rsidRPr="00627967">
        <w:t>Wang Y</w:t>
      </w:r>
      <w:r w:rsidR="0055347A">
        <w:rPr>
          <w:rFonts w:hint="eastAsia"/>
        </w:rPr>
        <w:t xml:space="preserve">, </w:t>
      </w:r>
      <w:r w:rsidR="00685A5C" w:rsidRPr="00627967">
        <w:t>et al</w:t>
      </w:r>
      <w:r w:rsidRPr="00627967">
        <w:t>. Amivantamab plus chemotherapy with and without lazertinib in EGFR-mutant advanced NSCLC after disease progression on osimertinib</w:t>
      </w:r>
      <w:r w:rsidR="004554B0">
        <w:t xml:space="preserve">: </w:t>
      </w:r>
      <w:r w:rsidRPr="00627967">
        <w:t xml:space="preserve"> primary results from the phase III MARIPOSA-2 study[J]. </w:t>
      </w:r>
      <w:r w:rsidR="0055347A" w:rsidRPr="0055347A">
        <w:rPr>
          <w:rFonts w:hint="eastAsia"/>
        </w:rPr>
        <w:t>Ann Oncol</w:t>
      </w:r>
      <w:r w:rsidR="0055347A">
        <w:rPr>
          <w:rFonts w:hint="eastAsia"/>
        </w:rPr>
        <w:t xml:space="preserve">, </w:t>
      </w:r>
      <w:r w:rsidRPr="00627967">
        <w:t>2024</w:t>
      </w:r>
      <w:r w:rsidR="0055347A">
        <w:rPr>
          <w:rFonts w:hint="eastAsia"/>
        </w:rPr>
        <w:t xml:space="preserve">, </w:t>
      </w:r>
      <w:r w:rsidRPr="00627967">
        <w:t>35</w:t>
      </w:r>
      <w:r w:rsidR="004554B0">
        <w:t>(</w:t>
      </w:r>
      <w:r w:rsidRPr="00627967">
        <w:t>1</w:t>
      </w:r>
      <w:r w:rsidR="004554B0">
        <w:t xml:space="preserve">): </w:t>
      </w:r>
      <w:r w:rsidRPr="00627967">
        <w:t>77-90.</w:t>
      </w:r>
    </w:p>
    <w:p w14:paraId="69E8EA8B" w14:textId="620923AE" w:rsidR="00627967" w:rsidRPr="00627967" w:rsidRDefault="00627967" w:rsidP="00627967">
      <w:pPr>
        <w:pStyle w:val="af1"/>
        <w:rPr>
          <w:rFonts w:hint="eastAsia"/>
        </w:rPr>
      </w:pPr>
      <w:r w:rsidRPr="00627967">
        <w:t>[14]</w:t>
      </w:r>
      <w:r w:rsidRPr="00627967">
        <w:tab/>
        <w:t>Horinouchi H</w:t>
      </w:r>
      <w:r w:rsidR="0055347A">
        <w:rPr>
          <w:rFonts w:hint="eastAsia"/>
        </w:rPr>
        <w:t xml:space="preserve">, </w:t>
      </w:r>
      <w:r w:rsidRPr="00627967">
        <w:t>Cho B C</w:t>
      </w:r>
      <w:r w:rsidR="0055347A">
        <w:rPr>
          <w:rFonts w:hint="eastAsia"/>
        </w:rPr>
        <w:t xml:space="preserve">, </w:t>
      </w:r>
      <w:r w:rsidRPr="00627967">
        <w:t>Camidge D R</w:t>
      </w:r>
      <w:r w:rsidR="0055347A">
        <w:rPr>
          <w:rFonts w:hint="eastAsia"/>
        </w:rPr>
        <w:t xml:space="preserve">, </w:t>
      </w:r>
      <w:r w:rsidR="00685A5C" w:rsidRPr="00627967">
        <w:t>et al</w:t>
      </w:r>
      <w:r w:rsidRPr="00627967">
        <w:t xml:space="preserve">. Results from a phase Ib study of telisotuzumab vedotin in combination with osimertinib in patients with c-Met protein-overexpressing, EGFR-mutated locally advanced/metastatic non-small-cell lung cancer (NSCLC) after progression on prior osimertinib[J]. </w:t>
      </w:r>
      <w:r w:rsidR="0055347A" w:rsidRPr="0055347A">
        <w:rPr>
          <w:rFonts w:hint="eastAsia"/>
        </w:rPr>
        <w:t>Ann Oncol</w:t>
      </w:r>
      <w:r w:rsidR="0055347A">
        <w:rPr>
          <w:rFonts w:hint="eastAsia"/>
        </w:rPr>
        <w:t xml:space="preserve">, </w:t>
      </w:r>
      <w:r w:rsidRPr="00627967">
        <w:t>2025</w:t>
      </w:r>
      <w:r w:rsidR="0055347A">
        <w:rPr>
          <w:rFonts w:hint="eastAsia"/>
        </w:rPr>
        <w:t xml:space="preserve">, </w:t>
      </w:r>
      <w:r w:rsidRPr="00627967">
        <w:t>36</w:t>
      </w:r>
      <w:r w:rsidR="004554B0">
        <w:t>(</w:t>
      </w:r>
      <w:r w:rsidRPr="00627967">
        <w:t>5</w:t>
      </w:r>
      <w:r w:rsidR="004554B0">
        <w:t xml:space="preserve">): </w:t>
      </w:r>
      <w:r w:rsidRPr="00627967">
        <w:t>583-591.</w:t>
      </w:r>
    </w:p>
    <w:p w14:paraId="277AC6E4" w14:textId="2188A0B7" w:rsidR="00627967" w:rsidRPr="00627967" w:rsidRDefault="00627967" w:rsidP="00627967">
      <w:pPr>
        <w:pStyle w:val="af1"/>
        <w:rPr>
          <w:rFonts w:hint="eastAsia"/>
        </w:rPr>
      </w:pPr>
      <w:r w:rsidRPr="00627967">
        <w:t>[15]</w:t>
      </w:r>
      <w:r w:rsidRPr="00627967">
        <w:tab/>
        <w:t>Gan J</w:t>
      </w:r>
      <w:r w:rsidR="0055347A">
        <w:rPr>
          <w:rFonts w:hint="eastAsia"/>
        </w:rPr>
        <w:t xml:space="preserve">, </w:t>
      </w:r>
      <w:r w:rsidRPr="00627967">
        <w:t>Huang Y</w:t>
      </w:r>
      <w:r w:rsidR="0055347A">
        <w:rPr>
          <w:rFonts w:hint="eastAsia"/>
        </w:rPr>
        <w:t xml:space="preserve">, </w:t>
      </w:r>
      <w:r w:rsidRPr="00627967">
        <w:t>Liao J</w:t>
      </w:r>
      <w:r w:rsidR="0055347A">
        <w:rPr>
          <w:rFonts w:hint="eastAsia"/>
        </w:rPr>
        <w:t xml:space="preserve">, </w:t>
      </w:r>
      <w:r w:rsidR="00685A5C" w:rsidRPr="00627967">
        <w:t>et al</w:t>
      </w:r>
      <w:r w:rsidRPr="00627967">
        <w:t xml:space="preserve">. HER2 </w:t>
      </w:r>
      <w:r w:rsidR="001831BB">
        <w:rPr>
          <w:rFonts w:hint="eastAsia"/>
        </w:rPr>
        <w:t>a</w:t>
      </w:r>
      <w:r w:rsidRPr="00627967">
        <w:t xml:space="preserve">mplification in </w:t>
      </w:r>
      <w:r w:rsidR="001831BB">
        <w:rPr>
          <w:rFonts w:hint="eastAsia"/>
        </w:rPr>
        <w:t>a</w:t>
      </w:r>
      <w:r w:rsidRPr="00627967">
        <w:t xml:space="preserve">dvanced NSCLC </w:t>
      </w:r>
      <w:r w:rsidR="001831BB">
        <w:rPr>
          <w:rFonts w:hint="eastAsia"/>
        </w:rPr>
        <w:t>p</w:t>
      </w:r>
      <w:r w:rsidRPr="00627967">
        <w:t xml:space="preserve">atients </w:t>
      </w:r>
      <w:r w:rsidR="001831BB">
        <w:rPr>
          <w:rFonts w:hint="eastAsia"/>
        </w:rPr>
        <w:t>a</w:t>
      </w:r>
      <w:r w:rsidRPr="00627967">
        <w:t xml:space="preserve">fter </w:t>
      </w:r>
      <w:r w:rsidR="001831BB">
        <w:rPr>
          <w:rFonts w:hint="eastAsia"/>
        </w:rPr>
        <w:t>p</w:t>
      </w:r>
      <w:r w:rsidRPr="00627967">
        <w:t xml:space="preserve">rogression on EGFR-TKI and </w:t>
      </w:r>
      <w:r w:rsidR="001831BB">
        <w:rPr>
          <w:rFonts w:hint="eastAsia"/>
        </w:rPr>
        <w:t>c</w:t>
      </w:r>
      <w:r w:rsidRPr="00627967">
        <w:t xml:space="preserve">linical </w:t>
      </w:r>
      <w:r w:rsidR="001831BB">
        <w:rPr>
          <w:rFonts w:hint="eastAsia"/>
        </w:rPr>
        <w:t>r</w:t>
      </w:r>
      <w:r w:rsidRPr="00627967">
        <w:t xml:space="preserve">esponse to EGFR-TKI </w:t>
      </w:r>
      <w:r w:rsidR="001831BB">
        <w:rPr>
          <w:rFonts w:hint="eastAsia"/>
        </w:rPr>
        <w:t>p</w:t>
      </w:r>
      <w:r w:rsidRPr="00627967">
        <w:t xml:space="preserve">lus </w:t>
      </w:r>
      <w:r w:rsidR="001831BB">
        <w:rPr>
          <w:rFonts w:hint="eastAsia"/>
        </w:rPr>
        <w:t>p</w:t>
      </w:r>
      <w:r w:rsidRPr="00627967">
        <w:t xml:space="preserve">yrotinib </w:t>
      </w:r>
      <w:r w:rsidR="001831BB">
        <w:rPr>
          <w:rFonts w:hint="eastAsia"/>
        </w:rPr>
        <w:t>c</w:t>
      </w:r>
      <w:r w:rsidRPr="00627967">
        <w:t xml:space="preserve">ombination </w:t>
      </w:r>
      <w:r w:rsidR="001831BB">
        <w:rPr>
          <w:rFonts w:hint="eastAsia"/>
        </w:rPr>
        <w:t>t</w:t>
      </w:r>
      <w:r w:rsidRPr="00627967">
        <w:t xml:space="preserve">herapy[J]. </w:t>
      </w:r>
      <w:r w:rsidR="0055347A" w:rsidRPr="0055347A">
        <w:rPr>
          <w:rFonts w:hint="eastAsia"/>
        </w:rPr>
        <w:t>Onco Targets Ther</w:t>
      </w:r>
      <w:r w:rsidR="0055347A">
        <w:rPr>
          <w:rFonts w:hint="eastAsia"/>
        </w:rPr>
        <w:t xml:space="preserve">. </w:t>
      </w:r>
      <w:r w:rsidRPr="00627967">
        <w:t>2021</w:t>
      </w:r>
      <w:r w:rsidR="0055347A">
        <w:rPr>
          <w:rFonts w:hint="eastAsia"/>
        </w:rPr>
        <w:t xml:space="preserve">, </w:t>
      </w:r>
      <w:r w:rsidRPr="00627967">
        <w:t>14</w:t>
      </w:r>
      <w:r w:rsidR="004554B0">
        <w:t xml:space="preserve">: </w:t>
      </w:r>
      <w:r w:rsidRPr="00627967">
        <w:t>5297-5307.</w:t>
      </w:r>
    </w:p>
    <w:p w14:paraId="2C2CDDFD" w14:textId="7E8C14E0" w:rsidR="00627967" w:rsidRPr="00627967" w:rsidRDefault="00627967" w:rsidP="00627967">
      <w:pPr>
        <w:pStyle w:val="af1"/>
        <w:rPr>
          <w:rFonts w:hint="eastAsia"/>
        </w:rPr>
      </w:pPr>
      <w:r w:rsidRPr="00627967">
        <w:t>[16]</w:t>
      </w:r>
      <w:r w:rsidRPr="00627967">
        <w:tab/>
        <w:t>Takezawa K</w:t>
      </w:r>
      <w:r w:rsidR="0055347A">
        <w:rPr>
          <w:rFonts w:hint="eastAsia"/>
        </w:rPr>
        <w:t xml:space="preserve">, </w:t>
      </w:r>
      <w:r w:rsidRPr="00627967">
        <w:t>Pirazzoli V</w:t>
      </w:r>
      <w:r w:rsidR="0055347A">
        <w:rPr>
          <w:rFonts w:hint="eastAsia"/>
        </w:rPr>
        <w:t xml:space="preserve">, </w:t>
      </w:r>
      <w:r w:rsidRPr="00627967">
        <w:t>Arcila M E</w:t>
      </w:r>
      <w:r w:rsidR="0055347A">
        <w:rPr>
          <w:rFonts w:hint="eastAsia"/>
        </w:rPr>
        <w:t xml:space="preserve">, </w:t>
      </w:r>
      <w:r w:rsidR="00685A5C" w:rsidRPr="00627967">
        <w:t>et al</w:t>
      </w:r>
      <w:r w:rsidRPr="00627967">
        <w:t>. HER2 amplification</w:t>
      </w:r>
      <w:r w:rsidR="004554B0">
        <w:t xml:space="preserve">: </w:t>
      </w:r>
      <w:r w:rsidRPr="00627967">
        <w:t xml:space="preserve">a potential mechanism of acquired resistance to EGFR inhibition in EGFR mutant lung cancers that lack the </w:t>
      </w:r>
      <w:r w:rsidRPr="00627967">
        <w:lastRenderedPageBreak/>
        <w:t xml:space="preserve">second-site EGFR T790M mutation[J]. </w:t>
      </w:r>
      <w:r w:rsidR="0055347A" w:rsidRPr="0055347A">
        <w:rPr>
          <w:rFonts w:hint="eastAsia"/>
        </w:rPr>
        <w:t>Cancer Discov</w:t>
      </w:r>
      <w:r w:rsidR="0055347A">
        <w:rPr>
          <w:rFonts w:hint="eastAsia"/>
        </w:rPr>
        <w:t xml:space="preserve">, </w:t>
      </w:r>
      <w:r w:rsidRPr="00627967">
        <w:t>2012</w:t>
      </w:r>
      <w:r w:rsidR="0055347A">
        <w:rPr>
          <w:rFonts w:hint="eastAsia"/>
        </w:rPr>
        <w:t xml:space="preserve">, </w:t>
      </w:r>
      <w:r w:rsidRPr="00627967">
        <w:t>2</w:t>
      </w:r>
      <w:r w:rsidR="004554B0">
        <w:t>(</w:t>
      </w:r>
      <w:r w:rsidRPr="00627967">
        <w:t>10</w:t>
      </w:r>
      <w:r w:rsidR="004554B0">
        <w:t xml:space="preserve">): </w:t>
      </w:r>
      <w:r w:rsidRPr="00627967">
        <w:t>922-933.</w:t>
      </w:r>
    </w:p>
    <w:p w14:paraId="504CFF7C" w14:textId="75C29E33" w:rsidR="00627967" w:rsidRPr="00627967" w:rsidRDefault="00627967" w:rsidP="00627967">
      <w:pPr>
        <w:pStyle w:val="af1"/>
        <w:rPr>
          <w:rFonts w:hint="eastAsia"/>
        </w:rPr>
      </w:pPr>
      <w:r w:rsidRPr="00627967">
        <w:t>[17]</w:t>
      </w:r>
      <w:r w:rsidRPr="00627967">
        <w:tab/>
        <w:t>Song Z</w:t>
      </w:r>
      <w:r w:rsidR="0055347A">
        <w:rPr>
          <w:rFonts w:hint="eastAsia"/>
        </w:rPr>
        <w:t xml:space="preserve">, </w:t>
      </w:r>
      <w:r w:rsidRPr="00627967">
        <w:t>Lv D</w:t>
      </w:r>
      <w:r w:rsidR="0055347A">
        <w:rPr>
          <w:rFonts w:hint="eastAsia"/>
        </w:rPr>
        <w:t xml:space="preserve">, </w:t>
      </w:r>
      <w:r w:rsidRPr="00627967">
        <w:t>Chen S-Q</w:t>
      </w:r>
      <w:r w:rsidR="0055347A">
        <w:rPr>
          <w:rFonts w:hint="eastAsia"/>
        </w:rPr>
        <w:t xml:space="preserve">, </w:t>
      </w:r>
      <w:r w:rsidR="00685A5C" w:rsidRPr="00627967">
        <w:t>et al</w:t>
      </w:r>
      <w:r w:rsidRPr="00627967">
        <w:t xml:space="preserve">. Pyrotinib in </w:t>
      </w:r>
      <w:r w:rsidR="001831BB">
        <w:rPr>
          <w:rFonts w:hint="eastAsia"/>
        </w:rPr>
        <w:t>p</w:t>
      </w:r>
      <w:r w:rsidRPr="00627967">
        <w:t xml:space="preserve">atients with HER2-Amplified </w:t>
      </w:r>
      <w:r w:rsidR="001831BB">
        <w:rPr>
          <w:rFonts w:hint="eastAsia"/>
        </w:rPr>
        <w:t>a</w:t>
      </w:r>
      <w:r w:rsidRPr="00627967">
        <w:t xml:space="preserve">dvanced </w:t>
      </w:r>
      <w:r w:rsidR="001831BB">
        <w:rPr>
          <w:rFonts w:hint="eastAsia"/>
        </w:rPr>
        <w:t>n</w:t>
      </w:r>
      <w:r w:rsidRPr="00627967">
        <w:t>on-</w:t>
      </w:r>
      <w:r w:rsidR="001831BB">
        <w:rPr>
          <w:rFonts w:hint="eastAsia"/>
        </w:rPr>
        <w:t>s</w:t>
      </w:r>
      <w:r w:rsidRPr="00627967">
        <w:t xml:space="preserve">mall </w:t>
      </w:r>
      <w:r w:rsidR="001831BB">
        <w:rPr>
          <w:rFonts w:hint="eastAsia"/>
        </w:rPr>
        <w:t>c</w:t>
      </w:r>
      <w:r w:rsidRPr="00627967">
        <w:t xml:space="preserve">ell </w:t>
      </w:r>
      <w:r w:rsidR="001831BB">
        <w:rPr>
          <w:rFonts w:hint="eastAsia"/>
        </w:rPr>
        <w:t>l</w:t>
      </w:r>
      <w:r w:rsidRPr="00627967">
        <w:t xml:space="preserve">ung </w:t>
      </w:r>
      <w:r w:rsidR="001831BB">
        <w:rPr>
          <w:rFonts w:hint="eastAsia"/>
        </w:rPr>
        <w:t>c</w:t>
      </w:r>
      <w:r w:rsidRPr="00627967">
        <w:t>ancer</w:t>
      </w:r>
      <w:r w:rsidR="004554B0">
        <w:t xml:space="preserve">: </w:t>
      </w:r>
      <w:r w:rsidRPr="00627967">
        <w:t xml:space="preserve">A </w:t>
      </w:r>
      <w:r w:rsidR="001831BB">
        <w:rPr>
          <w:rFonts w:hint="eastAsia"/>
        </w:rPr>
        <w:t>p</w:t>
      </w:r>
      <w:r w:rsidRPr="00627967">
        <w:t xml:space="preserve">rospective, </w:t>
      </w:r>
      <w:r w:rsidR="001831BB">
        <w:rPr>
          <w:rFonts w:hint="eastAsia"/>
        </w:rPr>
        <w:t>m</w:t>
      </w:r>
      <w:r w:rsidRPr="00627967">
        <w:t xml:space="preserve">ulticenter, </w:t>
      </w:r>
      <w:r w:rsidR="001831BB">
        <w:rPr>
          <w:rFonts w:hint="eastAsia"/>
        </w:rPr>
        <w:t>s</w:t>
      </w:r>
      <w:r w:rsidRPr="00627967">
        <w:t>ingle-</w:t>
      </w:r>
      <w:r w:rsidR="001831BB">
        <w:rPr>
          <w:rFonts w:hint="eastAsia"/>
        </w:rPr>
        <w:t>a</w:t>
      </w:r>
      <w:r w:rsidRPr="00627967">
        <w:t xml:space="preserve">rm </w:t>
      </w:r>
      <w:r w:rsidR="001831BB">
        <w:rPr>
          <w:rFonts w:hint="eastAsia"/>
        </w:rPr>
        <w:t>t</w:t>
      </w:r>
      <w:r w:rsidRPr="00627967">
        <w:t>rial[J].</w:t>
      </w:r>
      <w:r w:rsidR="0055347A" w:rsidRPr="0055347A">
        <w:rPr>
          <w:rFonts w:hint="eastAsia"/>
        </w:rPr>
        <w:t xml:space="preserve"> </w:t>
      </w:r>
      <w:r w:rsidR="00085A59" w:rsidRPr="00085A59">
        <w:rPr>
          <w:rFonts w:hint="eastAsia"/>
        </w:rPr>
        <w:t>Clin Cancer Res</w:t>
      </w:r>
      <w:r w:rsidR="0055347A">
        <w:rPr>
          <w:rFonts w:hint="eastAsia"/>
        </w:rPr>
        <w:t xml:space="preserve">, </w:t>
      </w:r>
      <w:r w:rsidRPr="00627967">
        <w:t>2022</w:t>
      </w:r>
      <w:r w:rsidR="0055347A">
        <w:rPr>
          <w:rFonts w:hint="eastAsia"/>
        </w:rPr>
        <w:t xml:space="preserve">, </w:t>
      </w:r>
      <w:r w:rsidRPr="00627967">
        <w:t>28</w:t>
      </w:r>
      <w:r w:rsidR="004554B0">
        <w:t>(</w:t>
      </w:r>
      <w:r w:rsidRPr="00627967">
        <w:t>3</w:t>
      </w:r>
      <w:r w:rsidR="004554B0">
        <w:t xml:space="preserve">): </w:t>
      </w:r>
      <w:r w:rsidRPr="00627967">
        <w:t>461-467.</w:t>
      </w:r>
    </w:p>
    <w:p w14:paraId="34F22A50" w14:textId="04EBC06E" w:rsidR="00627967" w:rsidRPr="00627967" w:rsidRDefault="00627967" w:rsidP="00627967">
      <w:pPr>
        <w:pStyle w:val="af1"/>
        <w:rPr>
          <w:rFonts w:hint="eastAsia"/>
        </w:rPr>
      </w:pPr>
      <w:r w:rsidRPr="00627967">
        <w:t>[18]</w:t>
      </w:r>
      <w:r w:rsidRPr="00627967">
        <w:tab/>
        <w:t>Yu H A</w:t>
      </w:r>
      <w:r w:rsidR="0055347A">
        <w:rPr>
          <w:rFonts w:hint="eastAsia"/>
        </w:rPr>
        <w:t xml:space="preserve">, </w:t>
      </w:r>
      <w:r w:rsidRPr="00627967">
        <w:t>Arcila M E</w:t>
      </w:r>
      <w:r w:rsidR="0055347A">
        <w:rPr>
          <w:rFonts w:hint="eastAsia"/>
        </w:rPr>
        <w:t xml:space="preserve">, </w:t>
      </w:r>
      <w:r w:rsidRPr="00627967">
        <w:t>Rekhtman N</w:t>
      </w:r>
      <w:r w:rsidR="0055347A">
        <w:rPr>
          <w:rFonts w:hint="eastAsia"/>
        </w:rPr>
        <w:t xml:space="preserve">, </w:t>
      </w:r>
      <w:r w:rsidR="00685A5C" w:rsidRPr="00627967">
        <w:t>et al</w:t>
      </w:r>
      <w:r w:rsidRPr="00627967">
        <w:t xml:space="preserve">. Analysis of </w:t>
      </w:r>
      <w:r w:rsidR="001831BB">
        <w:rPr>
          <w:rFonts w:hint="eastAsia"/>
        </w:rPr>
        <w:t>t</w:t>
      </w:r>
      <w:r w:rsidRPr="00627967">
        <w:t xml:space="preserve">umor </w:t>
      </w:r>
      <w:r w:rsidR="001831BB">
        <w:rPr>
          <w:rFonts w:hint="eastAsia"/>
        </w:rPr>
        <w:t>s</w:t>
      </w:r>
      <w:r w:rsidRPr="00627967">
        <w:t xml:space="preserve">pecimens at the </w:t>
      </w:r>
      <w:r w:rsidR="001831BB">
        <w:rPr>
          <w:rFonts w:hint="eastAsia"/>
        </w:rPr>
        <w:t>t</w:t>
      </w:r>
      <w:r w:rsidRPr="00627967">
        <w:t xml:space="preserve">ime of </w:t>
      </w:r>
      <w:r w:rsidR="001831BB">
        <w:rPr>
          <w:rFonts w:hint="eastAsia"/>
        </w:rPr>
        <w:t>a</w:t>
      </w:r>
      <w:r w:rsidRPr="00627967">
        <w:t xml:space="preserve">cquired </w:t>
      </w:r>
      <w:r w:rsidR="001831BB">
        <w:rPr>
          <w:rFonts w:hint="eastAsia"/>
        </w:rPr>
        <w:t>r</w:t>
      </w:r>
      <w:r w:rsidRPr="00627967">
        <w:t xml:space="preserve">esistance to EGFR TKI therapy in 155 patients with EGFR mutant </w:t>
      </w:r>
      <w:r w:rsidR="001831BB">
        <w:rPr>
          <w:rFonts w:hint="eastAsia"/>
        </w:rPr>
        <w:t>l</w:t>
      </w:r>
      <w:r w:rsidRPr="00627967">
        <w:t xml:space="preserve">ung </w:t>
      </w:r>
      <w:r w:rsidR="001831BB">
        <w:rPr>
          <w:rFonts w:hint="eastAsia"/>
        </w:rPr>
        <w:t>c</w:t>
      </w:r>
      <w:r w:rsidRPr="00627967">
        <w:t xml:space="preserve">ancers[J]. </w:t>
      </w:r>
      <w:r w:rsidR="0055347A" w:rsidRPr="0055347A">
        <w:rPr>
          <w:rFonts w:hint="eastAsia"/>
        </w:rPr>
        <w:t>Clin Cancer Res</w:t>
      </w:r>
      <w:r w:rsidR="0055347A">
        <w:rPr>
          <w:rFonts w:hint="eastAsia"/>
        </w:rPr>
        <w:t xml:space="preserve">, </w:t>
      </w:r>
      <w:r w:rsidRPr="00627967">
        <w:t>2013</w:t>
      </w:r>
      <w:r w:rsidR="0055347A">
        <w:rPr>
          <w:rFonts w:hint="eastAsia"/>
        </w:rPr>
        <w:t xml:space="preserve">, </w:t>
      </w:r>
      <w:r w:rsidRPr="00627967">
        <w:t>19</w:t>
      </w:r>
      <w:r w:rsidR="004554B0">
        <w:t>(</w:t>
      </w:r>
      <w:r w:rsidRPr="00627967">
        <w:t>8</w:t>
      </w:r>
      <w:r w:rsidR="004554B0">
        <w:t xml:space="preserve">): </w:t>
      </w:r>
      <w:r w:rsidRPr="00627967">
        <w:t>2240-2247.</w:t>
      </w:r>
    </w:p>
    <w:p w14:paraId="494E18FA" w14:textId="1423169F" w:rsidR="00627967" w:rsidRPr="00627967" w:rsidRDefault="00627967" w:rsidP="00627967">
      <w:pPr>
        <w:pStyle w:val="af1"/>
        <w:rPr>
          <w:rFonts w:hint="eastAsia"/>
        </w:rPr>
      </w:pPr>
      <w:r w:rsidRPr="00627967">
        <w:t>[19]</w:t>
      </w:r>
      <w:r w:rsidRPr="00627967">
        <w:tab/>
        <w:t>Sequist L V，Waltman B A，Dias-Santagata D，</w:t>
      </w:r>
      <w:r w:rsidR="00685A5C" w:rsidRPr="00627967">
        <w:t>et al</w:t>
      </w:r>
      <w:r w:rsidRPr="00627967">
        <w:t xml:space="preserve">. Genotypic and </w:t>
      </w:r>
      <w:r w:rsidR="001831BB">
        <w:rPr>
          <w:rFonts w:hint="eastAsia"/>
        </w:rPr>
        <w:t>h</w:t>
      </w:r>
      <w:r w:rsidRPr="00627967">
        <w:t xml:space="preserve">istological </w:t>
      </w:r>
      <w:r w:rsidR="001831BB">
        <w:rPr>
          <w:rFonts w:hint="eastAsia"/>
        </w:rPr>
        <w:t>e</w:t>
      </w:r>
      <w:r w:rsidRPr="00627967">
        <w:t xml:space="preserve">volution of </w:t>
      </w:r>
      <w:r w:rsidR="001831BB">
        <w:rPr>
          <w:rFonts w:hint="eastAsia"/>
        </w:rPr>
        <w:t>l</w:t>
      </w:r>
      <w:r w:rsidRPr="00627967">
        <w:t xml:space="preserve">ung </w:t>
      </w:r>
      <w:r w:rsidR="001831BB">
        <w:rPr>
          <w:rFonts w:hint="eastAsia"/>
        </w:rPr>
        <w:t>c</w:t>
      </w:r>
      <w:r w:rsidRPr="00627967">
        <w:t xml:space="preserve">ancers </w:t>
      </w:r>
      <w:r w:rsidR="001831BB">
        <w:rPr>
          <w:rFonts w:hint="eastAsia"/>
        </w:rPr>
        <w:t>a</w:t>
      </w:r>
      <w:r w:rsidRPr="00627967">
        <w:t xml:space="preserve">cquiring </w:t>
      </w:r>
      <w:r w:rsidR="001831BB">
        <w:rPr>
          <w:rFonts w:hint="eastAsia"/>
        </w:rPr>
        <w:t>r</w:t>
      </w:r>
      <w:r w:rsidRPr="00627967">
        <w:t xml:space="preserve">esistance to EGFR </w:t>
      </w:r>
      <w:r w:rsidR="001831BB">
        <w:rPr>
          <w:rFonts w:hint="eastAsia"/>
        </w:rPr>
        <w:t>i</w:t>
      </w:r>
      <w:r w:rsidRPr="00627967">
        <w:t>nhibitors[J].</w:t>
      </w:r>
      <w:r w:rsidR="0055347A" w:rsidRPr="0055347A">
        <w:rPr>
          <w:rFonts w:hint="eastAsia"/>
        </w:rPr>
        <w:t xml:space="preserve"> Sci Transl Med</w:t>
      </w:r>
      <w:r w:rsidR="0055347A">
        <w:rPr>
          <w:rFonts w:hint="eastAsia"/>
        </w:rPr>
        <w:t xml:space="preserve">, </w:t>
      </w:r>
      <w:r w:rsidRPr="00627967">
        <w:t>2011</w:t>
      </w:r>
      <w:r w:rsidR="004554B0">
        <w:rPr>
          <w:rFonts w:hint="eastAsia"/>
        </w:rPr>
        <w:t xml:space="preserve">, </w:t>
      </w:r>
      <w:r w:rsidRPr="00627967">
        <w:t>3</w:t>
      </w:r>
      <w:r w:rsidR="004554B0">
        <w:t>(</w:t>
      </w:r>
      <w:r w:rsidRPr="00627967">
        <w:t>75</w:t>
      </w:r>
      <w:r w:rsidR="004554B0">
        <w:t xml:space="preserve">): </w:t>
      </w:r>
      <w:r w:rsidRPr="00627967">
        <w:t>75ra26.</w:t>
      </w:r>
    </w:p>
    <w:p w14:paraId="54210776" w14:textId="707CA8FE" w:rsidR="00627967" w:rsidRPr="00627967" w:rsidRDefault="00627967" w:rsidP="00627967">
      <w:pPr>
        <w:pStyle w:val="af1"/>
        <w:rPr>
          <w:rFonts w:hint="eastAsia"/>
        </w:rPr>
      </w:pPr>
      <w:r w:rsidRPr="00627967">
        <w:t>[20]</w:t>
      </w:r>
      <w:r w:rsidRPr="00627967">
        <w:tab/>
        <w:t>Yun C-H</w:t>
      </w:r>
      <w:r w:rsidR="0055347A">
        <w:rPr>
          <w:rFonts w:hint="eastAsia"/>
        </w:rPr>
        <w:t xml:space="preserve">, </w:t>
      </w:r>
      <w:r w:rsidRPr="00627967">
        <w:t>Mengwasser K E</w:t>
      </w:r>
      <w:r w:rsidR="0055347A">
        <w:rPr>
          <w:rFonts w:hint="eastAsia"/>
        </w:rPr>
        <w:t xml:space="preserve">, </w:t>
      </w:r>
      <w:r w:rsidRPr="00627967">
        <w:t>Toms A V</w:t>
      </w:r>
      <w:r w:rsidR="0055347A">
        <w:rPr>
          <w:rFonts w:hint="eastAsia"/>
        </w:rPr>
        <w:t xml:space="preserve">, </w:t>
      </w:r>
      <w:r w:rsidR="00685A5C" w:rsidRPr="00627967">
        <w:t>et al</w:t>
      </w:r>
      <w:r w:rsidRPr="00627967">
        <w:t xml:space="preserve">. The T790M mutation in EGFR kinase causes drug resistance by increasing the affinity for ATP[J]. </w:t>
      </w:r>
      <w:r w:rsidR="0055347A" w:rsidRPr="0055347A">
        <w:rPr>
          <w:rFonts w:hint="eastAsia"/>
        </w:rPr>
        <w:t>Proc Natl Acad Sci U S A</w:t>
      </w:r>
      <w:r w:rsidR="0055347A">
        <w:rPr>
          <w:rFonts w:hint="eastAsia"/>
        </w:rPr>
        <w:t xml:space="preserve">, </w:t>
      </w:r>
      <w:r w:rsidRPr="00627967">
        <w:t>2008</w:t>
      </w:r>
      <w:r w:rsidR="0055347A">
        <w:rPr>
          <w:rFonts w:hint="eastAsia"/>
        </w:rPr>
        <w:t xml:space="preserve">, </w:t>
      </w:r>
      <w:r w:rsidRPr="00627967">
        <w:t>105</w:t>
      </w:r>
      <w:r w:rsidR="004554B0">
        <w:t>(</w:t>
      </w:r>
      <w:r w:rsidRPr="00627967">
        <w:t>6</w:t>
      </w:r>
      <w:r w:rsidR="004554B0">
        <w:t xml:space="preserve">): </w:t>
      </w:r>
      <w:r w:rsidRPr="00627967">
        <w:t>2070-2075.</w:t>
      </w:r>
    </w:p>
    <w:p w14:paraId="12280F24" w14:textId="21277C06" w:rsidR="00627967" w:rsidRPr="00627967" w:rsidRDefault="00627967" w:rsidP="00627967">
      <w:pPr>
        <w:pStyle w:val="af1"/>
        <w:rPr>
          <w:rFonts w:hint="eastAsia"/>
        </w:rPr>
      </w:pPr>
      <w:r w:rsidRPr="00627967">
        <w:t>[21]</w:t>
      </w:r>
      <w:r w:rsidRPr="00627967">
        <w:tab/>
        <w:t>Papadimitrakopoulou V A</w:t>
      </w:r>
      <w:r w:rsidR="0055347A">
        <w:rPr>
          <w:rFonts w:hint="eastAsia"/>
        </w:rPr>
        <w:t xml:space="preserve">, </w:t>
      </w:r>
      <w:r w:rsidRPr="00627967">
        <w:t>Mok T S</w:t>
      </w:r>
      <w:r w:rsidR="0055347A">
        <w:rPr>
          <w:rFonts w:hint="eastAsia"/>
        </w:rPr>
        <w:t xml:space="preserve">, </w:t>
      </w:r>
      <w:r w:rsidRPr="00627967">
        <w:t>Han J-Y</w:t>
      </w:r>
      <w:r w:rsidR="0055347A">
        <w:rPr>
          <w:rFonts w:hint="eastAsia"/>
        </w:rPr>
        <w:t xml:space="preserve">, </w:t>
      </w:r>
      <w:r w:rsidR="00685A5C" w:rsidRPr="00627967">
        <w:t>et al</w:t>
      </w:r>
      <w:r w:rsidRPr="00627967">
        <w:t>. Osimertinib versus platinum-pemetrexed for patients with EGFR T790M advanced NSCLC and progression on a prior EGFR-tyrosine kinase inhibitor</w:t>
      </w:r>
      <w:r w:rsidR="004554B0">
        <w:t xml:space="preserve">: </w:t>
      </w:r>
      <w:r w:rsidRPr="00627967">
        <w:t>AURA3 overall survival analysis[J].</w:t>
      </w:r>
      <w:r w:rsidR="0055347A" w:rsidRPr="0055347A">
        <w:rPr>
          <w:rFonts w:hint="eastAsia"/>
        </w:rPr>
        <w:t xml:space="preserve"> Ann Oncol</w:t>
      </w:r>
      <w:r w:rsidR="0055347A">
        <w:rPr>
          <w:rFonts w:hint="eastAsia"/>
        </w:rPr>
        <w:t xml:space="preserve">, </w:t>
      </w:r>
      <w:r w:rsidRPr="00627967">
        <w:t>2020</w:t>
      </w:r>
      <w:r w:rsidR="0055347A">
        <w:rPr>
          <w:rFonts w:hint="eastAsia"/>
        </w:rPr>
        <w:t xml:space="preserve">, </w:t>
      </w:r>
      <w:r w:rsidRPr="00627967">
        <w:t>31</w:t>
      </w:r>
      <w:r w:rsidR="004554B0">
        <w:t>(</w:t>
      </w:r>
      <w:r w:rsidRPr="00627967">
        <w:t>11</w:t>
      </w:r>
      <w:r w:rsidR="004554B0">
        <w:t xml:space="preserve">): </w:t>
      </w:r>
      <w:r w:rsidRPr="00627967">
        <w:t>1536-1544.</w:t>
      </w:r>
    </w:p>
    <w:p w14:paraId="25D98051" w14:textId="6690DAC2" w:rsidR="00627967" w:rsidRPr="00627967" w:rsidRDefault="00627967" w:rsidP="00627967">
      <w:pPr>
        <w:pStyle w:val="af1"/>
        <w:rPr>
          <w:rFonts w:hint="eastAsia"/>
        </w:rPr>
      </w:pPr>
      <w:r w:rsidRPr="00627967">
        <w:t>[22]</w:t>
      </w:r>
      <w:r w:rsidRPr="00627967">
        <w:tab/>
        <w:t>Mok T S</w:t>
      </w:r>
      <w:r w:rsidR="0055347A">
        <w:rPr>
          <w:rFonts w:hint="eastAsia"/>
        </w:rPr>
        <w:t xml:space="preserve">, </w:t>
      </w:r>
      <w:r w:rsidRPr="00627967">
        <w:t>Wu Y-L</w:t>
      </w:r>
      <w:r w:rsidR="0055347A">
        <w:rPr>
          <w:rFonts w:hint="eastAsia"/>
        </w:rPr>
        <w:t xml:space="preserve">, </w:t>
      </w:r>
      <w:r w:rsidRPr="00627967">
        <w:t>Ahn M J</w:t>
      </w:r>
      <w:r w:rsidR="0055347A">
        <w:rPr>
          <w:rFonts w:hint="eastAsia"/>
        </w:rPr>
        <w:t xml:space="preserve">, </w:t>
      </w:r>
      <w:r w:rsidR="00685A5C" w:rsidRPr="00627967">
        <w:t>et al</w:t>
      </w:r>
      <w:r w:rsidRPr="00627967">
        <w:t xml:space="preserve">. Osimertinib or </w:t>
      </w:r>
      <w:r w:rsidR="001831BB">
        <w:rPr>
          <w:rFonts w:hint="eastAsia"/>
        </w:rPr>
        <w:t>p</w:t>
      </w:r>
      <w:r w:rsidRPr="00627967">
        <w:t>latinum-</w:t>
      </w:r>
      <w:r w:rsidR="001831BB">
        <w:rPr>
          <w:rFonts w:hint="eastAsia"/>
        </w:rPr>
        <w:t>p</w:t>
      </w:r>
      <w:r w:rsidRPr="00627967">
        <w:t>emetrexed in EGFR T790M-</w:t>
      </w:r>
      <w:r w:rsidR="001831BB">
        <w:rPr>
          <w:rFonts w:hint="eastAsia"/>
        </w:rPr>
        <w:t>p</w:t>
      </w:r>
      <w:r w:rsidRPr="00627967">
        <w:t xml:space="preserve">ositive </w:t>
      </w:r>
      <w:r w:rsidR="001831BB">
        <w:rPr>
          <w:rFonts w:hint="eastAsia"/>
        </w:rPr>
        <w:t>l</w:t>
      </w:r>
      <w:r w:rsidRPr="00627967">
        <w:t xml:space="preserve">ung </w:t>
      </w:r>
      <w:r w:rsidR="001831BB">
        <w:rPr>
          <w:rFonts w:hint="eastAsia"/>
        </w:rPr>
        <w:t>c</w:t>
      </w:r>
      <w:r w:rsidRPr="00627967">
        <w:t xml:space="preserve">ancer[J]. </w:t>
      </w:r>
      <w:r w:rsidR="0055347A" w:rsidRPr="0055347A">
        <w:rPr>
          <w:rFonts w:hint="eastAsia"/>
        </w:rPr>
        <w:t>N Engl J Med</w:t>
      </w:r>
      <w:r w:rsidR="0055347A">
        <w:rPr>
          <w:rFonts w:hint="eastAsia"/>
        </w:rPr>
        <w:t xml:space="preserve">, </w:t>
      </w:r>
      <w:r w:rsidRPr="00627967">
        <w:t>2017</w:t>
      </w:r>
      <w:r w:rsidR="0055347A">
        <w:rPr>
          <w:rFonts w:hint="eastAsia"/>
        </w:rPr>
        <w:t xml:space="preserve">, </w:t>
      </w:r>
      <w:r w:rsidRPr="00627967">
        <w:t>376</w:t>
      </w:r>
      <w:r w:rsidR="004554B0">
        <w:t>(</w:t>
      </w:r>
      <w:r w:rsidRPr="00627967">
        <w:t>7</w:t>
      </w:r>
      <w:r w:rsidR="004554B0">
        <w:t xml:space="preserve">): </w:t>
      </w:r>
      <w:r w:rsidRPr="00627967">
        <w:t>629-640.</w:t>
      </w:r>
    </w:p>
    <w:p w14:paraId="241C6BA9" w14:textId="02CDB6BE" w:rsidR="00627967" w:rsidRPr="00627967" w:rsidRDefault="00627967" w:rsidP="00627967">
      <w:pPr>
        <w:pStyle w:val="af1"/>
        <w:rPr>
          <w:rFonts w:hint="eastAsia"/>
        </w:rPr>
      </w:pPr>
      <w:r w:rsidRPr="00627967">
        <w:t>[23]</w:t>
      </w:r>
      <w:r w:rsidRPr="00627967">
        <w:tab/>
        <w:t>Shi Y</w:t>
      </w:r>
      <w:r w:rsidR="0055347A">
        <w:rPr>
          <w:rFonts w:hint="eastAsia"/>
        </w:rPr>
        <w:t xml:space="preserve">, </w:t>
      </w:r>
      <w:r w:rsidRPr="00627967">
        <w:t>Hu X</w:t>
      </w:r>
      <w:r w:rsidR="0055347A">
        <w:rPr>
          <w:rFonts w:hint="eastAsia"/>
        </w:rPr>
        <w:t xml:space="preserve">, </w:t>
      </w:r>
      <w:r w:rsidRPr="00627967">
        <w:t>Zhang S</w:t>
      </w:r>
      <w:r w:rsidR="0055347A">
        <w:rPr>
          <w:rFonts w:hint="eastAsia"/>
        </w:rPr>
        <w:t xml:space="preserve">, </w:t>
      </w:r>
      <w:r w:rsidR="00685A5C" w:rsidRPr="00627967">
        <w:t>et al</w:t>
      </w:r>
      <w:r w:rsidRPr="00627967">
        <w:t>. Efficacy, safety, and genetic analysis of furmonertinib (AST2818) in patients with EGFR T790M mutated non-small-cell lung cancer</w:t>
      </w:r>
      <w:r w:rsidR="004554B0">
        <w:t xml:space="preserve">: </w:t>
      </w:r>
      <w:r w:rsidRPr="00627967">
        <w:t xml:space="preserve">a phase 2b, multicentre, single-arm, open-label study[J]. </w:t>
      </w:r>
      <w:r w:rsidR="0055347A" w:rsidRPr="0055347A">
        <w:rPr>
          <w:rFonts w:hint="eastAsia"/>
        </w:rPr>
        <w:t>Lancet Respir Med</w:t>
      </w:r>
      <w:r w:rsidR="0055347A">
        <w:rPr>
          <w:rFonts w:hint="eastAsia"/>
        </w:rPr>
        <w:t xml:space="preserve">, </w:t>
      </w:r>
      <w:r w:rsidRPr="00627967">
        <w:t>2021</w:t>
      </w:r>
      <w:r w:rsidR="0055347A">
        <w:rPr>
          <w:rFonts w:hint="eastAsia"/>
        </w:rPr>
        <w:t xml:space="preserve">, </w:t>
      </w:r>
      <w:r w:rsidRPr="00627967">
        <w:t>9</w:t>
      </w:r>
      <w:r w:rsidR="004554B0">
        <w:t>(</w:t>
      </w:r>
      <w:r w:rsidRPr="00627967">
        <w:t>8</w:t>
      </w:r>
      <w:r w:rsidR="004554B0">
        <w:t xml:space="preserve">): </w:t>
      </w:r>
      <w:r w:rsidRPr="00627967">
        <w:t>829-839.</w:t>
      </w:r>
    </w:p>
    <w:p w14:paraId="715AE9C4" w14:textId="751D2481" w:rsidR="00627967" w:rsidRPr="00627967" w:rsidRDefault="00627967" w:rsidP="00627967">
      <w:pPr>
        <w:pStyle w:val="af1"/>
        <w:rPr>
          <w:rFonts w:hint="eastAsia"/>
        </w:rPr>
      </w:pPr>
      <w:r w:rsidRPr="00627967">
        <w:t>[24]</w:t>
      </w:r>
      <w:r w:rsidRPr="00627967">
        <w:tab/>
        <w:t>Lu S</w:t>
      </w:r>
      <w:r w:rsidR="0055347A">
        <w:rPr>
          <w:rFonts w:hint="eastAsia"/>
        </w:rPr>
        <w:t xml:space="preserve">, </w:t>
      </w:r>
      <w:r w:rsidRPr="00627967">
        <w:t>Wang Q</w:t>
      </w:r>
      <w:r w:rsidR="0055347A">
        <w:rPr>
          <w:rFonts w:hint="eastAsia"/>
        </w:rPr>
        <w:t xml:space="preserve">, </w:t>
      </w:r>
      <w:r w:rsidRPr="00627967">
        <w:t>Zhang G</w:t>
      </w:r>
      <w:r w:rsidR="0055347A">
        <w:rPr>
          <w:rFonts w:hint="eastAsia"/>
        </w:rPr>
        <w:t xml:space="preserve">, </w:t>
      </w:r>
      <w:r w:rsidR="00685A5C" w:rsidRPr="00627967">
        <w:t>et al</w:t>
      </w:r>
      <w:r w:rsidRPr="00627967">
        <w:t xml:space="preserve">. Efficacy of </w:t>
      </w:r>
      <w:r w:rsidR="001831BB">
        <w:rPr>
          <w:rFonts w:hint="eastAsia"/>
        </w:rPr>
        <w:t>a</w:t>
      </w:r>
      <w:r w:rsidRPr="00627967">
        <w:t xml:space="preserve">umolertinib (HS-10296) in </w:t>
      </w:r>
      <w:r w:rsidR="001831BB">
        <w:rPr>
          <w:rFonts w:hint="eastAsia"/>
        </w:rPr>
        <w:t>p</w:t>
      </w:r>
      <w:r w:rsidRPr="00627967">
        <w:t xml:space="preserve">atients </w:t>
      </w:r>
      <w:r w:rsidR="001831BB">
        <w:rPr>
          <w:rFonts w:hint="eastAsia"/>
        </w:rPr>
        <w:t>w</w:t>
      </w:r>
      <w:r w:rsidRPr="00627967">
        <w:t xml:space="preserve">ith </w:t>
      </w:r>
      <w:r w:rsidR="001831BB">
        <w:rPr>
          <w:rFonts w:hint="eastAsia"/>
        </w:rPr>
        <w:t>a</w:t>
      </w:r>
      <w:r w:rsidRPr="00627967">
        <w:t>dvanced EGFR</w:t>
      </w:r>
      <w:r w:rsidR="006133EC">
        <w:rPr>
          <w:rFonts w:hint="eastAsia"/>
        </w:rPr>
        <w:t xml:space="preserve"> </w:t>
      </w:r>
      <w:r w:rsidRPr="00627967">
        <w:t>T790M+</w:t>
      </w:r>
      <w:r w:rsidR="006133EC">
        <w:rPr>
          <w:rFonts w:hint="eastAsia"/>
        </w:rPr>
        <w:t xml:space="preserve"> </w:t>
      </w:r>
      <w:r w:rsidRPr="00627967">
        <w:t>NSCLC</w:t>
      </w:r>
      <w:r w:rsidR="004554B0">
        <w:t>:</w:t>
      </w:r>
      <w:r w:rsidR="004554B0">
        <w:rPr>
          <w:rFonts w:hint="eastAsia"/>
        </w:rPr>
        <w:t xml:space="preserve"> </w:t>
      </w:r>
      <w:r w:rsidRPr="00627967">
        <w:t xml:space="preserve">Updated </w:t>
      </w:r>
      <w:r w:rsidR="001831BB">
        <w:rPr>
          <w:rFonts w:hint="eastAsia"/>
        </w:rPr>
        <w:t>p</w:t>
      </w:r>
      <w:r w:rsidRPr="00627967">
        <w:t>ost-</w:t>
      </w:r>
      <w:r w:rsidR="001831BB">
        <w:rPr>
          <w:rFonts w:hint="eastAsia"/>
        </w:rPr>
        <w:t>n</w:t>
      </w:r>
      <w:r w:rsidRPr="00627967">
        <w:t xml:space="preserve">ational </w:t>
      </w:r>
      <w:r w:rsidR="001831BB">
        <w:rPr>
          <w:rFonts w:hint="eastAsia"/>
        </w:rPr>
        <w:t>m</w:t>
      </w:r>
      <w:r w:rsidRPr="00627967">
        <w:t>edical</w:t>
      </w:r>
      <w:r w:rsidR="001831BB">
        <w:rPr>
          <w:rFonts w:hint="eastAsia"/>
        </w:rPr>
        <w:t xml:space="preserve"> p</w:t>
      </w:r>
      <w:r w:rsidRPr="00627967">
        <w:t xml:space="preserve">roducts </w:t>
      </w:r>
      <w:r w:rsidR="001831BB">
        <w:rPr>
          <w:rFonts w:hint="eastAsia"/>
        </w:rPr>
        <w:t>a</w:t>
      </w:r>
      <w:r w:rsidRPr="00627967">
        <w:t xml:space="preserve">dministration </w:t>
      </w:r>
      <w:r w:rsidR="001831BB">
        <w:rPr>
          <w:rFonts w:hint="eastAsia"/>
        </w:rPr>
        <w:t>a</w:t>
      </w:r>
      <w:r w:rsidRPr="00627967">
        <w:t xml:space="preserve">pproval </w:t>
      </w:r>
      <w:r w:rsidR="001831BB">
        <w:rPr>
          <w:rFonts w:hint="eastAsia"/>
        </w:rPr>
        <w:t>r</w:t>
      </w:r>
      <w:r w:rsidRPr="00627967">
        <w:t xml:space="preserve">esults </w:t>
      </w:r>
      <w:r w:rsidR="001831BB">
        <w:rPr>
          <w:rFonts w:hint="eastAsia"/>
        </w:rPr>
        <w:t>f</w:t>
      </w:r>
      <w:r w:rsidRPr="00627967">
        <w:t xml:space="preserve">rom the APOLLO </w:t>
      </w:r>
      <w:r w:rsidR="001831BB">
        <w:rPr>
          <w:rFonts w:hint="eastAsia"/>
        </w:rPr>
        <w:t>r</w:t>
      </w:r>
      <w:r w:rsidRPr="00627967">
        <w:t xml:space="preserve">egistrational </w:t>
      </w:r>
      <w:r w:rsidR="001831BB">
        <w:rPr>
          <w:rFonts w:hint="eastAsia"/>
        </w:rPr>
        <w:t>t</w:t>
      </w:r>
      <w:r w:rsidRPr="00627967">
        <w:t xml:space="preserve">rial[J]. </w:t>
      </w:r>
      <w:r w:rsidR="0055347A" w:rsidRPr="0055347A">
        <w:rPr>
          <w:rFonts w:hint="eastAsia"/>
        </w:rPr>
        <w:t>J Thorac Oncol</w:t>
      </w:r>
      <w:r w:rsidR="0055347A">
        <w:rPr>
          <w:rFonts w:hint="eastAsia"/>
        </w:rPr>
        <w:t xml:space="preserve">, </w:t>
      </w:r>
      <w:r w:rsidRPr="00627967">
        <w:t>2022</w:t>
      </w:r>
      <w:r w:rsidR="0055347A">
        <w:rPr>
          <w:rFonts w:hint="eastAsia"/>
        </w:rPr>
        <w:t xml:space="preserve">, </w:t>
      </w:r>
      <w:r w:rsidRPr="00627967">
        <w:t>17</w:t>
      </w:r>
      <w:r w:rsidR="004554B0">
        <w:t>(</w:t>
      </w:r>
      <w:r w:rsidRPr="00627967">
        <w:t>3</w:t>
      </w:r>
      <w:r w:rsidR="004554B0">
        <w:t xml:space="preserve">): </w:t>
      </w:r>
      <w:r w:rsidRPr="00627967">
        <w:t>411-422.</w:t>
      </w:r>
    </w:p>
    <w:p w14:paraId="47C6E6F5" w14:textId="37F87BD5" w:rsidR="00627967" w:rsidRPr="00627967" w:rsidRDefault="00627967" w:rsidP="00627967">
      <w:pPr>
        <w:pStyle w:val="af1"/>
        <w:rPr>
          <w:rFonts w:hint="eastAsia"/>
        </w:rPr>
      </w:pPr>
      <w:r w:rsidRPr="00627967">
        <w:t>[25]</w:t>
      </w:r>
      <w:r w:rsidRPr="00627967">
        <w:tab/>
        <w:t>Niederst M J，Hu H，Mulvey H E，</w:t>
      </w:r>
      <w:r w:rsidR="00685A5C" w:rsidRPr="00627967">
        <w:t>et al</w:t>
      </w:r>
      <w:r w:rsidRPr="00627967">
        <w:t xml:space="preserve">. The allelic context of the C797S mutation acquired upon treatment with third generation EGFR inhibitors impacts sensitivity to subsequent treatment strategies[J]. </w:t>
      </w:r>
      <w:r w:rsidR="0055347A" w:rsidRPr="0055347A">
        <w:rPr>
          <w:rFonts w:hint="eastAsia"/>
        </w:rPr>
        <w:t>Clin Cancer Res</w:t>
      </w:r>
      <w:r w:rsidR="0055347A">
        <w:rPr>
          <w:rFonts w:hint="eastAsia"/>
        </w:rPr>
        <w:t xml:space="preserve">, </w:t>
      </w:r>
      <w:r w:rsidRPr="00627967">
        <w:t>2015</w:t>
      </w:r>
      <w:r w:rsidR="0055347A">
        <w:rPr>
          <w:rFonts w:hint="eastAsia"/>
        </w:rPr>
        <w:t xml:space="preserve">, </w:t>
      </w:r>
      <w:r w:rsidRPr="00627967">
        <w:t>21</w:t>
      </w:r>
      <w:r w:rsidR="004554B0">
        <w:t>(</w:t>
      </w:r>
      <w:r w:rsidRPr="00627967">
        <w:t>17</w:t>
      </w:r>
      <w:r w:rsidR="004554B0">
        <w:t xml:space="preserve">): </w:t>
      </w:r>
      <w:r w:rsidRPr="00627967">
        <w:t>3924-3933.</w:t>
      </w:r>
    </w:p>
    <w:p w14:paraId="34972E6E" w14:textId="46CC790E" w:rsidR="00627967" w:rsidRPr="00627967" w:rsidRDefault="00627967" w:rsidP="00627967">
      <w:pPr>
        <w:pStyle w:val="af1"/>
        <w:rPr>
          <w:rFonts w:hint="eastAsia"/>
        </w:rPr>
      </w:pPr>
      <w:r w:rsidRPr="00627967">
        <w:t>[26]</w:t>
      </w:r>
      <w:r w:rsidRPr="00627967">
        <w:tab/>
        <w:t>Xu J</w:t>
      </w:r>
      <w:r w:rsidR="001B59F6">
        <w:rPr>
          <w:rFonts w:hint="eastAsia"/>
        </w:rPr>
        <w:t xml:space="preserve">, </w:t>
      </w:r>
      <w:r w:rsidRPr="00627967">
        <w:t>Zhu A</w:t>
      </w:r>
      <w:r w:rsidR="001B59F6">
        <w:rPr>
          <w:rFonts w:hint="eastAsia"/>
        </w:rPr>
        <w:t xml:space="preserve">, </w:t>
      </w:r>
      <w:r w:rsidRPr="00627967">
        <w:t>Xu Y</w:t>
      </w:r>
      <w:r w:rsidR="001B59F6">
        <w:rPr>
          <w:rFonts w:hint="eastAsia"/>
        </w:rPr>
        <w:t xml:space="preserve">, </w:t>
      </w:r>
      <w:r w:rsidR="00685A5C" w:rsidRPr="00627967">
        <w:t>et al</w:t>
      </w:r>
      <w:r w:rsidRPr="00627967">
        <w:t xml:space="preserve">. Real-world analysis of subsequent-line strategies for EGFR C797S mutant non-small cell lung cancer patients acquired resistance to third-generation EGFR tyrosine kinase inhibitors[J]. BMC </w:t>
      </w:r>
      <w:r w:rsidR="001B59F6">
        <w:rPr>
          <w:rFonts w:hint="eastAsia"/>
        </w:rPr>
        <w:t>C</w:t>
      </w:r>
      <w:r w:rsidRPr="00627967">
        <w:t>ancer</w:t>
      </w:r>
      <w:r w:rsidR="001B59F6">
        <w:rPr>
          <w:rFonts w:hint="eastAsia"/>
        </w:rPr>
        <w:t xml:space="preserve">, </w:t>
      </w:r>
      <w:r w:rsidRPr="00627967">
        <w:t>2025</w:t>
      </w:r>
      <w:r w:rsidR="001B59F6">
        <w:rPr>
          <w:rFonts w:hint="eastAsia"/>
        </w:rPr>
        <w:t xml:space="preserve">, </w:t>
      </w:r>
      <w:r w:rsidRPr="00627967">
        <w:t>25</w:t>
      </w:r>
      <w:r w:rsidR="004554B0">
        <w:t>(</w:t>
      </w:r>
      <w:r w:rsidRPr="00627967">
        <w:t>1</w:t>
      </w:r>
      <w:r w:rsidR="004554B0">
        <w:t xml:space="preserve">): </w:t>
      </w:r>
      <w:r w:rsidRPr="00627967">
        <w:t>1879.</w:t>
      </w:r>
    </w:p>
    <w:p w14:paraId="26DCFB3E" w14:textId="79171007" w:rsidR="00627967" w:rsidRPr="00627967" w:rsidRDefault="00627967" w:rsidP="00627967">
      <w:pPr>
        <w:pStyle w:val="af1"/>
        <w:rPr>
          <w:rFonts w:hint="eastAsia"/>
        </w:rPr>
      </w:pPr>
      <w:r w:rsidRPr="00627967">
        <w:t>[27]</w:t>
      </w:r>
      <w:r w:rsidRPr="00627967">
        <w:tab/>
        <w:t>Lu C</w:t>
      </w:r>
      <w:r w:rsidR="001B59F6">
        <w:rPr>
          <w:rFonts w:hint="eastAsia"/>
        </w:rPr>
        <w:t xml:space="preserve">, </w:t>
      </w:r>
      <w:r w:rsidRPr="00627967">
        <w:t>Wei X-W</w:t>
      </w:r>
      <w:r w:rsidR="001B59F6">
        <w:rPr>
          <w:rFonts w:hint="eastAsia"/>
        </w:rPr>
        <w:t xml:space="preserve">, </w:t>
      </w:r>
      <w:r w:rsidRPr="00627967">
        <w:t>Wang Z</w:t>
      </w:r>
      <w:r w:rsidR="001B59F6">
        <w:rPr>
          <w:rFonts w:hint="eastAsia"/>
        </w:rPr>
        <w:t xml:space="preserve">, </w:t>
      </w:r>
      <w:r w:rsidR="00685A5C" w:rsidRPr="00627967">
        <w:t>et al</w:t>
      </w:r>
      <w:r w:rsidRPr="00627967">
        <w:t xml:space="preserve">. Allelic </w:t>
      </w:r>
      <w:r w:rsidR="006133EC">
        <w:rPr>
          <w:rFonts w:hint="eastAsia"/>
        </w:rPr>
        <w:t>c</w:t>
      </w:r>
      <w:r w:rsidRPr="00627967">
        <w:t xml:space="preserve">ontext of EGFR C797X-Mutant </w:t>
      </w:r>
      <w:r w:rsidR="006133EC">
        <w:rPr>
          <w:rFonts w:hint="eastAsia"/>
        </w:rPr>
        <w:t>l</w:t>
      </w:r>
      <w:r w:rsidRPr="00627967">
        <w:t xml:space="preserve">ung </w:t>
      </w:r>
      <w:r w:rsidR="006133EC">
        <w:rPr>
          <w:rFonts w:hint="eastAsia"/>
        </w:rPr>
        <w:t>c</w:t>
      </w:r>
      <w:r w:rsidRPr="00627967">
        <w:t xml:space="preserve">ancer </w:t>
      </w:r>
      <w:r w:rsidR="006133EC">
        <w:rPr>
          <w:rFonts w:hint="eastAsia"/>
        </w:rPr>
        <w:t>d</w:t>
      </w:r>
      <w:r w:rsidRPr="00627967">
        <w:t xml:space="preserve">efines </w:t>
      </w:r>
      <w:r w:rsidR="006133EC">
        <w:rPr>
          <w:rFonts w:hint="eastAsia"/>
        </w:rPr>
        <w:t>f</w:t>
      </w:r>
      <w:r w:rsidRPr="00627967">
        <w:t xml:space="preserve">our </w:t>
      </w:r>
      <w:r w:rsidR="006133EC">
        <w:rPr>
          <w:rFonts w:hint="eastAsia"/>
        </w:rPr>
        <w:t>s</w:t>
      </w:r>
      <w:r w:rsidRPr="00627967">
        <w:t xml:space="preserve">ubtypes </w:t>
      </w:r>
      <w:r w:rsidR="006133EC">
        <w:rPr>
          <w:rFonts w:hint="eastAsia"/>
        </w:rPr>
        <w:t>w</w:t>
      </w:r>
      <w:r w:rsidRPr="00627967">
        <w:t xml:space="preserve">ith </w:t>
      </w:r>
      <w:r w:rsidR="006133EC">
        <w:rPr>
          <w:rFonts w:hint="eastAsia"/>
        </w:rPr>
        <w:t>h</w:t>
      </w:r>
      <w:r w:rsidRPr="00627967">
        <w:t xml:space="preserve">eterogeneous </w:t>
      </w:r>
      <w:r w:rsidR="006133EC">
        <w:rPr>
          <w:rFonts w:hint="eastAsia"/>
        </w:rPr>
        <w:t>g</w:t>
      </w:r>
      <w:r w:rsidRPr="00627967">
        <w:t xml:space="preserve">enomic </w:t>
      </w:r>
      <w:r w:rsidR="006133EC">
        <w:rPr>
          <w:rFonts w:hint="eastAsia"/>
        </w:rPr>
        <w:t>l</w:t>
      </w:r>
      <w:r w:rsidRPr="00627967">
        <w:t xml:space="preserve">andscape and </w:t>
      </w:r>
      <w:r w:rsidR="006133EC">
        <w:rPr>
          <w:rFonts w:hint="eastAsia"/>
        </w:rPr>
        <w:t>d</w:t>
      </w:r>
      <w:r w:rsidRPr="00627967">
        <w:t xml:space="preserve">istinct </w:t>
      </w:r>
      <w:r w:rsidR="006133EC">
        <w:rPr>
          <w:rFonts w:hint="eastAsia"/>
        </w:rPr>
        <w:t>c</w:t>
      </w:r>
      <w:r w:rsidRPr="00627967">
        <w:t xml:space="preserve">linical </w:t>
      </w:r>
      <w:r w:rsidR="006133EC">
        <w:rPr>
          <w:rFonts w:hint="eastAsia"/>
        </w:rPr>
        <w:t>o</w:t>
      </w:r>
      <w:r w:rsidRPr="00627967">
        <w:t xml:space="preserve">utcomes[J]. </w:t>
      </w:r>
      <w:r w:rsidR="001B59F6" w:rsidRPr="001B59F6">
        <w:rPr>
          <w:rFonts w:hint="eastAsia"/>
        </w:rPr>
        <w:t>J Thorac Oncol</w:t>
      </w:r>
      <w:r w:rsidR="001B59F6">
        <w:rPr>
          <w:rFonts w:hint="eastAsia"/>
        </w:rPr>
        <w:t xml:space="preserve">, </w:t>
      </w:r>
      <w:r w:rsidRPr="00627967">
        <w:t>2024</w:t>
      </w:r>
      <w:r w:rsidR="001B59F6">
        <w:rPr>
          <w:rFonts w:hint="eastAsia"/>
        </w:rPr>
        <w:t xml:space="preserve">, </w:t>
      </w:r>
      <w:r w:rsidRPr="00627967">
        <w:t>19</w:t>
      </w:r>
      <w:r w:rsidR="004554B0">
        <w:t>(</w:t>
      </w:r>
      <w:r w:rsidRPr="00627967">
        <w:t>4</w:t>
      </w:r>
      <w:r w:rsidR="004554B0">
        <w:t xml:space="preserve">): </w:t>
      </w:r>
      <w:r w:rsidRPr="00627967">
        <w:t>601-612.</w:t>
      </w:r>
    </w:p>
    <w:p w14:paraId="069F45BB" w14:textId="463C0021" w:rsidR="00627967" w:rsidRPr="00627967" w:rsidRDefault="00627967" w:rsidP="00627967">
      <w:pPr>
        <w:pStyle w:val="af1"/>
        <w:rPr>
          <w:rFonts w:hint="eastAsia"/>
        </w:rPr>
      </w:pPr>
      <w:r w:rsidRPr="00627967">
        <w:t>[28]</w:t>
      </w:r>
      <w:r w:rsidRPr="00627967">
        <w:tab/>
        <w:t>Zhan J</w:t>
      </w:r>
      <w:r w:rsidR="001B59F6">
        <w:rPr>
          <w:rFonts w:hint="eastAsia"/>
        </w:rPr>
        <w:t xml:space="preserve">, </w:t>
      </w:r>
      <w:r w:rsidRPr="00627967">
        <w:t>Xue J</w:t>
      </w:r>
      <w:r w:rsidR="001B59F6">
        <w:rPr>
          <w:rFonts w:hint="eastAsia"/>
        </w:rPr>
        <w:t xml:space="preserve">, </w:t>
      </w:r>
      <w:r w:rsidRPr="00627967">
        <w:t>Wu L</w:t>
      </w:r>
      <w:r w:rsidR="001B59F6">
        <w:rPr>
          <w:rFonts w:hint="eastAsia"/>
        </w:rPr>
        <w:t xml:space="preserve">, </w:t>
      </w:r>
      <w:r w:rsidR="00685A5C" w:rsidRPr="00627967">
        <w:t>et al</w:t>
      </w:r>
      <w:r w:rsidRPr="00627967">
        <w:t>. HS-10375, a selective EGFR C797S tyrosine kinase inhibitor, in advanced non–small cell lung cancer[J]. J</w:t>
      </w:r>
      <w:r w:rsidR="001B59F6" w:rsidRPr="001B59F6">
        <w:rPr>
          <w:rFonts w:hint="eastAsia"/>
        </w:rPr>
        <w:t xml:space="preserve"> Transl Med</w:t>
      </w:r>
      <w:r w:rsidR="001B59F6">
        <w:rPr>
          <w:rFonts w:hint="eastAsia"/>
        </w:rPr>
        <w:t xml:space="preserve">, </w:t>
      </w:r>
      <w:r w:rsidRPr="00627967">
        <w:t>2025</w:t>
      </w:r>
      <w:r w:rsidR="001B59F6">
        <w:rPr>
          <w:rFonts w:hint="eastAsia"/>
        </w:rPr>
        <w:t xml:space="preserve">, </w:t>
      </w:r>
      <w:r w:rsidRPr="00627967">
        <w:t>23</w:t>
      </w:r>
      <w:r w:rsidR="004554B0">
        <w:t xml:space="preserve">: </w:t>
      </w:r>
      <w:r w:rsidRPr="00627967">
        <w:t>628.</w:t>
      </w:r>
    </w:p>
    <w:p w14:paraId="2742BFFF" w14:textId="0D08F362" w:rsidR="00627967" w:rsidRPr="00627967" w:rsidRDefault="00627967" w:rsidP="00627967">
      <w:pPr>
        <w:pStyle w:val="af1"/>
        <w:rPr>
          <w:rFonts w:hint="eastAsia"/>
        </w:rPr>
      </w:pPr>
      <w:r w:rsidRPr="00627967">
        <w:t>[29]</w:t>
      </w:r>
      <w:r w:rsidRPr="00627967">
        <w:tab/>
        <w:t>Lim S M</w:t>
      </w:r>
      <w:r w:rsidR="001B59F6">
        <w:rPr>
          <w:rFonts w:hint="eastAsia"/>
        </w:rPr>
        <w:t xml:space="preserve">, </w:t>
      </w:r>
      <w:r w:rsidRPr="00627967">
        <w:t>Fujino T</w:t>
      </w:r>
      <w:r w:rsidR="001B59F6">
        <w:rPr>
          <w:rFonts w:hint="eastAsia"/>
        </w:rPr>
        <w:t xml:space="preserve">, </w:t>
      </w:r>
      <w:r w:rsidRPr="00627967">
        <w:t>Kim C</w:t>
      </w:r>
      <w:r w:rsidR="001B59F6">
        <w:rPr>
          <w:rFonts w:hint="eastAsia"/>
        </w:rPr>
        <w:t xml:space="preserve">, </w:t>
      </w:r>
      <w:r w:rsidR="00685A5C" w:rsidRPr="00627967">
        <w:t>et al</w:t>
      </w:r>
      <w:r w:rsidRPr="00627967">
        <w:t xml:space="preserve">. BBT-176, a </w:t>
      </w:r>
      <w:r w:rsidR="004F61B1">
        <w:rPr>
          <w:rFonts w:hint="eastAsia"/>
        </w:rPr>
        <w:t>n</w:t>
      </w:r>
      <w:r w:rsidRPr="00627967">
        <w:t xml:space="preserve">ovel </w:t>
      </w:r>
      <w:r w:rsidR="004F61B1">
        <w:rPr>
          <w:rFonts w:hint="eastAsia"/>
        </w:rPr>
        <w:t>f</w:t>
      </w:r>
      <w:r w:rsidRPr="00627967">
        <w:t>ourth-</w:t>
      </w:r>
      <w:r w:rsidR="004F61B1">
        <w:rPr>
          <w:rFonts w:hint="eastAsia"/>
        </w:rPr>
        <w:t>g</w:t>
      </w:r>
      <w:r w:rsidRPr="00627967">
        <w:t xml:space="preserve">eneration </w:t>
      </w:r>
      <w:r w:rsidR="004F61B1">
        <w:rPr>
          <w:rFonts w:hint="eastAsia"/>
        </w:rPr>
        <w:t>t</w:t>
      </w:r>
      <w:r w:rsidRPr="00627967">
        <w:t xml:space="preserve">yrosine </w:t>
      </w:r>
      <w:r w:rsidR="004F61B1">
        <w:rPr>
          <w:rFonts w:hint="eastAsia"/>
        </w:rPr>
        <w:t>k</w:t>
      </w:r>
      <w:r w:rsidRPr="00627967">
        <w:t xml:space="preserve">inase </w:t>
      </w:r>
      <w:r w:rsidR="004F61B1">
        <w:rPr>
          <w:rFonts w:hint="eastAsia"/>
        </w:rPr>
        <w:t>i</w:t>
      </w:r>
      <w:r w:rsidRPr="00627967">
        <w:t xml:space="preserve">nhibitor for Osimertinib-Resistant EGFR </w:t>
      </w:r>
      <w:r w:rsidR="004F61B1">
        <w:rPr>
          <w:rFonts w:hint="eastAsia"/>
        </w:rPr>
        <w:t>m</w:t>
      </w:r>
      <w:r w:rsidRPr="00627967">
        <w:t xml:space="preserve">utations in </w:t>
      </w:r>
      <w:r w:rsidR="004F61B1">
        <w:rPr>
          <w:rFonts w:hint="eastAsia"/>
        </w:rPr>
        <w:t>n</w:t>
      </w:r>
      <w:r w:rsidRPr="00627967">
        <w:t>on-</w:t>
      </w:r>
      <w:r w:rsidR="004F61B1">
        <w:rPr>
          <w:rFonts w:hint="eastAsia"/>
        </w:rPr>
        <w:t>s</w:t>
      </w:r>
      <w:r w:rsidRPr="00627967">
        <w:t xml:space="preserve">mall </w:t>
      </w:r>
      <w:r w:rsidR="004F61B1">
        <w:rPr>
          <w:rFonts w:hint="eastAsia"/>
        </w:rPr>
        <w:t>c</w:t>
      </w:r>
      <w:r w:rsidRPr="00627967">
        <w:t xml:space="preserve">ell </w:t>
      </w:r>
      <w:r w:rsidR="004F61B1">
        <w:rPr>
          <w:rFonts w:hint="eastAsia"/>
        </w:rPr>
        <w:t>l</w:t>
      </w:r>
      <w:r w:rsidRPr="00627967">
        <w:t xml:space="preserve">ung </w:t>
      </w:r>
      <w:r w:rsidR="004F61B1">
        <w:rPr>
          <w:rFonts w:hint="eastAsia"/>
        </w:rPr>
        <w:t>c</w:t>
      </w:r>
      <w:r w:rsidRPr="00627967">
        <w:t xml:space="preserve">ancer[J]. </w:t>
      </w:r>
      <w:r w:rsidR="001B59F6" w:rsidRPr="001B59F6">
        <w:rPr>
          <w:rFonts w:hint="eastAsia"/>
        </w:rPr>
        <w:t>Clin Cancer Res</w:t>
      </w:r>
      <w:r w:rsidR="001B59F6">
        <w:rPr>
          <w:rFonts w:hint="eastAsia"/>
        </w:rPr>
        <w:t xml:space="preserve">, </w:t>
      </w:r>
      <w:r w:rsidRPr="00627967">
        <w:t>2023</w:t>
      </w:r>
      <w:r w:rsidR="001B59F6">
        <w:rPr>
          <w:rFonts w:hint="eastAsia"/>
        </w:rPr>
        <w:t xml:space="preserve">, </w:t>
      </w:r>
      <w:r w:rsidRPr="00627967">
        <w:t>29</w:t>
      </w:r>
      <w:r w:rsidR="004554B0">
        <w:t>(</w:t>
      </w:r>
      <w:r w:rsidRPr="00627967">
        <w:t>16</w:t>
      </w:r>
      <w:r w:rsidR="004554B0">
        <w:t xml:space="preserve">): </w:t>
      </w:r>
      <w:r w:rsidRPr="00627967">
        <w:t>3004-3016.</w:t>
      </w:r>
    </w:p>
    <w:p w14:paraId="46CC61CB" w14:textId="271A4A59" w:rsidR="00627967" w:rsidRPr="00627967" w:rsidRDefault="00627967" w:rsidP="00627967">
      <w:pPr>
        <w:pStyle w:val="af1"/>
        <w:rPr>
          <w:rFonts w:hint="eastAsia"/>
        </w:rPr>
      </w:pPr>
      <w:r w:rsidRPr="00627967">
        <w:t>[30]</w:t>
      </w:r>
      <w:r w:rsidRPr="00627967">
        <w:tab/>
        <w:t>Chmielecki J</w:t>
      </w:r>
      <w:r w:rsidR="001B59F6">
        <w:rPr>
          <w:rFonts w:hint="eastAsia"/>
        </w:rPr>
        <w:t xml:space="preserve">, </w:t>
      </w:r>
      <w:r w:rsidRPr="00627967">
        <w:t>Mok T</w:t>
      </w:r>
      <w:r w:rsidR="001B59F6">
        <w:rPr>
          <w:rFonts w:hint="eastAsia"/>
        </w:rPr>
        <w:t xml:space="preserve">, </w:t>
      </w:r>
      <w:r w:rsidRPr="00627967">
        <w:t>Wu Y-L</w:t>
      </w:r>
      <w:r w:rsidR="001B59F6">
        <w:rPr>
          <w:rFonts w:hint="eastAsia"/>
        </w:rPr>
        <w:t xml:space="preserve">, </w:t>
      </w:r>
      <w:r w:rsidRPr="00627967">
        <w:t xml:space="preserve">et al. Analysis of acquired resistance mechanisms to osimertinib in patients with EGFR-mutated advanced non-small cell lung cancer from the AURA3 trial[J]. </w:t>
      </w:r>
      <w:r w:rsidR="001B59F6" w:rsidRPr="001B59F6">
        <w:rPr>
          <w:rFonts w:hint="eastAsia"/>
        </w:rPr>
        <w:t>Nat Commun</w:t>
      </w:r>
      <w:r w:rsidR="001B59F6">
        <w:rPr>
          <w:rFonts w:hint="eastAsia"/>
        </w:rPr>
        <w:t xml:space="preserve">, </w:t>
      </w:r>
      <w:r w:rsidRPr="00627967">
        <w:t>2023</w:t>
      </w:r>
      <w:r w:rsidR="001B59F6">
        <w:rPr>
          <w:rFonts w:hint="eastAsia"/>
        </w:rPr>
        <w:t xml:space="preserve">, </w:t>
      </w:r>
      <w:r w:rsidRPr="00627967">
        <w:t>14</w:t>
      </w:r>
      <w:r w:rsidR="004554B0">
        <w:t>(</w:t>
      </w:r>
      <w:r w:rsidRPr="00627967">
        <w:t>1</w:t>
      </w:r>
      <w:r w:rsidR="004554B0">
        <w:t xml:space="preserve">): </w:t>
      </w:r>
      <w:r w:rsidRPr="00627967">
        <w:t>1071.</w:t>
      </w:r>
    </w:p>
    <w:p w14:paraId="29D07F84" w14:textId="25B8794B" w:rsidR="00627967" w:rsidRPr="00627967" w:rsidRDefault="00627967" w:rsidP="00627967">
      <w:pPr>
        <w:pStyle w:val="af1"/>
        <w:rPr>
          <w:rFonts w:hint="eastAsia"/>
        </w:rPr>
      </w:pPr>
      <w:r w:rsidRPr="00627967">
        <w:lastRenderedPageBreak/>
        <w:t>[31]</w:t>
      </w:r>
      <w:r w:rsidRPr="00627967">
        <w:tab/>
        <w:t>Wei Y</w:t>
      </w:r>
      <w:r w:rsidR="001B59F6">
        <w:rPr>
          <w:rFonts w:hint="eastAsia"/>
        </w:rPr>
        <w:t xml:space="preserve">, </w:t>
      </w:r>
      <w:r w:rsidRPr="00627967">
        <w:t>Jiang B</w:t>
      </w:r>
      <w:r w:rsidR="001B59F6">
        <w:rPr>
          <w:rFonts w:hint="eastAsia"/>
        </w:rPr>
        <w:t xml:space="preserve">, </w:t>
      </w:r>
      <w:r w:rsidRPr="00627967">
        <w:t>Liu S</w:t>
      </w:r>
      <w:r w:rsidR="001B59F6">
        <w:rPr>
          <w:rFonts w:hint="eastAsia"/>
        </w:rPr>
        <w:t xml:space="preserve">, </w:t>
      </w:r>
      <w:r w:rsidR="00685A5C" w:rsidRPr="00627967">
        <w:t>et al</w:t>
      </w:r>
      <w:r w:rsidRPr="00627967">
        <w:t xml:space="preserve">. Afatinib as a </w:t>
      </w:r>
      <w:r w:rsidR="004F61B1">
        <w:rPr>
          <w:rFonts w:hint="eastAsia"/>
        </w:rPr>
        <w:t>p</w:t>
      </w:r>
      <w:r w:rsidRPr="00627967">
        <w:t xml:space="preserve">otential </w:t>
      </w:r>
      <w:r w:rsidR="004F61B1">
        <w:rPr>
          <w:rFonts w:hint="eastAsia"/>
        </w:rPr>
        <w:t>t</w:t>
      </w:r>
      <w:r w:rsidRPr="00627967">
        <w:t xml:space="preserve">herapeutic </w:t>
      </w:r>
      <w:r w:rsidR="004F61B1">
        <w:rPr>
          <w:rFonts w:hint="eastAsia"/>
        </w:rPr>
        <w:t>o</w:t>
      </w:r>
      <w:r w:rsidRPr="00627967">
        <w:t xml:space="preserve">ption for </w:t>
      </w:r>
      <w:r w:rsidR="004F61B1">
        <w:rPr>
          <w:rFonts w:hint="eastAsia"/>
        </w:rPr>
        <w:t>p</w:t>
      </w:r>
      <w:r w:rsidRPr="00627967">
        <w:t xml:space="preserve">atients </w:t>
      </w:r>
      <w:r w:rsidR="004F61B1">
        <w:rPr>
          <w:rFonts w:hint="eastAsia"/>
        </w:rPr>
        <w:t>w</w:t>
      </w:r>
      <w:r w:rsidRPr="00627967">
        <w:t xml:space="preserve">ith NSCLC </w:t>
      </w:r>
      <w:r w:rsidR="004F61B1">
        <w:rPr>
          <w:rFonts w:hint="eastAsia"/>
        </w:rPr>
        <w:t>w</w:t>
      </w:r>
      <w:r w:rsidRPr="00627967">
        <w:t>ith EGFR G724S[J].</w:t>
      </w:r>
      <w:r w:rsidR="001B59F6" w:rsidRPr="001B59F6">
        <w:rPr>
          <w:rFonts w:hint="eastAsia"/>
        </w:rPr>
        <w:t xml:space="preserve"> JTO Clin Res Rep</w:t>
      </w:r>
      <w:r w:rsidR="001B59F6">
        <w:rPr>
          <w:rFonts w:hint="eastAsia"/>
        </w:rPr>
        <w:t xml:space="preserve">, </w:t>
      </w:r>
      <w:r w:rsidRPr="00627967">
        <w:t>2021</w:t>
      </w:r>
      <w:r w:rsidR="001B59F6">
        <w:rPr>
          <w:rFonts w:hint="eastAsia"/>
        </w:rPr>
        <w:t xml:space="preserve">, </w:t>
      </w:r>
      <w:r w:rsidRPr="00627967">
        <w:t>2</w:t>
      </w:r>
      <w:r w:rsidR="004554B0">
        <w:t>(</w:t>
      </w:r>
      <w:r w:rsidRPr="00627967">
        <w:t>7</w:t>
      </w:r>
      <w:r w:rsidR="004554B0">
        <w:t xml:space="preserve">): </w:t>
      </w:r>
      <w:r w:rsidRPr="00627967">
        <w:t>100193.</w:t>
      </w:r>
    </w:p>
    <w:p w14:paraId="3EB8AB77" w14:textId="7A0E7101" w:rsidR="00627967" w:rsidRPr="00627967" w:rsidRDefault="00627967" w:rsidP="00627967">
      <w:pPr>
        <w:pStyle w:val="af1"/>
        <w:rPr>
          <w:rFonts w:hint="eastAsia"/>
        </w:rPr>
      </w:pPr>
      <w:r w:rsidRPr="00627967">
        <w:t>[32]</w:t>
      </w:r>
      <w:r w:rsidRPr="00627967">
        <w:tab/>
        <w:t>Xia Y</w:t>
      </w:r>
      <w:r w:rsidR="001B59F6">
        <w:rPr>
          <w:rFonts w:hint="eastAsia"/>
        </w:rPr>
        <w:t xml:space="preserve">, </w:t>
      </w:r>
      <w:r w:rsidRPr="00627967">
        <w:t>Wang K</w:t>
      </w:r>
      <w:r w:rsidR="001B59F6">
        <w:rPr>
          <w:rFonts w:hint="eastAsia"/>
        </w:rPr>
        <w:t xml:space="preserve">, </w:t>
      </w:r>
      <w:r w:rsidRPr="00627967">
        <w:t>Zhao J</w:t>
      </w:r>
      <w:r w:rsidR="001B59F6">
        <w:rPr>
          <w:rFonts w:hint="eastAsia"/>
        </w:rPr>
        <w:t xml:space="preserve">, </w:t>
      </w:r>
      <w:r w:rsidR="00685A5C" w:rsidRPr="00627967">
        <w:t>et al</w:t>
      </w:r>
      <w:r w:rsidRPr="00627967">
        <w:t xml:space="preserve">. Receptor </w:t>
      </w:r>
      <w:r w:rsidR="004F61B1">
        <w:rPr>
          <w:rFonts w:hint="eastAsia"/>
        </w:rPr>
        <w:t>t</w:t>
      </w:r>
      <w:r w:rsidRPr="00627967">
        <w:t xml:space="preserve">yrosine </w:t>
      </w:r>
      <w:r w:rsidR="004F61B1">
        <w:rPr>
          <w:rFonts w:hint="eastAsia"/>
        </w:rPr>
        <w:t>k</w:t>
      </w:r>
      <w:r w:rsidRPr="00627967">
        <w:t xml:space="preserve">inase </w:t>
      </w:r>
      <w:r w:rsidR="004F61B1">
        <w:rPr>
          <w:rFonts w:hint="eastAsia"/>
        </w:rPr>
        <w:t>f</w:t>
      </w:r>
      <w:r w:rsidRPr="00627967">
        <w:t>usion-</w:t>
      </w:r>
      <w:r w:rsidR="004F61B1">
        <w:rPr>
          <w:rFonts w:hint="eastAsia"/>
        </w:rPr>
        <w:t>m</w:t>
      </w:r>
      <w:r w:rsidRPr="00627967">
        <w:t xml:space="preserve">ediated </w:t>
      </w:r>
      <w:r w:rsidR="004F61B1">
        <w:rPr>
          <w:rFonts w:hint="eastAsia"/>
        </w:rPr>
        <w:t>r</w:t>
      </w:r>
      <w:r w:rsidRPr="00627967">
        <w:t>esistance to EGFR TKI in EGFR-</w:t>
      </w:r>
      <w:r w:rsidR="004F61B1">
        <w:rPr>
          <w:rFonts w:hint="eastAsia"/>
        </w:rPr>
        <w:t>m</w:t>
      </w:r>
      <w:r w:rsidRPr="00627967">
        <w:t>utant NSCLC</w:t>
      </w:r>
      <w:r w:rsidR="004554B0">
        <w:t xml:space="preserve">: </w:t>
      </w:r>
      <w:r w:rsidRPr="00627967">
        <w:t xml:space="preserve">A </w:t>
      </w:r>
      <w:r w:rsidR="004F61B1">
        <w:rPr>
          <w:rFonts w:hint="eastAsia"/>
        </w:rPr>
        <w:t>m</w:t>
      </w:r>
      <w:r w:rsidRPr="00627967">
        <w:t>ulti-</w:t>
      </w:r>
      <w:r w:rsidR="004F61B1">
        <w:rPr>
          <w:rFonts w:hint="eastAsia"/>
        </w:rPr>
        <w:t>c</w:t>
      </w:r>
      <w:r w:rsidRPr="00627967">
        <w:t xml:space="preserve">enter </w:t>
      </w:r>
      <w:r w:rsidR="004F61B1">
        <w:rPr>
          <w:rFonts w:hint="eastAsia"/>
        </w:rPr>
        <w:t>a</w:t>
      </w:r>
      <w:r w:rsidRPr="00627967">
        <w:t xml:space="preserve">nalysis and </w:t>
      </w:r>
      <w:r w:rsidR="004F61B1">
        <w:rPr>
          <w:rFonts w:hint="eastAsia"/>
        </w:rPr>
        <w:t>l</w:t>
      </w:r>
      <w:r w:rsidRPr="00627967">
        <w:t xml:space="preserve">iterature </w:t>
      </w:r>
      <w:r w:rsidR="004F61B1">
        <w:rPr>
          <w:rFonts w:hint="eastAsia"/>
        </w:rPr>
        <w:t>r</w:t>
      </w:r>
      <w:r w:rsidRPr="00627967">
        <w:t xml:space="preserve">eview[J]. </w:t>
      </w:r>
      <w:r w:rsidR="001B59F6" w:rsidRPr="001B59F6">
        <w:rPr>
          <w:rFonts w:hint="eastAsia"/>
        </w:rPr>
        <w:t>J Thorac Oncol</w:t>
      </w:r>
      <w:r w:rsidR="001B59F6">
        <w:rPr>
          <w:rFonts w:hint="eastAsia"/>
        </w:rPr>
        <w:t xml:space="preserve">, </w:t>
      </w:r>
      <w:r w:rsidRPr="00627967">
        <w:t>2025</w:t>
      </w:r>
      <w:r w:rsidR="001B59F6">
        <w:rPr>
          <w:rFonts w:hint="eastAsia"/>
        </w:rPr>
        <w:t xml:space="preserve">, </w:t>
      </w:r>
      <w:r w:rsidRPr="00627967">
        <w:t>20</w:t>
      </w:r>
      <w:r w:rsidR="004554B0">
        <w:t>(</w:t>
      </w:r>
      <w:r w:rsidRPr="00627967">
        <w:t>4</w:t>
      </w:r>
      <w:r w:rsidR="004554B0">
        <w:t xml:space="preserve">): </w:t>
      </w:r>
      <w:r w:rsidRPr="00627967">
        <w:t>465-474.</w:t>
      </w:r>
    </w:p>
    <w:p w14:paraId="4D96DD21" w14:textId="6D5609F6" w:rsidR="00627967" w:rsidRPr="00627967" w:rsidRDefault="00627967" w:rsidP="00627967">
      <w:pPr>
        <w:pStyle w:val="af1"/>
        <w:rPr>
          <w:rFonts w:hint="eastAsia"/>
        </w:rPr>
      </w:pPr>
      <w:r w:rsidRPr="00627967">
        <w:t>[33]</w:t>
      </w:r>
      <w:r w:rsidRPr="00627967">
        <w:tab/>
        <w:t>Rotow J</w:t>
      </w:r>
      <w:r w:rsidR="001B59F6">
        <w:rPr>
          <w:rFonts w:hint="eastAsia"/>
        </w:rPr>
        <w:t xml:space="preserve">, </w:t>
      </w:r>
      <w:r w:rsidRPr="00627967">
        <w:t>Patel J D</w:t>
      </w:r>
      <w:r w:rsidR="001B59F6">
        <w:rPr>
          <w:rFonts w:hint="eastAsia"/>
        </w:rPr>
        <w:t xml:space="preserve">, </w:t>
      </w:r>
      <w:r w:rsidRPr="00627967">
        <w:t>Hanley M P</w:t>
      </w:r>
      <w:r w:rsidR="001B59F6">
        <w:rPr>
          <w:rFonts w:hint="eastAsia"/>
        </w:rPr>
        <w:t xml:space="preserve">, </w:t>
      </w:r>
      <w:r w:rsidR="00685A5C" w:rsidRPr="00627967">
        <w:t>et al</w:t>
      </w:r>
      <w:r w:rsidRPr="00627967">
        <w:t xml:space="preserve">. Osimertinib and selpercatinib efficacy, safety, and resistance in a multicenter, prospectively treated cohort of EGFR-mutant and RET fusion-positive lung cancers[J]. </w:t>
      </w:r>
      <w:r w:rsidR="001B59F6" w:rsidRPr="001B59F6">
        <w:rPr>
          <w:rFonts w:hint="eastAsia"/>
        </w:rPr>
        <w:t>Clin Cancer Res</w:t>
      </w:r>
      <w:r w:rsidR="001B59F6">
        <w:rPr>
          <w:rFonts w:hint="eastAsia"/>
        </w:rPr>
        <w:t xml:space="preserve">, </w:t>
      </w:r>
      <w:r w:rsidRPr="00627967">
        <w:t>2023</w:t>
      </w:r>
      <w:r w:rsidR="001B59F6">
        <w:rPr>
          <w:rFonts w:hint="eastAsia"/>
        </w:rPr>
        <w:t xml:space="preserve">, </w:t>
      </w:r>
      <w:r w:rsidRPr="00627967">
        <w:t>29</w:t>
      </w:r>
      <w:r w:rsidR="004554B0">
        <w:t>(</w:t>
      </w:r>
      <w:r w:rsidRPr="00627967">
        <w:t>16</w:t>
      </w:r>
      <w:r w:rsidR="004554B0">
        <w:t xml:space="preserve">): </w:t>
      </w:r>
      <w:r w:rsidRPr="00627967">
        <w:t>2979-2987.</w:t>
      </w:r>
    </w:p>
    <w:p w14:paraId="2FAE2038" w14:textId="30905094" w:rsidR="00627967" w:rsidRPr="00627967" w:rsidRDefault="00627967" w:rsidP="00627967">
      <w:pPr>
        <w:pStyle w:val="af1"/>
        <w:rPr>
          <w:rFonts w:hint="eastAsia"/>
        </w:rPr>
      </w:pPr>
      <w:r w:rsidRPr="00627967">
        <w:t>[34]</w:t>
      </w:r>
      <w:r w:rsidRPr="00627967">
        <w:tab/>
        <w:t>Mehlman C</w:t>
      </w:r>
      <w:r w:rsidR="001B59F6">
        <w:rPr>
          <w:rFonts w:hint="eastAsia"/>
        </w:rPr>
        <w:t xml:space="preserve">, </w:t>
      </w:r>
      <w:r w:rsidRPr="00627967">
        <w:t>Swalduz A</w:t>
      </w:r>
      <w:r w:rsidR="001B59F6">
        <w:rPr>
          <w:rFonts w:hint="eastAsia"/>
        </w:rPr>
        <w:t xml:space="preserve">, </w:t>
      </w:r>
      <w:r w:rsidRPr="00627967">
        <w:t>Monnet I</w:t>
      </w:r>
      <w:r w:rsidR="001B59F6">
        <w:rPr>
          <w:rFonts w:hint="eastAsia"/>
        </w:rPr>
        <w:t xml:space="preserve">, </w:t>
      </w:r>
      <w:r w:rsidRPr="00627967">
        <w:t>et al. COMPOSIT study</w:t>
      </w:r>
      <w:r w:rsidR="004554B0">
        <w:t xml:space="preserve">: </w:t>
      </w:r>
      <w:r w:rsidRPr="00627967">
        <w:t xml:space="preserve">evaluating osimertinib combination with targeted therapies in </w:t>
      </w:r>
      <w:r w:rsidRPr="00627967">
        <w:rPr>
          <w:i/>
          <w:iCs/>
        </w:rPr>
        <w:t>EGFR</w:t>
      </w:r>
      <w:r w:rsidRPr="00627967">
        <w:t>-mutated non-small cell lung cancer[J]. Oncologist</w:t>
      </w:r>
      <w:r w:rsidR="001B59F6">
        <w:rPr>
          <w:rFonts w:hint="eastAsia"/>
        </w:rPr>
        <w:t xml:space="preserve">, </w:t>
      </w:r>
      <w:r w:rsidRPr="00627967">
        <w:t>2025</w:t>
      </w:r>
      <w:r w:rsidR="001B59F6">
        <w:rPr>
          <w:rFonts w:hint="eastAsia"/>
        </w:rPr>
        <w:t xml:space="preserve">, </w:t>
      </w:r>
      <w:r w:rsidRPr="00627967">
        <w:t>30</w:t>
      </w:r>
      <w:r w:rsidR="004554B0">
        <w:t>(</w:t>
      </w:r>
      <w:r w:rsidRPr="00627967">
        <w:t>8</w:t>
      </w:r>
      <w:r w:rsidR="004554B0">
        <w:t xml:space="preserve">): </w:t>
      </w:r>
      <w:r w:rsidRPr="00627967">
        <w:t>oyae312.</w:t>
      </w:r>
    </w:p>
    <w:p w14:paraId="4616C708" w14:textId="17123538" w:rsidR="00627967" w:rsidRPr="00627967" w:rsidRDefault="00627967" w:rsidP="00627967">
      <w:pPr>
        <w:pStyle w:val="af1"/>
        <w:rPr>
          <w:rFonts w:hint="eastAsia"/>
        </w:rPr>
      </w:pPr>
      <w:r w:rsidRPr="00627967">
        <w:t>[35]</w:t>
      </w:r>
      <w:r w:rsidRPr="00627967">
        <w:tab/>
        <w:t>Guo Y</w:t>
      </w:r>
      <w:r w:rsidR="001B59F6">
        <w:rPr>
          <w:rFonts w:hint="eastAsia"/>
        </w:rPr>
        <w:t xml:space="preserve">, </w:t>
      </w:r>
      <w:r w:rsidRPr="00627967">
        <w:t>Zhang R</w:t>
      </w:r>
      <w:r w:rsidR="001B59F6">
        <w:rPr>
          <w:rFonts w:hint="eastAsia"/>
        </w:rPr>
        <w:t xml:space="preserve">, </w:t>
      </w:r>
      <w:r w:rsidRPr="00627967">
        <w:t>Meng Y</w:t>
      </w:r>
      <w:r w:rsidR="001B59F6">
        <w:rPr>
          <w:rFonts w:hint="eastAsia"/>
        </w:rPr>
        <w:t xml:space="preserve">, </w:t>
      </w:r>
      <w:r w:rsidR="00685A5C" w:rsidRPr="00627967">
        <w:t>et al</w:t>
      </w:r>
      <w:r w:rsidRPr="00627967">
        <w:t>. Case report</w:t>
      </w:r>
      <w:r w:rsidR="004554B0">
        <w:t xml:space="preserve">: </w:t>
      </w:r>
      <w:r w:rsidRPr="00627967">
        <w:t xml:space="preserve">Durable response of ensartinib targeting EML4-ALK fusion in osimertinib-resistant non-small cell lung cancer[J]. </w:t>
      </w:r>
      <w:r w:rsidR="001B59F6" w:rsidRPr="001B59F6">
        <w:rPr>
          <w:rFonts w:hint="eastAsia"/>
        </w:rPr>
        <w:t>Front Pharmacol</w:t>
      </w:r>
      <w:r w:rsidR="001B59F6">
        <w:rPr>
          <w:rFonts w:hint="eastAsia"/>
        </w:rPr>
        <w:t xml:space="preserve">, </w:t>
      </w:r>
      <w:r w:rsidRPr="00627967">
        <w:t>2024</w:t>
      </w:r>
      <w:r w:rsidR="001B59F6">
        <w:rPr>
          <w:rFonts w:hint="eastAsia"/>
        </w:rPr>
        <w:t xml:space="preserve">, </w:t>
      </w:r>
      <w:r w:rsidRPr="00627967">
        <w:t>15</w:t>
      </w:r>
      <w:r w:rsidR="004554B0">
        <w:t xml:space="preserve">: </w:t>
      </w:r>
      <w:r w:rsidR="00AC08B8">
        <w:rPr>
          <w:rFonts w:hint="eastAsia"/>
        </w:rPr>
        <w:t xml:space="preserve"> </w:t>
      </w:r>
      <w:r w:rsidRPr="00627967">
        <w:t>1359403</w:t>
      </w:r>
      <w:r w:rsidR="00D4600D">
        <w:rPr>
          <w:rFonts w:hint="eastAsia"/>
        </w:rPr>
        <w:t>.</w:t>
      </w:r>
    </w:p>
    <w:p w14:paraId="72DE4AB4" w14:textId="1320D484" w:rsidR="00627967" w:rsidRPr="00627967" w:rsidRDefault="00627967" w:rsidP="00627967">
      <w:pPr>
        <w:pStyle w:val="af1"/>
        <w:rPr>
          <w:rFonts w:hint="eastAsia"/>
        </w:rPr>
      </w:pPr>
      <w:r w:rsidRPr="00627967">
        <w:t>[36]</w:t>
      </w:r>
      <w:r w:rsidRPr="00627967">
        <w:tab/>
        <w:t>Cheung B M F</w:t>
      </w:r>
      <w:r w:rsidR="001B59F6">
        <w:rPr>
          <w:rFonts w:hint="eastAsia"/>
        </w:rPr>
        <w:t xml:space="preserve">, </w:t>
      </w:r>
      <w:r w:rsidRPr="00627967">
        <w:t>El Helali A</w:t>
      </w:r>
      <w:r w:rsidR="001B59F6">
        <w:rPr>
          <w:rFonts w:hint="eastAsia"/>
        </w:rPr>
        <w:t xml:space="preserve">, </w:t>
      </w:r>
      <w:r w:rsidRPr="00627967">
        <w:t xml:space="preserve">Leung D K C. Anaplastic </w:t>
      </w:r>
      <w:r w:rsidR="004F61B1">
        <w:rPr>
          <w:rFonts w:hint="eastAsia"/>
        </w:rPr>
        <w:t>l</w:t>
      </w:r>
      <w:r w:rsidRPr="00627967">
        <w:t xml:space="preserve">ymphoma </w:t>
      </w:r>
      <w:r w:rsidR="004F61B1">
        <w:rPr>
          <w:rFonts w:hint="eastAsia"/>
        </w:rPr>
        <w:t>k</w:t>
      </w:r>
      <w:r w:rsidRPr="00627967">
        <w:t xml:space="preserve">inase (ALK) </w:t>
      </w:r>
      <w:r w:rsidR="004F61B1">
        <w:rPr>
          <w:rFonts w:hint="eastAsia"/>
        </w:rPr>
        <w:t>f</w:t>
      </w:r>
      <w:r w:rsidRPr="00627967">
        <w:t xml:space="preserve">usion as a </w:t>
      </w:r>
      <w:r w:rsidR="004F61B1">
        <w:rPr>
          <w:rFonts w:hint="eastAsia"/>
        </w:rPr>
        <w:t>r</w:t>
      </w:r>
      <w:r w:rsidRPr="00627967">
        <w:t xml:space="preserve">esistance </w:t>
      </w:r>
      <w:r w:rsidR="004F61B1">
        <w:rPr>
          <w:rFonts w:hint="eastAsia"/>
        </w:rPr>
        <w:t>m</w:t>
      </w:r>
      <w:r w:rsidRPr="00627967">
        <w:t xml:space="preserve">echanism to </w:t>
      </w:r>
      <w:r w:rsidR="004F61B1">
        <w:rPr>
          <w:rFonts w:hint="eastAsia"/>
        </w:rPr>
        <w:t>e</w:t>
      </w:r>
      <w:r w:rsidRPr="00627967">
        <w:t xml:space="preserve">pidermal </w:t>
      </w:r>
      <w:r w:rsidR="004F61B1">
        <w:rPr>
          <w:rFonts w:hint="eastAsia"/>
        </w:rPr>
        <w:t>g</w:t>
      </w:r>
      <w:r w:rsidRPr="00627967">
        <w:t xml:space="preserve">rowth </w:t>
      </w:r>
      <w:r w:rsidR="004F61B1">
        <w:rPr>
          <w:rFonts w:hint="eastAsia"/>
        </w:rPr>
        <w:t>f</w:t>
      </w:r>
      <w:r w:rsidRPr="00627967">
        <w:t xml:space="preserve">actor </w:t>
      </w:r>
      <w:r w:rsidR="004F61B1">
        <w:rPr>
          <w:rFonts w:hint="eastAsia"/>
        </w:rPr>
        <w:t>r</w:t>
      </w:r>
      <w:r w:rsidRPr="00627967">
        <w:t xml:space="preserve">eceptor (EGFR) </w:t>
      </w:r>
      <w:r w:rsidR="004F61B1">
        <w:rPr>
          <w:rFonts w:hint="eastAsia"/>
        </w:rPr>
        <w:t>t</w:t>
      </w:r>
      <w:r w:rsidRPr="00627967">
        <w:t xml:space="preserve">yrosine </w:t>
      </w:r>
      <w:r w:rsidR="004F61B1">
        <w:rPr>
          <w:rFonts w:hint="eastAsia"/>
        </w:rPr>
        <w:t>k</w:t>
      </w:r>
      <w:r w:rsidRPr="00627967">
        <w:t xml:space="preserve">inase </w:t>
      </w:r>
      <w:r w:rsidR="005E2AB5">
        <w:rPr>
          <w:rFonts w:hint="eastAsia"/>
        </w:rPr>
        <w:t>i</w:t>
      </w:r>
      <w:r w:rsidRPr="00627967">
        <w:t xml:space="preserve">nhibitors </w:t>
      </w:r>
      <w:r w:rsidR="005E2AB5">
        <w:rPr>
          <w:rFonts w:hint="eastAsia"/>
        </w:rPr>
        <w:t>w</w:t>
      </w:r>
      <w:r w:rsidR="00085A59">
        <w:rPr>
          <w:rFonts w:hint="eastAsia"/>
        </w:rPr>
        <w:t>i</w:t>
      </w:r>
      <w:r w:rsidRPr="00627967">
        <w:t xml:space="preserve">th </w:t>
      </w:r>
      <w:r w:rsidR="005E2AB5">
        <w:rPr>
          <w:rFonts w:hint="eastAsia"/>
        </w:rPr>
        <w:t>c</w:t>
      </w:r>
      <w:r w:rsidRPr="00627967">
        <w:t xml:space="preserve">omplete </w:t>
      </w:r>
      <w:r w:rsidR="005E2AB5">
        <w:rPr>
          <w:rFonts w:hint="eastAsia"/>
        </w:rPr>
        <w:t>r</w:t>
      </w:r>
      <w:r w:rsidRPr="00627967">
        <w:t xml:space="preserve">esponse </w:t>
      </w:r>
      <w:r w:rsidR="005E2AB5">
        <w:rPr>
          <w:rFonts w:hint="eastAsia"/>
        </w:rPr>
        <w:t>a</w:t>
      </w:r>
      <w:r w:rsidRPr="00627967">
        <w:t xml:space="preserve">fter </w:t>
      </w:r>
      <w:r w:rsidR="005E2AB5">
        <w:rPr>
          <w:rFonts w:hint="eastAsia"/>
        </w:rPr>
        <w:t>o</w:t>
      </w:r>
      <w:r w:rsidRPr="00627967">
        <w:t xml:space="preserve">simertinib and </w:t>
      </w:r>
      <w:r w:rsidR="005E2AB5">
        <w:rPr>
          <w:rFonts w:hint="eastAsia"/>
        </w:rPr>
        <w:t>a</w:t>
      </w:r>
      <w:r w:rsidRPr="00627967">
        <w:t>lectinib</w:t>
      </w:r>
      <w:r w:rsidR="004554B0">
        <w:t xml:space="preserve">: </w:t>
      </w:r>
      <w:r w:rsidRPr="00627967">
        <w:t xml:space="preserve">A </w:t>
      </w:r>
      <w:r w:rsidR="005E2AB5">
        <w:rPr>
          <w:rFonts w:hint="eastAsia"/>
        </w:rPr>
        <w:t>c</w:t>
      </w:r>
      <w:r w:rsidRPr="00627967">
        <w:t xml:space="preserve">ase </w:t>
      </w:r>
      <w:r w:rsidR="005E2AB5">
        <w:rPr>
          <w:rFonts w:hint="eastAsia"/>
        </w:rPr>
        <w:t>r</w:t>
      </w:r>
      <w:r w:rsidRPr="00627967">
        <w:t xml:space="preserve">eport and </w:t>
      </w:r>
      <w:r w:rsidR="005E2AB5">
        <w:rPr>
          <w:rFonts w:hint="eastAsia"/>
        </w:rPr>
        <w:t>l</w:t>
      </w:r>
      <w:r w:rsidRPr="00627967">
        <w:t xml:space="preserve">iterature </w:t>
      </w:r>
      <w:r w:rsidR="005E2AB5">
        <w:rPr>
          <w:rFonts w:hint="eastAsia"/>
        </w:rPr>
        <w:t>r</w:t>
      </w:r>
      <w:r w:rsidRPr="00627967">
        <w:t>eview[J]. Cureus</w:t>
      </w:r>
      <w:r w:rsidR="001B59F6">
        <w:rPr>
          <w:rFonts w:hint="eastAsia"/>
        </w:rPr>
        <w:t xml:space="preserve">, </w:t>
      </w:r>
      <w:r w:rsidRPr="00627967">
        <w:t>2025</w:t>
      </w:r>
      <w:r w:rsidR="001B59F6">
        <w:rPr>
          <w:rFonts w:hint="eastAsia"/>
        </w:rPr>
        <w:t xml:space="preserve">, </w:t>
      </w:r>
      <w:r w:rsidRPr="00627967">
        <w:t>17</w:t>
      </w:r>
      <w:r w:rsidR="004554B0">
        <w:t>(</w:t>
      </w:r>
      <w:r w:rsidRPr="00627967">
        <w:t>9</w:t>
      </w:r>
      <w:r w:rsidR="004554B0">
        <w:t xml:space="preserve">): </w:t>
      </w:r>
      <w:r w:rsidRPr="00627967">
        <w:t>e92202.</w:t>
      </w:r>
    </w:p>
    <w:p w14:paraId="3D57095E" w14:textId="52CD4B0E" w:rsidR="00AC08B8" w:rsidRDefault="00627967" w:rsidP="00627967">
      <w:pPr>
        <w:pStyle w:val="af1"/>
        <w:rPr>
          <w:rFonts w:hint="eastAsia"/>
        </w:rPr>
      </w:pPr>
      <w:r w:rsidRPr="00627967">
        <w:t>[37]</w:t>
      </w:r>
      <w:r w:rsidRPr="00627967">
        <w:tab/>
        <w:t>Fang W</w:t>
      </w:r>
      <w:r w:rsidR="001B59F6">
        <w:rPr>
          <w:rFonts w:hint="eastAsia"/>
        </w:rPr>
        <w:t xml:space="preserve">, </w:t>
      </w:r>
      <w:r w:rsidRPr="00627967">
        <w:t>Huang Y</w:t>
      </w:r>
      <w:r w:rsidR="001B59F6">
        <w:rPr>
          <w:rFonts w:hint="eastAsia"/>
        </w:rPr>
        <w:t xml:space="preserve">, </w:t>
      </w:r>
      <w:r w:rsidRPr="00627967">
        <w:t xml:space="preserve">Gu W，et al. PI3K-AKT-mTOR pathway alterations in advanced NSCLC patients after progression on EGFR-TKI and clinical response to EGFR-TKI plus everolimus combination therapy[J]. </w:t>
      </w:r>
      <w:r w:rsidR="001B59F6" w:rsidRPr="001B59F6">
        <w:rPr>
          <w:rFonts w:hint="eastAsia"/>
        </w:rPr>
        <w:t>Transl Lung Cancer Res</w:t>
      </w:r>
      <w:r w:rsidR="001B59F6">
        <w:rPr>
          <w:rFonts w:hint="eastAsia"/>
        </w:rPr>
        <w:t xml:space="preserve">, </w:t>
      </w:r>
      <w:r w:rsidRPr="00627967">
        <w:t>2020</w:t>
      </w:r>
      <w:r w:rsidR="001B59F6">
        <w:rPr>
          <w:rFonts w:hint="eastAsia"/>
        </w:rPr>
        <w:t xml:space="preserve">, </w:t>
      </w:r>
      <w:r w:rsidRPr="00627967">
        <w:t>9</w:t>
      </w:r>
      <w:r w:rsidR="004554B0">
        <w:t>(</w:t>
      </w:r>
      <w:r w:rsidRPr="00627967">
        <w:t>4</w:t>
      </w:r>
      <w:r w:rsidR="004554B0">
        <w:t>)</w:t>
      </w:r>
      <w:r w:rsidR="004554B0">
        <w:rPr>
          <w:rFonts w:hint="eastAsia"/>
        </w:rPr>
        <w:t xml:space="preserve">: </w:t>
      </w:r>
      <w:r w:rsidR="00AC08B8" w:rsidRPr="00AC08B8">
        <w:rPr>
          <w:rFonts w:hint="eastAsia"/>
        </w:rPr>
        <w:t>1258-1267.</w:t>
      </w:r>
      <w:r w:rsidR="00AC08B8" w:rsidRPr="00AC08B8">
        <w:t xml:space="preserve"> </w:t>
      </w:r>
    </w:p>
    <w:p w14:paraId="6BD47BDC" w14:textId="2F474C36" w:rsidR="00627967" w:rsidRPr="00627967" w:rsidRDefault="00627967" w:rsidP="00627967">
      <w:pPr>
        <w:pStyle w:val="af1"/>
        <w:rPr>
          <w:rFonts w:hint="eastAsia"/>
        </w:rPr>
      </w:pPr>
      <w:r w:rsidRPr="00627967">
        <w:t>[38]</w:t>
      </w:r>
      <w:r w:rsidRPr="00627967">
        <w:tab/>
        <w:t>Grazini U</w:t>
      </w:r>
      <w:r w:rsidR="001B59F6">
        <w:rPr>
          <w:rFonts w:hint="eastAsia"/>
        </w:rPr>
        <w:t xml:space="preserve">, </w:t>
      </w:r>
      <w:r w:rsidRPr="00627967">
        <w:t>Markovets A</w:t>
      </w:r>
      <w:r w:rsidR="001B59F6">
        <w:rPr>
          <w:rFonts w:hint="eastAsia"/>
        </w:rPr>
        <w:t xml:space="preserve">, </w:t>
      </w:r>
      <w:r w:rsidRPr="00627967">
        <w:t>Ireland L</w:t>
      </w:r>
      <w:r w:rsidR="001B59F6">
        <w:rPr>
          <w:rFonts w:hint="eastAsia"/>
        </w:rPr>
        <w:t xml:space="preserve">, </w:t>
      </w:r>
      <w:r w:rsidR="00685A5C" w:rsidRPr="00627967">
        <w:t>et al</w:t>
      </w:r>
      <w:r w:rsidRPr="00627967">
        <w:t xml:space="preserve">. Overcoming </w:t>
      </w:r>
      <w:r w:rsidR="005E2AB5">
        <w:rPr>
          <w:rFonts w:hint="eastAsia"/>
        </w:rPr>
        <w:t>o</w:t>
      </w:r>
      <w:r w:rsidRPr="00627967">
        <w:t xml:space="preserve">simertinib </w:t>
      </w:r>
      <w:r w:rsidR="005E2AB5">
        <w:rPr>
          <w:rFonts w:hint="eastAsia"/>
        </w:rPr>
        <w:t>r</w:t>
      </w:r>
      <w:r w:rsidRPr="00627967">
        <w:t xml:space="preserve">esistance with AKT </w:t>
      </w:r>
      <w:r w:rsidR="005E2AB5">
        <w:rPr>
          <w:rFonts w:hint="eastAsia"/>
        </w:rPr>
        <w:t>i</w:t>
      </w:r>
      <w:r w:rsidRPr="00627967">
        <w:t>nhibition in EGFRm-</w:t>
      </w:r>
      <w:r w:rsidR="005E2AB5">
        <w:rPr>
          <w:rFonts w:hint="eastAsia"/>
        </w:rPr>
        <w:t>d</w:t>
      </w:r>
      <w:r w:rsidRPr="00627967">
        <w:t xml:space="preserve">riven </w:t>
      </w:r>
      <w:r w:rsidR="005E2AB5">
        <w:rPr>
          <w:rFonts w:hint="eastAsia"/>
        </w:rPr>
        <w:t>n</w:t>
      </w:r>
      <w:r w:rsidRPr="00627967">
        <w:t>on-</w:t>
      </w:r>
      <w:r w:rsidR="005E2AB5">
        <w:rPr>
          <w:rFonts w:hint="eastAsia"/>
        </w:rPr>
        <w:t>s</w:t>
      </w:r>
      <w:r w:rsidRPr="00627967">
        <w:t xml:space="preserve">mall </w:t>
      </w:r>
      <w:r w:rsidR="005E2AB5">
        <w:rPr>
          <w:rFonts w:hint="eastAsia"/>
        </w:rPr>
        <w:t>c</w:t>
      </w:r>
      <w:r w:rsidRPr="00627967">
        <w:t xml:space="preserve">ell </w:t>
      </w:r>
      <w:r w:rsidR="005E2AB5">
        <w:rPr>
          <w:rFonts w:hint="eastAsia"/>
        </w:rPr>
        <w:t>l</w:t>
      </w:r>
      <w:r w:rsidRPr="00627967">
        <w:t xml:space="preserve">ung </w:t>
      </w:r>
      <w:r w:rsidR="005E2AB5">
        <w:rPr>
          <w:rFonts w:hint="eastAsia"/>
        </w:rPr>
        <w:t>c</w:t>
      </w:r>
      <w:r w:rsidRPr="00627967">
        <w:t xml:space="preserve">ancer with PIK3CA/PTEN </w:t>
      </w:r>
      <w:r w:rsidR="005E2AB5">
        <w:rPr>
          <w:rFonts w:hint="eastAsia"/>
        </w:rPr>
        <w:t>a</w:t>
      </w:r>
      <w:r w:rsidRPr="00627967">
        <w:t xml:space="preserve">lterations[J]. </w:t>
      </w:r>
      <w:r w:rsidR="001B59F6" w:rsidRPr="001B59F6">
        <w:rPr>
          <w:rFonts w:hint="eastAsia"/>
        </w:rPr>
        <w:t>Clin Cancer Res</w:t>
      </w:r>
      <w:r w:rsidR="001B59F6">
        <w:rPr>
          <w:rFonts w:hint="eastAsia"/>
        </w:rPr>
        <w:t xml:space="preserve">, </w:t>
      </w:r>
      <w:r w:rsidRPr="00627967">
        <w:t>2024</w:t>
      </w:r>
      <w:r w:rsidR="001B59F6">
        <w:rPr>
          <w:rFonts w:hint="eastAsia"/>
        </w:rPr>
        <w:t xml:space="preserve">, </w:t>
      </w:r>
      <w:r w:rsidRPr="00627967">
        <w:t>30</w:t>
      </w:r>
      <w:r w:rsidR="004554B0">
        <w:t>(</w:t>
      </w:r>
      <w:r w:rsidRPr="00627967">
        <w:t>18</w:t>
      </w:r>
      <w:r w:rsidR="004554B0">
        <w:t xml:space="preserve">): </w:t>
      </w:r>
      <w:r w:rsidRPr="00627967">
        <w:t>4143-4154.</w:t>
      </w:r>
    </w:p>
    <w:p w14:paraId="51A0A70C" w14:textId="029C7E6E" w:rsidR="00627967" w:rsidRPr="00627967" w:rsidRDefault="00627967" w:rsidP="00627967">
      <w:pPr>
        <w:pStyle w:val="af1"/>
        <w:rPr>
          <w:rFonts w:hint="eastAsia"/>
        </w:rPr>
      </w:pPr>
      <w:r w:rsidRPr="00627967">
        <w:t>[39]</w:t>
      </w:r>
      <w:r w:rsidRPr="00627967">
        <w:tab/>
        <w:t>Yu Y</w:t>
      </w:r>
      <w:r w:rsidR="001B59F6">
        <w:rPr>
          <w:rFonts w:hint="eastAsia"/>
        </w:rPr>
        <w:t xml:space="preserve">, </w:t>
      </w:r>
      <w:r w:rsidRPr="00627967">
        <w:t>Xiao Z</w:t>
      </w:r>
      <w:r w:rsidR="001B59F6">
        <w:rPr>
          <w:rFonts w:hint="eastAsia"/>
        </w:rPr>
        <w:t xml:space="preserve">, </w:t>
      </w:r>
      <w:r w:rsidRPr="00627967">
        <w:t>Lei C</w:t>
      </w:r>
      <w:r w:rsidR="001B59F6">
        <w:rPr>
          <w:rFonts w:hint="eastAsia"/>
        </w:rPr>
        <w:t xml:space="preserve">, </w:t>
      </w:r>
      <w:r w:rsidR="00685A5C" w:rsidRPr="00627967">
        <w:t>et al</w:t>
      </w:r>
      <w:r w:rsidRPr="00627967">
        <w:t>. BYL719 reverses gefitinib-resistance induced by PI3K/AKT activation in non-small cell lung cancer cells[J]. BMC cancer</w:t>
      </w:r>
      <w:r w:rsidR="001B59F6">
        <w:rPr>
          <w:rFonts w:hint="eastAsia"/>
        </w:rPr>
        <w:t xml:space="preserve">, </w:t>
      </w:r>
      <w:r w:rsidRPr="00627967">
        <w:t>2023</w:t>
      </w:r>
      <w:r w:rsidR="001B59F6">
        <w:rPr>
          <w:rFonts w:hint="eastAsia"/>
        </w:rPr>
        <w:t xml:space="preserve">, </w:t>
      </w:r>
      <w:r w:rsidRPr="00627967">
        <w:t>23</w:t>
      </w:r>
      <w:r w:rsidR="004554B0">
        <w:t>(</w:t>
      </w:r>
      <w:r w:rsidRPr="00627967">
        <w:t>1</w:t>
      </w:r>
      <w:r w:rsidR="004554B0">
        <w:t xml:space="preserve">): </w:t>
      </w:r>
      <w:r w:rsidRPr="00627967">
        <w:t>732.</w:t>
      </w:r>
    </w:p>
    <w:p w14:paraId="080B01AC" w14:textId="6382253F" w:rsidR="00AC08B8" w:rsidRDefault="00627967" w:rsidP="00627967">
      <w:pPr>
        <w:pStyle w:val="af1"/>
        <w:rPr>
          <w:rFonts w:hint="eastAsia"/>
        </w:rPr>
      </w:pPr>
      <w:r w:rsidRPr="00627967">
        <w:t>[40]</w:t>
      </w:r>
      <w:r w:rsidRPr="00627967">
        <w:tab/>
        <w:t>Weng C-D</w:t>
      </w:r>
      <w:r w:rsidR="00C05767">
        <w:rPr>
          <w:rFonts w:hint="eastAsia"/>
        </w:rPr>
        <w:t xml:space="preserve">, </w:t>
      </w:r>
      <w:r w:rsidRPr="00627967">
        <w:t>Liu K-J</w:t>
      </w:r>
      <w:r w:rsidR="00C05767">
        <w:rPr>
          <w:rFonts w:hint="eastAsia"/>
        </w:rPr>
        <w:t xml:space="preserve">, </w:t>
      </w:r>
      <w:r w:rsidRPr="00627967">
        <w:t>Jin S</w:t>
      </w:r>
      <w:r w:rsidR="00C05767">
        <w:rPr>
          <w:rFonts w:hint="eastAsia"/>
        </w:rPr>
        <w:t xml:space="preserve">, </w:t>
      </w:r>
      <w:r w:rsidRPr="00627967">
        <w:t xml:space="preserve">et al. Triple-targeted therapy of dabrafenib, trametinib, and osimertinib for the treatment of the acquired BRAF V600E mutation after progression on EGFR-tyrosine kinase inhibitors in advanced EGFR-mutated non-small cell lung cancer patients[J]. </w:t>
      </w:r>
      <w:r w:rsidR="00C05767" w:rsidRPr="00C05767">
        <w:rPr>
          <w:rFonts w:hint="eastAsia"/>
        </w:rPr>
        <w:t>Transl Lung Cancer Res</w:t>
      </w:r>
      <w:r w:rsidR="00C05767">
        <w:rPr>
          <w:rFonts w:hint="eastAsia"/>
        </w:rPr>
        <w:t xml:space="preserve">, </w:t>
      </w:r>
      <w:r w:rsidRPr="00627967">
        <w:t>2024</w:t>
      </w:r>
      <w:r w:rsidR="00C05767">
        <w:rPr>
          <w:rFonts w:hint="eastAsia"/>
        </w:rPr>
        <w:t xml:space="preserve">, </w:t>
      </w:r>
      <w:r w:rsidRPr="00627967">
        <w:t>13</w:t>
      </w:r>
      <w:r w:rsidR="004554B0">
        <w:t>(</w:t>
      </w:r>
      <w:r w:rsidRPr="00627967">
        <w:t>10</w:t>
      </w:r>
      <w:r w:rsidR="004554B0">
        <w:t>)</w:t>
      </w:r>
      <w:r w:rsidR="004554B0">
        <w:rPr>
          <w:rFonts w:hint="eastAsia"/>
        </w:rPr>
        <w:t xml:space="preserve">: </w:t>
      </w:r>
      <w:r w:rsidR="00AC08B8" w:rsidRPr="00AC08B8">
        <w:rPr>
          <w:rFonts w:hint="eastAsia"/>
        </w:rPr>
        <w:t>2538-2548.</w:t>
      </w:r>
    </w:p>
    <w:p w14:paraId="6AF9BAD9" w14:textId="13FF91C3" w:rsidR="00627967" w:rsidRPr="00627967" w:rsidRDefault="00627967" w:rsidP="00627967">
      <w:pPr>
        <w:pStyle w:val="af1"/>
        <w:rPr>
          <w:rFonts w:hint="eastAsia"/>
        </w:rPr>
      </w:pPr>
      <w:r w:rsidRPr="00627967">
        <w:t>[41]</w:t>
      </w:r>
      <w:r w:rsidRPr="00627967">
        <w:tab/>
        <w:t>Ahn M-J</w:t>
      </w:r>
      <w:r w:rsidR="00C05767">
        <w:rPr>
          <w:rFonts w:hint="eastAsia"/>
        </w:rPr>
        <w:t xml:space="preserve">, </w:t>
      </w:r>
      <w:r w:rsidRPr="00627967">
        <w:t>Lisberg A</w:t>
      </w:r>
      <w:r w:rsidR="00C05767">
        <w:rPr>
          <w:rFonts w:hint="eastAsia"/>
        </w:rPr>
        <w:t xml:space="preserve">, </w:t>
      </w:r>
      <w:r w:rsidRPr="00627967">
        <w:t>Goto Y</w:t>
      </w:r>
      <w:r w:rsidR="00C05767">
        <w:rPr>
          <w:rFonts w:hint="eastAsia"/>
        </w:rPr>
        <w:t xml:space="preserve">, </w:t>
      </w:r>
      <w:r w:rsidR="00685A5C" w:rsidRPr="00627967">
        <w:t>et al</w:t>
      </w:r>
      <w:r w:rsidRPr="00627967">
        <w:t xml:space="preserve">. A </w:t>
      </w:r>
      <w:r w:rsidR="005E2AB5">
        <w:rPr>
          <w:rFonts w:hint="eastAsia"/>
        </w:rPr>
        <w:t>p</w:t>
      </w:r>
      <w:r w:rsidRPr="00627967">
        <w:t xml:space="preserve">ooled </w:t>
      </w:r>
      <w:r w:rsidR="005E2AB5">
        <w:rPr>
          <w:rFonts w:hint="eastAsia"/>
        </w:rPr>
        <w:t>a</w:t>
      </w:r>
      <w:r w:rsidRPr="00627967">
        <w:t xml:space="preserve">nalysis of </w:t>
      </w:r>
      <w:r w:rsidR="005E2AB5">
        <w:rPr>
          <w:rFonts w:hint="eastAsia"/>
        </w:rPr>
        <w:t>d</w:t>
      </w:r>
      <w:r w:rsidRPr="00627967">
        <w:t xml:space="preserve">atopotamab </w:t>
      </w:r>
      <w:r w:rsidR="005E2AB5">
        <w:rPr>
          <w:rFonts w:hint="eastAsia"/>
        </w:rPr>
        <w:t>d</w:t>
      </w:r>
      <w:r w:rsidRPr="00627967">
        <w:t xml:space="preserve">eruxtecan in </w:t>
      </w:r>
      <w:r w:rsidR="005E2AB5">
        <w:rPr>
          <w:rFonts w:hint="eastAsia"/>
        </w:rPr>
        <w:t>p</w:t>
      </w:r>
      <w:r w:rsidRPr="00627967">
        <w:t xml:space="preserve">atients </w:t>
      </w:r>
      <w:r w:rsidR="005E2AB5">
        <w:rPr>
          <w:rFonts w:hint="eastAsia"/>
        </w:rPr>
        <w:t>w</w:t>
      </w:r>
      <w:r w:rsidRPr="00627967">
        <w:t>ith EGFR-</w:t>
      </w:r>
      <w:r w:rsidR="005E2AB5">
        <w:rPr>
          <w:rFonts w:hint="eastAsia"/>
        </w:rPr>
        <w:t>m</w:t>
      </w:r>
      <w:r w:rsidRPr="00627967">
        <w:t>utated NSCLC[J].</w:t>
      </w:r>
      <w:r w:rsidR="00C05767" w:rsidRPr="00C05767">
        <w:rPr>
          <w:rFonts w:hint="eastAsia"/>
        </w:rPr>
        <w:t xml:space="preserve"> J Thorac Oncol</w:t>
      </w:r>
      <w:r w:rsidR="00C05767">
        <w:rPr>
          <w:rFonts w:hint="eastAsia"/>
        </w:rPr>
        <w:t xml:space="preserve">, </w:t>
      </w:r>
      <w:r w:rsidRPr="00627967">
        <w:t>2025</w:t>
      </w:r>
      <w:r w:rsidR="00C05767">
        <w:rPr>
          <w:rFonts w:hint="eastAsia"/>
        </w:rPr>
        <w:t xml:space="preserve">, </w:t>
      </w:r>
      <w:r w:rsidRPr="00627967">
        <w:t>20</w:t>
      </w:r>
      <w:r w:rsidR="004554B0">
        <w:t>(</w:t>
      </w:r>
      <w:r w:rsidRPr="00627967">
        <w:t>11</w:t>
      </w:r>
      <w:r w:rsidR="004554B0">
        <w:t xml:space="preserve">): </w:t>
      </w:r>
      <w:r w:rsidRPr="00627967">
        <w:t>1669-1682.</w:t>
      </w:r>
    </w:p>
    <w:p w14:paraId="098202CF" w14:textId="42D24CF1" w:rsidR="00627967" w:rsidRPr="00627967" w:rsidRDefault="00627967" w:rsidP="00627967">
      <w:pPr>
        <w:pStyle w:val="af1"/>
        <w:rPr>
          <w:rFonts w:hint="eastAsia"/>
        </w:rPr>
      </w:pPr>
      <w:r w:rsidRPr="00627967">
        <w:t>[42]</w:t>
      </w:r>
      <w:r w:rsidRPr="00627967">
        <w:tab/>
        <w:t>Fang W</w:t>
      </w:r>
      <w:r w:rsidR="00C05767">
        <w:rPr>
          <w:rFonts w:hint="eastAsia"/>
        </w:rPr>
        <w:t xml:space="preserve">, </w:t>
      </w:r>
      <w:r w:rsidRPr="00627967">
        <w:t>Wu L</w:t>
      </w:r>
      <w:r w:rsidR="00C05767">
        <w:rPr>
          <w:rFonts w:hint="eastAsia"/>
        </w:rPr>
        <w:t xml:space="preserve">, </w:t>
      </w:r>
      <w:r w:rsidRPr="00627967">
        <w:t>Meng X</w:t>
      </w:r>
      <w:r w:rsidR="00C05767">
        <w:rPr>
          <w:rFonts w:hint="eastAsia"/>
        </w:rPr>
        <w:t xml:space="preserve">, </w:t>
      </w:r>
      <w:r w:rsidR="00685A5C" w:rsidRPr="00627967">
        <w:t>et al</w:t>
      </w:r>
      <w:r w:rsidRPr="00627967">
        <w:t xml:space="preserve">. Sacituzumab </w:t>
      </w:r>
      <w:r w:rsidR="005E2AB5">
        <w:rPr>
          <w:rFonts w:hint="eastAsia"/>
        </w:rPr>
        <w:t>t</w:t>
      </w:r>
      <w:r w:rsidRPr="00627967">
        <w:t>irumotecan in EGFR-TKI-</w:t>
      </w:r>
      <w:r w:rsidR="005E2AB5">
        <w:rPr>
          <w:rFonts w:hint="eastAsia"/>
        </w:rPr>
        <w:t>r</w:t>
      </w:r>
      <w:r w:rsidRPr="00627967">
        <w:t>esistant, EGFR-</w:t>
      </w:r>
      <w:r w:rsidR="005E2AB5">
        <w:rPr>
          <w:rFonts w:hint="eastAsia"/>
        </w:rPr>
        <w:t>m</w:t>
      </w:r>
      <w:r w:rsidRPr="00627967">
        <w:t xml:space="preserve">utated </w:t>
      </w:r>
      <w:r w:rsidR="005E2AB5">
        <w:rPr>
          <w:rFonts w:hint="eastAsia"/>
        </w:rPr>
        <w:t>a</w:t>
      </w:r>
      <w:r w:rsidRPr="00627967">
        <w:t>dvanced NSCLC[J].</w:t>
      </w:r>
      <w:r w:rsidR="00C05767" w:rsidRPr="00C05767">
        <w:rPr>
          <w:rFonts w:hint="eastAsia"/>
        </w:rPr>
        <w:t xml:space="preserve"> N Engl J Med</w:t>
      </w:r>
      <w:r w:rsidR="00C05767">
        <w:rPr>
          <w:rFonts w:hint="eastAsia"/>
        </w:rPr>
        <w:t xml:space="preserve">, </w:t>
      </w:r>
      <w:r w:rsidRPr="00627967">
        <w:t>2026</w:t>
      </w:r>
      <w:r w:rsidR="00C05767">
        <w:rPr>
          <w:rFonts w:hint="eastAsia"/>
        </w:rPr>
        <w:t xml:space="preserve">, </w:t>
      </w:r>
      <w:r w:rsidRPr="00627967">
        <w:t>394</w:t>
      </w:r>
      <w:r w:rsidR="004554B0">
        <w:t>(</w:t>
      </w:r>
      <w:r w:rsidRPr="00627967">
        <w:t>1</w:t>
      </w:r>
      <w:r w:rsidR="004554B0">
        <w:t xml:space="preserve">): </w:t>
      </w:r>
      <w:r w:rsidRPr="00627967">
        <w:t>13-26.</w:t>
      </w:r>
    </w:p>
    <w:p w14:paraId="5BB268EF" w14:textId="43423A96" w:rsidR="00627967" w:rsidRPr="00627967" w:rsidRDefault="00627967" w:rsidP="00627967">
      <w:pPr>
        <w:pStyle w:val="af1"/>
        <w:rPr>
          <w:rFonts w:hint="eastAsia"/>
        </w:rPr>
      </w:pPr>
      <w:r w:rsidRPr="00627967">
        <w:t>[43]</w:t>
      </w:r>
      <w:r w:rsidRPr="00627967">
        <w:tab/>
        <w:t>Hong S-D</w:t>
      </w:r>
      <w:r w:rsidR="00C05767">
        <w:rPr>
          <w:rFonts w:hint="eastAsia"/>
        </w:rPr>
        <w:t xml:space="preserve">, </w:t>
      </w:r>
      <w:r w:rsidRPr="00627967">
        <w:t>Wang Y-S</w:t>
      </w:r>
      <w:r w:rsidR="00C05767">
        <w:rPr>
          <w:rFonts w:hint="eastAsia"/>
        </w:rPr>
        <w:t xml:space="preserve">, </w:t>
      </w:r>
      <w:r w:rsidRPr="00627967">
        <w:t>Zhao H-Y</w:t>
      </w:r>
      <w:r w:rsidR="00C05767">
        <w:rPr>
          <w:rFonts w:hint="eastAsia"/>
        </w:rPr>
        <w:t xml:space="preserve">, </w:t>
      </w:r>
      <w:r w:rsidR="00685A5C" w:rsidRPr="00627967">
        <w:t>et al</w:t>
      </w:r>
      <w:r w:rsidRPr="00627967">
        <w:t>. Izalontamab brengitecan (Iza-bren; BL-B01D1), a first-in-class EGFR-HER3 bispecific antibody-drug conjugate, for patients with EGFR-mutated NSCLC</w:t>
      </w:r>
      <w:r w:rsidR="004554B0">
        <w:t xml:space="preserve">: </w:t>
      </w:r>
      <w:r w:rsidRPr="00627967">
        <w:t xml:space="preserve">pooled analysis of phase I and phase II trials[J]. </w:t>
      </w:r>
      <w:r w:rsidR="00C05767" w:rsidRPr="00C05767">
        <w:rPr>
          <w:rFonts w:hint="eastAsia"/>
        </w:rPr>
        <w:t>Ann Oncol</w:t>
      </w:r>
      <w:r w:rsidR="00C05767">
        <w:rPr>
          <w:rFonts w:hint="eastAsia"/>
        </w:rPr>
        <w:t xml:space="preserve">, </w:t>
      </w:r>
      <w:r w:rsidRPr="00627967">
        <w:t>2026</w:t>
      </w:r>
      <w:r w:rsidR="00C05767">
        <w:rPr>
          <w:rFonts w:hint="eastAsia"/>
        </w:rPr>
        <w:t xml:space="preserve">, </w:t>
      </w:r>
      <w:r w:rsidRPr="00627967">
        <w:t>37</w:t>
      </w:r>
      <w:r w:rsidR="004554B0">
        <w:t>(</w:t>
      </w:r>
      <w:r w:rsidRPr="00627967">
        <w:t>6</w:t>
      </w:r>
      <w:r w:rsidR="004554B0">
        <w:t xml:space="preserve">): </w:t>
      </w:r>
      <w:r w:rsidRPr="00627967">
        <w:t>813-824.</w:t>
      </w:r>
    </w:p>
    <w:p w14:paraId="66707954" w14:textId="5ECE60EF" w:rsidR="00627967" w:rsidRPr="00627967" w:rsidRDefault="00627967" w:rsidP="00627967">
      <w:pPr>
        <w:pStyle w:val="af1"/>
        <w:rPr>
          <w:rFonts w:hint="eastAsia"/>
        </w:rPr>
      </w:pPr>
      <w:r w:rsidRPr="00627967">
        <w:t>[44]</w:t>
      </w:r>
      <w:r w:rsidRPr="00627967">
        <w:tab/>
        <w:t>HARMONi-A Study Investigators</w:t>
      </w:r>
      <w:r w:rsidR="00C05767">
        <w:rPr>
          <w:rFonts w:hint="eastAsia"/>
        </w:rPr>
        <w:t>,</w:t>
      </w:r>
      <w:r w:rsidRPr="00627967">
        <w:t>Fang W</w:t>
      </w:r>
      <w:r w:rsidR="00C05767">
        <w:rPr>
          <w:rFonts w:hint="eastAsia"/>
        </w:rPr>
        <w:t>,</w:t>
      </w:r>
      <w:r w:rsidRPr="00627967">
        <w:t>Zhao Y，</w:t>
      </w:r>
      <w:r w:rsidR="00685A5C" w:rsidRPr="00627967">
        <w:t>et al</w:t>
      </w:r>
      <w:r w:rsidRPr="00627967">
        <w:t xml:space="preserve">. Ivonescimab </w:t>
      </w:r>
      <w:r w:rsidR="005E2AB5">
        <w:rPr>
          <w:rFonts w:hint="eastAsia"/>
        </w:rPr>
        <w:t>p</w:t>
      </w:r>
      <w:r w:rsidRPr="00627967">
        <w:t xml:space="preserve">lus </w:t>
      </w:r>
      <w:r w:rsidR="005E2AB5">
        <w:rPr>
          <w:rFonts w:hint="eastAsia"/>
        </w:rPr>
        <w:t>c</w:t>
      </w:r>
      <w:r w:rsidRPr="00627967">
        <w:t xml:space="preserve">hemotherapy in </w:t>
      </w:r>
      <w:r w:rsidR="005E2AB5">
        <w:rPr>
          <w:rFonts w:hint="eastAsia"/>
        </w:rPr>
        <w:t>n</w:t>
      </w:r>
      <w:r w:rsidRPr="00627967">
        <w:t>on-</w:t>
      </w:r>
      <w:r w:rsidR="005E2AB5">
        <w:rPr>
          <w:rFonts w:hint="eastAsia"/>
        </w:rPr>
        <w:t>s</w:t>
      </w:r>
      <w:r w:rsidRPr="00627967">
        <w:t xml:space="preserve">mall </w:t>
      </w:r>
      <w:r w:rsidR="005E2AB5">
        <w:rPr>
          <w:rFonts w:hint="eastAsia"/>
        </w:rPr>
        <w:t>c</w:t>
      </w:r>
      <w:r w:rsidRPr="00627967">
        <w:t xml:space="preserve">ell </w:t>
      </w:r>
      <w:r w:rsidR="005E2AB5">
        <w:rPr>
          <w:rFonts w:hint="eastAsia"/>
        </w:rPr>
        <w:t>l</w:t>
      </w:r>
      <w:r w:rsidRPr="00627967">
        <w:t xml:space="preserve">ung </w:t>
      </w:r>
      <w:r w:rsidR="005E2AB5">
        <w:rPr>
          <w:rFonts w:hint="eastAsia"/>
        </w:rPr>
        <w:t>c</w:t>
      </w:r>
      <w:r w:rsidRPr="00627967">
        <w:t xml:space="preserve">ancer </w:t>
      </w:r>
      <w:r w:rsidR="005E2AB5">
        <w:rPr>
          <w:rFonts w:hint="eastAsia"/>
        </w:rPr>
        <w:t>w</w:t>
      </w:r>
      <w:r w:rsidRPr="00627967">
        <w:t xml:space="preserve">ith EGFR </w:t>
      </w:r>
      <w:r w:rsidR="005E2AB5">
        <w:rPr>
          <w:rFonts w:hint="eastAsia"/>
        </w:rPr>
        <w:t>v</w:t>
      </w:r>
      <w:r w:rsidRPr="00627967">
        <w:t>ariant</w:t>
      </w:r>
      <w:r w:rsidR="004554B0">
        <w:t xml:space="preserve">: </w:t>
      </w:r>
      <w:r w:rsidRPr="00627967">
        <w:t xml:space="preserve">A </w:t>
      </w:r>
      <w:r w:rsidR="005E2AB5">
        <w:rPr>
          <w:rFonts w:hint="eastAsia"/>
        </w:rPr>
        <w:t>r</w:t>
      </w:r>
      <w:r w:rsidRPr="00627967">
        <w:t xml:space="preserve">andomized </w:t>
      </w:r>
      <w:r w:rsidR="005E2AB5">
        <w:rPr>
          <w:rFonts w:hint="eastAsia"/>
        </w:rPr>
        <w:t>c</w:t>
      </w:r>
      <w:r w:rsidRPr="00627967">
        <w:t xml:space="preserve">linical </w:t>
      </w:r>
      <w:r w:rsidR="005E2AB5">
        <w:rPr>
          <w:rFonts w:hint="eastAsia"/>
        </w:rPr>
        <w:t>t</w:t>
      </w:r>
      <w:r w:rsidRPr="00627967">
        <w:t>rial[J]. JAMA</w:t>
      </w:r>
      <w:r w:rsidR="00C05767">
        <w:rPr>
          <w:rFonts w:hint="eastAsia"/>
        </w:rPr>
        <w:t xml:space="preserve">, </w:t>
      </w:r>
      <w:r w:rsidRPr="00627967">
        <w:t>2024</w:t>
      </w:r>
      <w:r w:rsidR="00C05767">
        <w:rPr>
          <w:rFonts w:hint="eastAsia"/>
        </w:rPr>
        <w:t xml:space="preserve">, </w:t>
      </w:r>
      <w:r w:rsidRPr="00627967">
        <w:t>332</w:t>
      </w:r>
      <w:r w:rsidR="004554B0">
        <w:t>(</w:t>
      </w:r>
      <w:r w:rsidRPr="00627967">
        <w:t>7</w:t>
      </w:r>
      <w:r w:rsidR="004554B0">
        <w:t xml:space="preserve">): </w:t>
      </w:r>
      <w:r w:rsidRPr="00627967">
        <w:t>561-570.</w:t>
      </w:r>
    </w:p>
    <w:p w14:paraId="03EB89EC" w14:textId="2E69A5DD" w:rsidR="00627967" w:rsidRPr="00627967" w:rsidRDefault="00627967" w:rsidP="00627967">
      <w:pPr>
        <w:pStyle w:val="af1"/>
        <w:rPr>
          <w:rFonts w:hint="eastAsia"/>
        </w:rPr>
      </w:pPr>
      <w:r w:rsidRPr="00627967">
        <w:t>[45]</w:t>
      </w:r>
      <w:r w:rsidRPr="00627967">
        <w:tab/>
        <w:t>HARMONi-A Study Investigators</w:t>
      </w:r>
      <w:r w:rsidR="00C05767">
        <w:rPr>
          <w:rFonts w:hint="eastAsia"/>
        </w:rPr>
        <w:t xml:space="preserve">, </w:t>
      </w:r>
      <w:r w:rsidRPr="00627967">
        <w:t>Fang W</w:t>
      </w:r>
      <w:r w:rsidR="00C05767">
        <w:rPr>
          <w:rFonts w:hint="eastAsia"/>
        </w:rPr>
        <w:t xml:space="preserve">, </w:t>
      </w:r>
      <w:r w:rsidRPr="00627967">
        <w:t>Zhao Y</w:t>
      </w:r>
      <w:r w:rsidR="00C05767">
        <w:rPr>
          <w:rFonts w:hint="eastAsia"/>
        </w:rPr>
        <w:t xml:space="preserve">, </w:t>
      </w:r>
      <w:r w:rsidR="00685A5C" w:rsidRPr="00627967">
        <w:t>et al</w:t>
      </w:r>
      <w:r w:rsidRPr="00627967">
        <w:t xml:space="preserve">. Bispecific </w:t>
      </w:r>
      <w:r w:rsidR="005E2AB5">
        <w:rPr>
          <w:rFonts w:hint="eastAsia"/>
        </w:rPr>
        <w:t>a</w:t>
      </w:r>
      <w:r w:rsidRPr="00627967">
        <w:t xml:space="preserve">ntibody </w:t>
      </w:r>
      <w:r w:rsidR="005E2AB5">
        <w:rPr>
          <w:rFonts w:hint="eastAsia"/>
        </w:rPr>
        <w:t>i</w:t>
      </w:r>
      <w:r w:rsidRPr="00627967">
        <w:t xml:space="preserve">vonescimab </w:t>
      </w:r>
      <w:r w:rsidR="005E2AB5">
        <w:rPr>
          <w:rFonts w:hint="eastAsia"/>
        </w:rPr>
        <w:t>a</w:t>
      </w:r>
      <w:r w:rsidRPr="00627967">
        <w:t xml:space="preserve">dded to </w:t>
      </w:r>
      <w:r w:rsidR="005E2AB5">
        <w:rPr>
          <w:rFonts w:hint="eastAsia"/>
        </w:rPr>
        <w:t>c</w:t>
      </w:r>
      <w:r w:rsidRPr="00627967">
        <w:t xml:space="preserve">hemotherapy in EGFR-Variant </w:t>
      </w:r>
      <w:r w:rsidR="005E2AB5">
        <w:rPr>
          <w:rFonts w:hint="eastAsia"/>
        </w:rPr>
        <w:t>n</w:t>
      </w:r>
      <w:r w:rsidRPr="00627967">
        <w:t>on-</w:t>
      </w:r>
      <w:r w:rsidR="005E2AB5">
        <w:rPr>
          <w:rFonts w:hint="eastAsia"/>
        </w:rPr>
        <w:t>s</w:t>
      </w:r>
      <w:r w:rsidRPr="00627967">
        <w:t xml:space="preserve">mall </w:t>
      </w:r>
      <w:r w:rsidR="005E2AB5">
        <w:rPr>
          <w:rFonts w:hint="eastAsia"/>
        </w:rPr>
        <w:t>c</w:t>
      </w:r>
      <w:r w:rsidRPr="00627967">
        <w:t xml:space="preserve">ell </w:t>
      </w:r>
      <w:r w:rsidR="005E2AB5">
        <w:rPr>
          <w:rFonts w:hint="eastAsia"/>
        </w:rPr>
        <w:t>l</w:t>
      </w:r>
      <w:r w:rsidRPr="00627967">
        <w:t xml:space="preserve">ung </w:t>
      </w:r>
      <w:r w:rsidR="005E2AB5">
        <w:rPr>
          <w:rFonts w:hint="eastAsia"/>
        </w:rPr>
        <w:t>c</w:t>
      </w:r>
      <w:r w:rsidRPr="00627967">
        <w:t>ancer</w:t>
      </w:r>
      <w:r w:rsidR="004554B0">
        <w:t xml:space="preserve">: </w:t>
      </w:r>
      <w:r w:rsidRPr="00627967">
        <w:t>The HARMONi-A Randomized Clinical Trial[J]. JAMA</w:t>
      </w:r>
      <w:r w:rsidR="00C05767">
        <w:rPr>
          <w:rFonts w:hint="eastAsia"/>
        </w:rPr>
        <w:t xml:space="preserve">, </w:t>
      </w:r>
      <w:r w:rsidRPr="00627967">
        <w:t>2026</w:t>
      </w:r>
      <w:r w:rsidR="00C05767">
        <w:rPr>
          <w:rFonts w:hint="eastAsia"/>
        </w:rPr>
        <w:t xml:space="preserve">, </w:t>
      </w:r>
      <w:r w:rsidRPr="00627967">
        <w:t>336</w:t>
      </w:r>
      <w:r w:rsidR="004554B0">
        <w:t>(</w:t>
      </w:r>
      <w:r w:rsidRPr="00627967">
        <w:t>4</w:t>
      </w:r>
      <w:r w:rsidR="004554B0">
        <w:t xml:space="preserve">): </w:t>
      </w:r>
      <w:r w:rsidRPr="00627967">
        <w:t>306-314.</w:t>
      </w:r>
    </w:p>
    <w:p w14:paraId="33CD8B07" w14:textId="4F9A2AF7" w:rsidR="00826AF0" w:rsidRPr="00731F72" w:rsidRDefault="00C5280A" w:rsidP="00731F72">
      <w:pPr>
        <w:spacing w:line="360" w:lineRule="auto"/>
        <w:jc w:val="left"/>
        <w:rPr>
          <w:rFonts w:ascii="宋体" w:eastAsia="宋体" w:hAnsi="宋体" w:hint="eastAsia"/>
          <w:szCs w:val="21"/>
        </w:rPr>
      </w:pPr>
      <w:r>
        <w:rPr>
          <w:rFonts w:ascii="宋体" w:eastAsia="宋体" w:hAnsi="宋体" w:hint="eastAsia"/>
          <w:szCs w:val="21"/>
        </w:rPr>
        <w:lastRenderedPageBreak/>
        <w:fldChar w:fldCharType="end"/>
      </w:r>
    </w:p>
    <w:sectPr w:rsidR="00826AF0" w:rsidRPr="00731F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23FB6" w14:textId="77777777" w:rsidR="00E66CD1" w:rsidRDefault="00E66CD1" w:rsidP="00826AF0">
      <w:pPr>
        <w:rPr>
          <w:rFonts w:hint="eastAsia"/>
        </w:rPr>
      </w:pPr>
      <w:r>
        <w:separator/>
      </w:r>
    </w:p>
  </w:endnote>
  <w:endnote w:type="continuationSeparator" w:id="0">
    <w:p w14:paraId="7EAE3327" w14:textId="77777777" w:rsidR="00E66CD1" w:rsidRDefault="00E66CD1" w:rsidP="00826AF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08E70" w14:textId="77777777" w:rsidR="00E66CD1" w:rsidRDefault="00E66CD1" w:rsidP="00826AF0">
      <w:pPr>
        <w:rPr>
          <w:rFonts w:hint="eastAsia"/>
        </w:rPr>
      </w:pPr>
      <w:r>
        <w:separator/>
      </w:r>
    </w:p>
  </w:footnote>
  <w:footnote w:type="continuationSeparator" w:id="0">
    <w:p w14:paraId="3CD3C529" w14:textId="77777777" w:rsidR="00E66CD1" w:rsidRDefault="00E66CD1" w:rsidP="00826AF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832C5"/>
    <w:multiLevelType w:val="hybridMultilevel"/>
    <w:tmpl w:val="4222A3A4"/>
    <w:lvl w:ilvl="0" w:tplc="C478C32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5745B32"/>
    <w:multiLevelType w:val="hybridMultilevel"/>
    <w:tmpl w:val="88E072AE"/>
    <w:lvl w:ilvl="0" w:tplc="A8148B68">
      <w:start w:val="1"/>
      <w:numFmt w:val="decimal"/>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D690234"/>
    <w:multiLevelType w:val="hybridMultilevel"/>
    <w:tmpl w:val="46D4B2B6"/>
    <w:lvl w:ilvl="0" w:tplc="A1663F06">
      <w:start w:val="1"/>
      <w:numFmt w:val="decimal"/>
      <w:lvlText w:val="%1."/>
      <w:lvlJc w:val="left"/>
      <w:pPr>
        <w:ind w:left="360" w:hanging="360"/>
      </w:pPr>
      <w:rPr>
        <w:rFonts w:ascii="宋体" w:hAnsi="宋体" w:cstheme="minorBidi"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787163417">
    <w:abstractNumId w:val="2"/>
  </w:num>
  <w:num w:numId="2" w16cid:durableId="2060669963">
    <w:abstractNumId w:val="0"/>
  </w:num>
  <w:num w:numId="3" w16cid:durableId="1998802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C93"/>
    <w:rsid w:val="00001A57"/>
    <w:rsid w:val="00012253"/>
    <w:rsid w:val="0001448A"/>
    <w:rsid w:val="00014C5D"/>
    <w:rsid w:val="00014CFF"/>
    <w:rsid w:val="000172E5"/>
    <w:rsid w:val="00024057"/>
    <w:rsid w:val="000275BD"/>
    <w:rsid w:val="0005371C"/>
    <w:rsid w:val="00055E19"/>
    <w:rsid w:val="00057E33"/>
    <w:rsid w:val="00065E16"/>
    <w:rsid w:val="00066E13"/>
    <w:rsid w:val="00071238"/>
    <w:rsid w:val="0008387A"/>
    <w:rsid w:val="00085A59"/>
    <w:rsid w:val="00090522"/>
    <w:rsid w:val="00091303"/>
    <w:rsid w:val="00094313"/>
    <w:rsid w:val="000A114D"/>
    <w:rsid w:val="000B603F"/>
    <w:rsid w:val="000C376A"/>
    <w:rsid w:val="000E0F0B"/>
    <w:rsid w:val="000E33C7"/>
    <w:rsid w:val="000E7169"/>
    <w:rsid w:val="000F0DCD"/>
    <w:rsid w:val="0010016D"/>
    <w:rsid w:val="0010246C"/>
    <w:rsid w:val="00102F1C"/>
    <w:rsid w:val="00116BBA"/>
    <w:rsid w:val="00117E88"/>
    <w:rsid w:val="001307DD"/>
    <w:rsid w:val="00133ECD"/>
    <w:rsid w:val="00141CC5"/>
    <w:rsid w:val="00164D00"/>
    <w:rsid w:val="00166438"/>
    <w:rsid w:val="0017415B"/>
    <w:rsid w:val="00180085"/>
    <w:rsid w:val="001831BB"/>
    <w:rsid w:val="0019126C"/>
    <w:rsid w:val="00196DB6"/>
    <w:rsid w:val="001A191A"/>
    <w:rsid w:val="001A20B9"/>
    <w:rsid w:val="001B1AFB"/>
    <w:rsid w:val="001B59F6"/>
    <w:rsid w:val="001D1882"/>
    <w:rsid w:val="001D2279"/>
    <w:rsid w:val="001D3715"/>
    <w:rsid w:val="001D5CF8"/>
    <w:rsid w:val="001D6F1C"/>
    <w:rsid w:val="001F54E5"/>
    <w:rsid w:val="0020510C"/>
    <w:rsid w:val="00213701"/>
    <w:rsid w:val="00214C42"/>
    <w:rsid w:val="0021531D"/>
    <w:rsid w:val="00220981"/>
    <w:rsid w:val="00224716"/>
    <w:rsid w:val="00225407"/>
    <w:rsid w:val="00235936"/>
    <w:rsid w:val="00237320"/>
    <w:rsid w:val="002375BA"/>
    <w:rsid w:val="00240F5F"/>
    <w:rsid w:val="002411D4"/>
    <w:rsid w:val="00250180"/>
    <w:rsid w:val="00252B55"/>
    <w:rsid w:val="002559D5"/>
    <w:rsid w:val="0026053F"/>
    <w:rsid w:val="00265D4F"/>
    <w:rsid w:val="00291AFB"/>
    <w:rsid w:val="00292AD1"/>
    <w:rsid w:val="002A66CF"/>
    <w:rsid w:val="002C7C4C"/>
    <w:rsid w:val="002D3819"/>
    <w:rsid w:val="002D6B87"/>
    <w:rsid w:val="002E0AAC"/>
    <w:rsid w:val="002F1FF2"/>
    <w:rsid w:val="002F23B3"/>
    <w:rsid w:val="002F2582"/>
    <w:rsid w:val="002F356C"/>
    <w:rsid w:val="003000B8"/>
    <w:rsid w:val="003003F7"/>
    <w:rsid w:val="003071C8"/>
    <w:rsid w:val="0030784B"/>
    <w:rsid w:val="003122F8"/>
    <w:rsid w:val="00345E31"/>
    <w:rsid w:val="00356043"/>
    <w:rsid w:val="00357E4F"/>
    <w:rsid w:val="00361741"/>
    <w:rsid w:val="00374FD9"/>
    <w:rsid w:val="00376060"/>
    <w:rsid w:val="00381FA5"/>
    <w:rsid w:val="00383BE8"/>
    <w:rsid w:val="003B79C8"/>
    <w:rsid w:val="003B7EEF"/>
    <w:rsid w:val="003C3F3F"/>
    <w:rsid w:val="003C4118"/>
    <w:rsid w:val="003D123C"/>
    <w:rsid w:val="003D276F"/>
    <w:rsid w:val="003E0012"/>
    <w:rsid w:val="003E3A85"/>
    <w:rsid w:val="003E4031"/>
    <w:rsid w:val="003F03BD"/>
    <w:rsid w:val="003F3A34"/>
    <w:rsid w:val="003F4331"/>
    <w:rsid w:val="00402F0C"/>
    <w:rsid w:val="004116F1"/>
    <w:rsid w:val="004151AF"/>
    <w:rsid w:val="00416C63"/>
    <w:rsid w:val="0041773C"/>
    <w:rsid w:val="00417EB6"/>
    <w:rsid w:val="00425630"/>
    <w:rsid w:val="004258B7"/>
    <w:rsid w:val="0043633F"/>
    <w:rsid w:val="00446B08"/>
    <w:rsid w:val="004519A7"/>
    <w:rsid w:val="00452144"/>
    <w:rsid w:val="0045329D"/>
    <w:rsid w:val="004554B0"/>
    <w:rsid w:val="00456129"/>
    <w:rsid w:val="00457D1F"/>
    <w:rsid w:val="004701B7"/>
    <w:rsid w:val="00470A2F"/>
    <w:rsid w:val="0047243B"/>
    <w:rsid w:val="00477270"/>
    <w:rsid w:val="00487339"/>
    <w:rsid w:val="004874E9"/>
    <w:rsid w:val="004A5856"/>
    <w:rsid w:val="004B35DE"/>
    <w:rsid w:val="004C0BF3"/>
    <w:rsid w:val="004C16D1"/>
    <w:rsid w:val="004C7C70"/>
    <w:rsid w:val="004C7FAA"/>
    <w:rsid w:val="004D0BB5"/>
    <w:rsid w:val="004D3415"/>
    <w:rsid w:val="004D5A1E"/>
    <w:rsid w:val="004E7241"/>
    <w:rsid w:val="004F1D67"/>
    <w:rsid w:val="004F52E9"/>
    <w:rsid w:val="004F5A3D"/>
    <w:rsid w:val="004F61B1"/>
    <w:rsid w:val="005027B2"/>
    <w:rsid w:val="00510359"/>
    <w:rsid w:val="00515AEE"/>
    <w:rsid w:val="0052023F"/>
    <w:rsid w:val="00524E96"/>
    <w:rsid w:val="0052600E"/>
    <w:rsid w:val="00536FE9"/>
    <w:rsid w:val="00543BF6"/>
    <w:rsid w:val="005458AB"/>
    <w:rsid w:val="0055347A"/>
    <w:rsid w:val="00570B4F"/>
    <w:rsid w:val="00576FB3"/>
    <w:rsid w:val="0057772B"/>
    <w:rsid w:val="00580940"/>
    <w:rsid w:val="00584988"/>
    <w:rsid w:val="0059765E"/>
    <w:rsid w:val="005B07FE"/>
    <w:rsid w:val="005C1193"/>
    <w:rsid w:val="005C2BA7"/>
    <w:rsid w:val="005C6FA4"/>
    <w:rsid w:val="005D039F"/>
    <w:rsid w:val="005D41DC"/>
    <w:rsid w:val="005E28FA"/>
    <w:rsid w:val="005E2AB5"/>
    <w:rsid w:val="005F718A"/>
    <w:rsid w:val="00603C84"/>
    <w:rsid w:val="006133EC"/>
    <w:rsid w:val="00620A19"/>
    <w:rsid w:val="00622BCB"/>
    <w:rsid w:val="006248D6"/>
    <w:rsid w:val="00627967"/>
    <w:rsid w:val="00637769"/>
    <w:rsid w:val="00637905"/>
    <w:rsid w:val="006547A8"/>
    <w:rsid w:val="00655635"/>
    <w:rsid w:val="006577EA"/>
    <w:rsid w:val="00660D4E"/>
    <w:rsid w:val="00664134"/>
    <w:rsid w:val="006641DC"/>
    <w:rsid w:val="00685A5C"/>
    <w:rsid w:val="00690F05"/>
    <w:rsid w:val="00692D8F"/>
    <w:rsid w:val="00694765"/>
    <w:rsid w:val="00694B6E"/>
    <w:rsid w:val="00695E04"/>
    <w:rsid w:val="006B4111"/>
    <w:rsid w:val="006B6388"/>
    <w:rsid w:val="006C3534"/>
    <w:rsid w:val="006C7966"/>
    <w:rsid w:val="006D152F"/>
    <w:rsid w:val="006D64B0"/>
    <w:rsid w:val="006D6F37"/>
    <w:rsid w:val="006D6F82"/>
    <w:rsid w:val="006D75F6"/>
    <w:rsid w:val="006E0E25"/>
    <w:rsid w:val="006E3E4B"/>
    <w:rsid w:val="006F05C5"/>
    <w:rsid w:val="006F2C80"/>
    <w:rsid w:val="006F3B39"/>
    <w:rsid w:val="006F53BD"/>
    <w:rsid w:val="006F53EE"/>
    <w:rsid w:val="00714911"/>
    <w:rsid w:val="0071573B"/>
    <w:rsid w:val="00721785"/>
    <w:rsid w:val="007272AC"/>
    <w:rsid w:val="00731F72"/>
    <w:rsid w:val="00732AC6"/>
    <w:rsid w:val="007350C7"/>
    <w:rsid w:val="0074116B"/>
    <w:rsid w:val="0075442A"/>
    <w:rsid w:val="00760341"/>
    <w:rsid w:val="00765144"/>
    <w:rsid w:val="007715E1"/>
    <w:rsid w:val="007751EE"/>
    <w:rsid w:val="0077555F"/>
    <w:rsid w:val="007759B0"/>
    <w:rsid w:val="00777ACF"/>
    <w:rsid w:val="00780F63"/>
    <w:rsid w:val="007832D0"/>
    <w:rsid w:val="007834CA"/>
    <w:rsid w:val="007869AD"/>
    <w:rsid w:val="00786E6D"/>
    <w:rsid w:val="00790BE2"/>
    <w:rsid w:val="00791836"/>
    <w:rsid w:val="0079559B"/>
    <w:rsid w:val="007A4271"/>
    <w:rsid w:val="007A6D6E"/>
    <w:rsid w:val="007A7736"/>
    <w:rsid w:val="007B567C"/>
    <w:rsid w:val="007C45F3"/>
    <w:rsid w:val="007C5976"/>
    <w:rsid w:val="007C7EFA"/>
    <w:rsid w:val="007D008F"/>
    <w:rsid w:val="007D34EB"/>
    <w:rsid w:val="007D3FE6"/>
    <w:rsid w:val="007D7E52"/>
    <w:rsid w:val="007E528E"/>
    <w:rsid w:val="007E7A11"/>
    <w:rsid w:val="007F5127"/>
    <w:rsid w:val="00802C05"/>
    <w:rsid w:val="0080311C"/>
    <w:rsid w:val="00810913"/>
    <w:rsid w:val="00812959"/>
    <w:rsid w:val="0081332B"/>
    <w:rsid w:val="00826AF0"/>
    <w:rsid w:val="0082768B"/>
    <w:rsid w:val="008312D2"/>
    <w:rsid w:val="00831FF1"/>
    <w:rsid w:val="008431BE"/>
    <w:rsid w:val="0084332E"/>
    <w:rsid w:val="00855AE1"/>
    <w:rsid w:val="0086452F"/>
    <w:rsid w:val="00872F28"/>
    <w:rsid w:val="008865F0"/>
    <w:rsid w:val="008952A3"/>
    <w:rsid w:val="00896245"/>
    <w:rsid w:val="00896270"/>
    <w:rsid w:val="008964FF"/>
    <w:rsid w:val="008A054F"/>
    <w:rsid w:val="008A1D16"/>
    <w:rsid w:val="008B18B7"/>
    <w:rsid w:val="008B5E1C"/>
    <w:rsid w:val="008C0E77"/>
    <w:rsid w:val="008C31CE"/>
    <w:rsid w:val="008C3C2E"/>
    <w:rsid w:val="008C61A8"/>
    <w:rsid w:val="008D12C3"/>
    <w:rsid w:val="008D2A2F"/>
    <w:rsid w:val="008D5B80"/>
    <w:rsid w:val="008D7395"/>
    <w:rsid w:val="008E610D"/>
    <w:rsid w:val="008F1408"/>
    <w:rsid w:val="008F24A5"/>
    <w:rsid w:val="00900A24"/>
    <w:rsid w:val="00901C93"/>
    <w:rsid w:val="009129DE"/>
    <w:rsid w:val="00914536"/>
    <w:rsid w:val="00924D3E"/>
    <w:rsid w:val="00925A5A"/>
    <w:rsid w:val="009263BF"/>
    <w:rsid w:val="00926A2B"/>
    <w:rsid w:val="0093035A"/>
    <w:rsid w:val="0094593B"/>
    <w:rsid w:val="009509DB"/>
    <w:rsid w:val="00951932"/>
    <w:rsid w:val="009561DB"/>
    <w:rsid w:val="009617A7"/>
    <w:rsid w:val="00963BA5"/>
    <w:rsid w:val="0097331F"/>
    <w:rsid w:val="00977485"/>
    <w:rsid w:val="00981748"/>
    <w:rsid w:val="009824C8"/>
    <w:rsid w:val="009863B9"/>
    <w:rsid w:val="0098769D"/>
    <w:rsid w:val="00996257"/>
    <w:rsid w:val="00997C67"/>
    <w:rsid w:val="009A021F"/>
    <w:rsid w:val="009A5693"/>
    <w:rsid w:val="009A57D9"/>
    <w:rsid w:val="009A7AC9"/>
    <w:rsid w:val="009B3DD9"/>
    <w:rsid w:val="009B5213"/>
    <w:rsid w:val="009B6497"/>
    <w:rsid w:val="009C457F"/>
    <w:rsid w:val="009C4A7A"/>
    <w:rsid w:val="009D4A09"/>
    <w:rsid w:val="009D6CB4"/>
    <w:rsid w:val="009E0568"/>
    <w:rsid w:val="009F7F30"/>
    <w:rsid w:val="00A00FBF"/>
    <w:rsid w:val="00A14D16"/>
    <w:rsid w:val="00A21A76"/>
    <w:rsid w:val="00A23660"/>
    <w:rsid w:val="00A23D31"/>
    <w:rsid w:val="00A3601D"/>
    <w:rsid w:val="00A36C22"/>
    <w:rsid w:val="00A432E6"/>
    <w:rsid w:val="00A50D7C"/>
    <w:rsid w:val="00A542C7"/>
    <w:rsid w:val="00A66242"/>
    <w:rsid w:val="00A7048F"/>
    <w:rsid w:val="00A86C65"/>
    <w:rsid w:val="00A91548"/>
    <w:rsid w:val="00AA1D6D"/>
    <w:rsid w:val="00AA3163"/>
    <w:rsid w:val="00AB1B23"/>
    <w:rsid w:val="00AC08B8"/>
    <w:rsid w:val="00AC1702"/>
    <w:rsid w:val="00AC3AF1"/>
    <w:rsid w:val="00AD3189"/>
    <w:rsid w:val="00AD7A82"/>
    <w:rsid w:val="00AE1B46"/>
    <w:rsid w:val="00AE5556"/>
    <w:rsid w:val="00AE6066"/>
    <w:rsid w:val="00AF087A"/>
    <w:rsid w:val="00B042CD"/>
    <w:rsid w:val="00B23B9A"/>
    <w:rsid w:val="00B25AE9"/>
    <w:rsid w:val="00B44722"/>
    <w:rsid w:val="00B525CC"/>
    <w:rsid w:val="00B6345D"/>
    <w:rsid w:val="00B6427E"/>
    <w:rsid w:val="00B67147"/>
    <w:rsid w:val="00B73D2F"/>
    <w:rsid w:val="00B7500F"/>
    <w:rsid w:val="00B802CA"/>
    <w:rsid w:val="00B80630"/>
    <w:rsid w:val="00B81AD8"/>
    <w:rsid w:val="00B827BC"/>
    <w:rsid w:val="00B856B2"/>
    <w:rsid w:val="00B859FA"/>
    <w:rsid w:val="00B87D3E"/>
    <w:rsid w:val="00BA2CD5"/>
    <w:rsid w:val="00BB2401"/>
    <w:rsid w:val="00BB7705"/>
    <w:rsid w:val="00BC09DC"/>
    <w:rsid w:val="00BC4295"/>
    <w:rsid w:val="00BC78B6"/>
    <w:rsid w:val="00BD02AC"/>
    <w:rsid w:val="00BD0CC7"/>
    <w:rsid w:val="00BD22B4"/>
    <w:rsid w:val="00BF0F0B"/>
    <w:rsid w:val="00C00E22"/>
    <w:rsid w:val="00C00F92"/>
    <w:rsid w:val="00C05767"/>
    <w:rsid w:val="00C10892"/>
    <w:rsid w:val="00C15FDD"/>
    <w:rsid w:val="00C2052C"/>
    <w:rsid w:val="00C2208D"/>
    <w:rsid w:val="00C303FE"/>
    <w:rsid w:val="00C330D6"/>
    <w:rsid w:val="00C35428"/>
    <w:rsid w:val="00C40830"/>
    <w:rsid w:val="00C42F2C"/>
    <w:rsid w:val="00C46317"/>
    <w:rsid w:val="00C50157"/>
    <w:rsid w:val="00C502C6"/>
    <w:rsid w:val="00C517D2"/>
    <w:rsid w:val="00C5280A"/>
    <w:rsid w:val="00C81833"/>
    <w:rsid w:val="00C82584"/>
    <w:rsid w:val="00C851CF"/>
    <w:rsid w:val="00C87B06"/>
    <w:rsid w:val="00C90708"/>
    <w:rsid w:val="00C9722B"/>
    <w:rsid w:val="00C97FC2"/>
    <w:rsid w:val="00CA12F8"/>
    <w:rsid w:val="00CA33DE"/>
    <w:rsid w:val="00CB67A5"/>
    <w:rsid w:val="00CC045F"/>
    <w:rsid w:val="00CE4430"/>
    <w:rsid w:val="00CF1A5D"/>
    <w:rsid w:val="00CF691D"/>
    <w:rsid w:val="00D01914"/>
    <w:rsid w:val="00D0436E"/>
    <w:rsid w:val="00D07443"/>
    <w:rsid w:val="00D2146B"/>
    <w:rsid w:val="00D22BCC"/>
    <w:rsid w:val="00D24595"/>
    <w:rsid w:val="00D4319F"/>
    <w:rsid w:val="00D4600D"/>
    <w:rsid w:val="00D55696"/>
    <w:rsid w:val="00D6206D"/>
    <w:rsid w:val="00D62AA9"/>
    <w:rsid w:val="00D638F3"/>
    <w:rsid w:val="00D66C2C"/>
    <w:rsid w:val="00D7397B"/>
    <w:rsid w:val="00D7454E"/>
    <w:rsid w:val="00D8676D"/>
    <w:rsid w:val="00D90B8A"/>
    <w:rsid w:val="00D978C1"/>
    <w:rsid w:val="00D97CE7"/>
    <w:rsid w:val="00DA0660"/>
    <w:rsid w:val="00DA40D2"/>
    <w:rsid w:val="00DB1E45"/>
    <w:rsid w:val="00DB37AB"/>
    <w:rsid w:val="00DB44A2"/>
    <w:rsid w:val="00DB5F0E"/>
    <w:rsid w:val="00DC0C88"/>
    <w:rsid w:val="00DD64E9"/>
    <w:rsid w:val="00DE06F1"/>
    <w:rsid w:val="00DE2B68"/>
    <w:rsid w:val="00DF1ED3"/>
    <w:rsid w:val="00E00550"/>
    <w:rsid w:val="00E04542"/>
    <w:rsid w:val="00E10CFA"/>
    <w:rsid w:val="00E11B7F"/>
    <w:rsid w:val="00E14A36"/>
    <w:rsid w:val="00E203CA"/>
    <w:rsid w:val="00E3022A"/>
    <w:rsid w:val="00E3134D"/>
    <w:rsid w:val="00E3192E"/>
    <w:rsid w:val="00E41FC5"/>
    <w:rsid w:val="00E46BAF"/>
    <w:rsid w:val="00E55D9C"/>
    <w:rsid w:val="00E61DD9"/>
    <w:rsid w:val="00E63B85"/>
    <w:rsid w:val="00E66CD1"/>
    <w:rsid w:val="00E67F93"/>
    <w:rsid w:val="00E80EA8"/>
    <w:rsid w:val="00E944DA"/>
    <w:rsid w:val="00E94679"/>
    <w:rsid w:val="00EA0A65"/>
    <w:rsid w:val="00EA57F4"/>
    <w:rsid w:val="00EB33B8"/>
    <w:rsid w:val="00EB58B7"/>
    <w:rsid w:val="00EB5D2D"/>
    <w:rsid w:val="00EB7968"/>
    <w:rsid w:val="00ED5504"/>
    <w:rsid w:val="00EE27F4"/>
    <w:rsid w:val="00F046E1"/>
    <w:rsid w:val="00F076C3"/>
    <w:rsid w:val="00F076EE"/>
    <w:rsid w:val="00F23B36"/>
    <w:rsid w:val="00F36EDA"/>
    <w:rsid w:val="00F434F7"/>
    <w:rsid w:val="00F44191"/>
    <w:rsid w:val="00F45EB5"/>
    <w:rsid w:val="00F621B2"/>
    <w:rsid w:val="00F645FF"/>
    <w:rsid w:val="00F64E91"/>
    <w:rsid w:val="00F653E1"/>
    <w:rsid w:val="00F719AD"/>
    <w:rsid w:val="00F86F99"/>
    <w:rsid w:val="00F87363"/>
    <w:rsid w:val="00F91F4C"/>
    <w:rsid w:val="00FA08DE"/>
    <w:rsid w:val="00FA3B9A"/>
    <w:rsid w:val="00FC3C9A"/>
    <w:rsid w:val="00FC451C"/>
    <w:rsid w:val="00FC5214"/>
    <w:rsid w:val="00FC66A1"/>
    <w:rsid w:val="00FD7F89"/>
    <w:rsid w:val="00FE6353"/>
    <w:rsid w:val="00FF14EC"/>
    <w:rsid w:val="00FF3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E4414"/>
  <w15:chartTrackingRefBased/>
  <w15:docId w15:val="{306EF3D2-78EA-41A2-9779-95B64BB4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73D2F"/>
    <w:pPr>
      <w:keepNext/>
      <w:keepLines/>
      <w:spacing w:line="360" w:lineRule="auto"/>
      <w:jc w:val="left"/>
      <w:outlineLvl w:val="0"/>
    </w:pPr>
    <w:rPr>
      <w:rFonts w:asciiTheme="majorHAnsi" w:eastAsia="宋体" w:hAnsiTheme="majorHAnsi" w:cstheme="majorBidi"/>
      <w:color w:val="000000" w:themeColor="text1"/>
      <w:szCs w:val="48"/>
    </w:rPr>
  </w:style>
  <w:style w:type="paragraph" w:styleId="2">
    <w:name w:val="heading 2"/>
    <w:basedOn w:val="a"/>
    <w:next w:val="a"/>
    <w:link w:val="20"/>
    <w:uiPriority w:val="9"/>
    <w:semiHidden/>
    <w:unhideWhenUsed/>
    <w:qFormat/>
    <w:rsid w:val="00901C9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01C9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01C93"/>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01C93"/>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901C9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01C9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01C9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01C9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73D2F"/>
    <w:rPr>
      <w:rFonts w:asciiTheme="majorHAnsi" w:eastAsia="宋体" w:hAnsiTheme="majorHAnsi" w:cstheme="majorBidi"/>
      <w:color w:val="000000" w:themeColor="text1"/>
      <w:szCs w:val="48"/>
    </w:rPr>
  </w:style>
  <w:style w:type="character" w:customStyle="1" w:styleId="20">
    <w:name w:val="标题 2 字符"/>
    <w:basedOn w:val="a0"/>
    <w:link w:val="2"/>
    <w:uiPriority w:val="9"/>
    <w:semiHidden/>
    <w:rsid w:val="00901C9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01C9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01C93"/>
    <w:rPr>
      <w:rFonts w:cstheme="majorBidi"/>
      <w:color w:val="2F5496" w:themeColor="accent1" w:themeShade="BF"/>
      <w:sz w:val="28"/>
      <w:szCs w:val="28"/>
    </w:rPr>
  </w:style>
  <w:style w:type="character" w:customStyle="1" w:styleId="50">
    <w:name w:val="标题 5 字符"/>
    <w:basedOn w:val="a0"/>
    <w:link w:val="5"/>
    <w:uiPriority w:val="9"/>
    <w:semiHidden/>
    <w:rsid w:val="00901C93"/>
    <w:rPr>
      <w:rFonts w:cstheme="majorBidi"/>
      <w:color w:val="2F5496" w:themeColor="accent1" w:themeShade="BF"/>
      <w:sz w:val="24"/>
      <w:szCs w:val="24"/>
    </w:rPr>
  </w:style>
  <w:style w:type="character" w:customStyle="1" w:styleId="60">
    <w:name w:val="标题 6 字符"/>
    <w:basedOn w:val="a0"/>
    <w:link w:val="6"/>
    <w:uiPriority w:val="9"/>
    <w:semiHidden/>
    <w:rsid w:val="00901C93"/>
    <w:rPr>
      <w:rFonts w:cstheme="majorBidi"/>
      <w:b/>
      <w:bCs/>
      <w:color w:val="2F5496" w:themeColor="accent1" w:themeShade="BF"/>
    </w:rPr>
  </w:style>
  <w:style w:type="character" w:customStyle="1" w:styleId="70">
    <w:name w:val="标题 7 字符"/>
    <w:basedOn w:val="a0"/>
    <w:link w:val="7"/>
    <w:uiPriority w:val="9"/>
    <w:semiHidden/>
    <w:rsid w:val="00901C93"/>
    <w:rPr>
      <w:rFonts w:cstheme="majorBidi"/>
      <w:b/>
      <w:bCs/>
      <w:color w:val="595959" w:themeColor="text1" w:themeTint="A6"/>
    </w:rPr>
  </w:style>
  <w:style w:type="character" w:customStyle="1" w:styleId="80">
    <w:name w:val="标题 8 字符"/>
    <w:basedOn w:val="a0"/>
    <w:link w:val="8"/>
    <w:uiPriority w:val="9"/>
    <w:semiHidden/>
    <w:rsid w:val="00901C93"/>
    <w:rPr>
      <w:rFonts w:cstheme="majorBidi"/>
      <w:color w:val="595959" w:themeColor="text1" w:themeTint="A6"/>
    </w:rPr>
  </w:style>
  <w:style w:type="character" w:customStyle="1" w:styleId="90">
    <w:name w:val="标题 9 字符"/>
    <w:basedOn w:val="a0"/>
    <w:link w:val="9"/>
    <w:uiPriority w:val="9"/>
    <w:semiHidden/>
    <w:rsid w:val="00901C93"/>
    <w:rPr>
      <w:rFonts w:eastAsiaTheme="majorEastAsia" w:cstheme="majorBidi"/>
      <w:color w:val="595959" w:themeColor="text1" w:themeTint="A6"/>
    </w:rPr>
  </w:style>
  <w:style w:type="paragraph" w:styleId="a3">
    <w:name w:val="Title"/>
    <w:basedOn w:val="a"/>
    <w:next w:val="a"/>
    <w:link w:val="a4"/>
    <w:uiPriority w:val="10"/>
    <w:qFormat/>
    <w:rsid w:val="00901C9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01C9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01C9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01C9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01C93"/>
    <w:pPr>
      <w:spacing w:before="160" w:after="160"/>
      <w:jc w:val="center"/>
    </w:pPr>
    <w:rPr>
      <w:i/>
      <w:iCs/>
      <w:color w:val="404040" w:themeColor="text1" w:themeTint="BF"/>
    </w:rPr>
  </w:style>
  <w:style w:type="character" w:customStyle="1" w:styleId="a8">
    <w:name w:val="引用 字符"/>
    <w:basedOn w:val="a0"/>
    <w:link w:val="a7"/>
    <w:uiPriority w:val="29"/>
    <w:rsid w:val="00901C93"/>
    <w:rPr>
      <w:i/>
      <w:iCs/>
      <w:color w:val="404040" w:themeColor="text1" w:themeTint="BF"/>
    </w:rPr>
  </w:style>
  <w:style w:type="paragraph" w:styleId="a9">
    <w:name w:val="List Paragraph"/>
    <w:basedOn w:val="a"/>
    <w:uiPriority w:val="34"/>
    <w:qFormat/>
    <w:rsid w:val="00901C93"/>
    <w:pPr>
      <w:ind w:left="720"/>
      <w:contextualSpacing/>
    </w:pPr>
  </w:style>
  <w:style w:type="character" w:styleId="aa">
    <w:name w:val="Intense Emphasis"/>
    <w:basedOn w:val="a0"/>
    <w:uiPriority w:val="21"/>
    <w:qFormat/>
    <w:rsid w:val="00901C93"/>
    <w:rPr>
      <w:i/>
      <w:iCs/>
      <w:color w:val="2F5496" w:themeColor="accent1" w:themeShade="BF"/>
    </w:rPr>
  </w:style>
  <w:style w:type="paragraph" w:styleId="ab">
    <w:name w:val="Intense Quote"/>
    <w:basedOn w:val="a"/>
    <w:next w:val="a"/>
    <w:link w:val="ac"/>
    <w:uiPriority w:val="30"/>
    <w:qFormat/>
    <w:rsid w:val="00901C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01C93"/>
    <w:rPr>
      <w:i/>
      <w:iCs/>
      <w:color w:val="2F5496" w:themeColor="accent1" w:themeShade="BF"/>
    </w:rPr>
  </w:style>
  <w:style w:type="character" w:styleId="ad">
    <w:name w:val="Intense Reference"/>
    <w:basedOn w:val="a0"/>
    <w:uiPriority w:val="32"/>
    <w:qFormat/>
    <w:rsid w:val="00901C93"/>
    <w:rPr>
      <w:b/>
      <w:bCs/>
      <w:smallCaps/>
      <w:color w:val="2F5496" w:themeColor="accent1" w:themeShade="BF"/>
      <w:spacing w:val="5"/>
    </w:rPr>
  </w:style>
  <w:style w:type="paragraph" w:styleId="ae">
    <w:name w:val="footnote text"/>
    <w:basedOn w:val="a"/>
    <w:link w:val="af"/>
    <w:uiPriority w:val="99"/>
    <w:semiHidden/>
    <w:unhideWhenUsed/>
    <w:rsid w:val="00826AF0"/>
    <w:pPr>
      <w:snapToGrid w:val="0"/>
      <w:spacing w:after="160" w:line="278" w:lineRule="auto"/>
      <w:jc w:val="left"/>
    </w:pPr>
    <w:rPr>
      <w:sz w:val="18"/>
      <w:szCs w:val="18"/>
    </w:rPr>
  </w:style>
  <w:style w:type="character" w:customStyle="1" w:styleId="af">
    <w:name w:val="脚注文本 字符"/>
    <w:basedOn w:val="a0"/>
    <w:link w:val="ae"/>
    <w:uiPriority w:val="99"/>
    <w:semiHidden/>
    <w:rsid w:val="00826AF0"/>
    <w:rPr>
      <w:sz w:val="18"/>
      <w:szCs w:val="18"/>
    </w:rPr>
  </w:style>
  <w:style w:type="character" w:styleId="af0">
    <w:name w:val="footnote reference"/>
    <w:basedOn w:val="a0"/>
    <w:uiPriority w:val="99"/>
    <w:semiHidden/>
    <w:unhideWhenUsed/>
    <w:rsid w:val="00826AF0"/>
    <w:rPr>
      <w:vertAlign w:val="superscript"/>
    </w:rPr>
  </w:style>
  <w:style w:type="paragraph" w:styleId="af1">
    <w:name w:val="Bibliography"/>
    <w:basedOn w:val="a"/>
    <w:next w:val="a"/>
    <w:uiPriority w:val="37"/>
    <w:unhideWhenUsed/>
    <w:rsid w:val="00C5280A"/>
    <w:pPr>
      <w:tabs>
        <w:tab w:val="left" w:pos="504"/>
      </w:tabs>
      <w:ind w:left="504" w:hanging="504"/>
    </w:pPr>
  </w:style>
  <w:style w:type="paragraph" w:styleId="af2">
    <w:name w:val="Normal (Web)"/>
    <w:basedOn w:val="a"/>
    <w:uiPriority w:val="99"/>
    <w:semiHidden/>
    <w:unhideWhenUsed/>
    <w:rsid w:val="005C2BA7"/>
    <w:rPr>
      <w:rFonts w:ascii="Times New Roman" w:hAnsi="Times New Roman" w:cs="Times New Roman"/>
      <w:sz w:val="24"/>
      <w:szCs w:val="24"/>
    </w:rPr>
  </w:style>
  <w:style w:type="paragraph" w:styleId="af3">
    <w:name w:val="header"/>
    <w:basedOn w:val="a"/>
    <w:link w:val="af4"/>
    <w:uiPriority w:val="99"/>
    <w:unhideWhenUsed/>
    <w:rsid w:val="00117E88"/>
    <w:pPr>
      <w:tabs>
        <w:tab w:val="center" w:pos="4153"/>
        <w:tab w:val="right" w:pos="8306"/>
      </w:tabs>
      <w:snapToGrid w:val="0"/>
      <w:jc w:val="center"/>
    </w:pPr>
    <w:rPr>
      <w:sz w:val="18"/>
      <w:szCs w:val="18"/>
    </w:rPr>
  </w:style>
  <w:style w:type="character" w:customStyle="1" w:styleId="af4">
    <w:name w:val="页眉 字符"/>
    <w:basedOn w:val="a0"/>
    <w:link w:val="af3"/>
    <w:uiPriority w:val="99"/>
    <w:rsid w:val="00117E88"/>
    <w:rPr>
      <w:sz w:val="18"/>
      <w:szCs w:val="18"/>
    </w:rPr>
  </w:style>
  <w:style w:type="paragraph" w:styleId="af5">
    <w:name w:val="footer"/>
    <w:basedOn w:val="a"/>
    <w:link w:val="af6"/>
    <w:uiPriority w:val="99"/>
    <w:unhideWhenUsed/>
    <w:rsid w:val="00117E88"/>
    <w:pPr>
      <w:tabs>
        <w:tab w:val="center" w:pos="4153"/>
        <w:tab w:val="right" w:pos="8306"/>
      </w:tabs>
      <w:snapToGrid w:val="0"/>
      <w:jc w:val="left"/>
    </w:pPr>
    <w:rPr>
      <w:sz w:val="18"/>
      <w:szCs w:val="18"/>
    </w:rPr>
  </w:style>
  <w:style w:type="character" w:customStyle="1" w:styleId="af6">
    <w:name w:val="页脚 字符"/>
    <w:basedOn w:val="a0"/>
    <w:link w:val="af5"/>
    <w:uiPriority w:val="99"/>
    <w:rsid w:val="00117E88"/>
    <w:rPr>
      <w:sz w:val="18"/>
      <w:szCs w:val="18"/>
    </w:rPr>
  </w:style>
  <w:style w:type="paragraph" w:styleId="af7">
    <w:name w:val="Date"/>
    <w:basedOn w:val="a"/>
    <w:next w:val="a"/>
    <w:link w:val="af8"/>
    <w:uiPriority w:val="99"/>
    <w:semiHidden/>
    <w:unhideWhenUsed/>
    <w:rsid w:val="0010016D"/>
    <w:pPr>
      <w:ind w:leftChars="2500" w:left="100"/>
    </w:pPr>
  </w:style>
  <w:style w:type="character" w:customStyle="1" w:styleId="af8">
    <w:name w:val="日期 字符"/>
    <w:basedOn w:val="a0"/>
    <w:link w:val="af7"/>
    <w:uiPriority w:val="99"/>
    <w:semiHidden/>
    <w:rsid w:val="0010016D"/>
  </w:style>
  <w:style w:type="character" w:styleId="af9">
    <w:name w:val="endnote reference"/>
    <w:basedOn w:val="a0"/>
    <w:uiPriority w:val="99"/>
    <w:semiHidden/>
    <w:unhideWhenUsed/>
    <w:rsid w:val="009863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183243</TotalTime>
  <Pages>11</Pages>
  <Words>29996</Words>
  <Characters>170978</Characters>
  <Application>Microsoft Office Word</Application>
  <DocSecurity>0</DocSecurity>
  <Lines>1424</Lines>
  <Paragraphs>401</Paragraphs>
  <ScaleCrop>false</ScaleCrop>
  <Company/>
  <LinksUpToDate>false</LinksUpToDate>
  <CharactersWithSpaces>200573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睿琳 张</dc:creator>
  <cp:keywords/>
  <dc:description/>
  <cp:lastModifiedBy>睿琳 张</cp:lastModifiedBy>
  <cp:revision>287</cp:revision>
  <dcterms:created xsi:type="dcterms:W3CDTF">2026-01-09T09:34:00Z</dcterms:created>
  <dcterms:modified xsi:type="dcterms:W3CDTF">2026-08-11T09:33:00Z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id="Jte3dynV"/&gt;&lt;style id="https://zotero-chinese.com/styles/GB-T-7714—2025（顺序编码，双语，无URL，无DOI）" hasBibliography="1" bibliographyStyleHasBeenSet="1"/&gt;&lt;prefs&gt;&lt;pref name="fieldType" value="Field"/&gt;&lt;/prefs</vt:lpwstr>
  </property>
  <property fmtid="{D5CDD505-2E9C-101B-9397-08002B2CF9AE}" pid="3" name="ZOTERO_PREF_2">
    <vt:lpwstr>&gt;&lt;/data&gt;</vt:lpwstr>
  </property>
</Properties>
</file>