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C35735">
      <w:pPr>
        <w:spacing w:before="380" w:after="140" w:line="288" w:lineRule="auto"/>
        <w:ind w:left="0"/>
        <w:jc w:val="center"/>
        <w:outlineLvl w:val="0"/>
        <w:rPr>
          <w:sz w:val="24"/>
          <w:szCs w:val="24"/>
        </w:rPr>
      </w:pPr>
      <w:bookmarkStart w:id="0" w:name="heading_0"/>
      <w:r>
        <w:rPr>
          <w:rFonts w:ascii="Arial" w:hAnsi="Arial" w:eastAsia="等线" w:cs="Arial"/>
          <w:b/>
          <w:sz w:val="24"/>
          <w:szCs w:val="24"/>
        </w:rPr>
        <w:t>RB1/P16/Cyclin D1 通路在小细胞肺癌精准诊疗中的研究进展</w:t>
      </w:r>
      <w:bookmarkEnd w:id="0"/>
    </w:p>
    <w:p w14:paraId="18D46B6E">
      <w:pPr>
        <w:spacing w:before="120" w:after="120" w:line="288" w:lineRule="auto"/>
        <w:ind w:left="0"/>
        <w:jc w:val="center"/>
        <w:rPr>
          <w:rFonts w:ascii="Arial" w:hAnsi="Arial" w:eastAsia="等线" w:cs="Arial"/>
          <w:sz w:val="21"/>
          <w:szCs w:val="21"/>
        </w:rPr>
      </w:pPr>
      <w:r>
        <w:rPr>
          <w:rFonts w:ascii="Arial" w:hAnsi="Arial" w:eastAsia="等线" w:cs="Arial"/>
          <w:sz w:val="21"/>
          <w:szCs w:val="21"/>
        </w:rPr>
        <w:t>Research progress of RB1/P16/Cyclin D1 pathway in precise diagnosis and treatment of small cell lung cancer</w:t>
      </w:r>
      <w:r>
        <w:rPr>
          <w:rFonts w:ascii="Arial" w:hAnsi="Arial" w:eastAsia="等线" w:cs="Arial"/>
          <w:sz w:val="21"/>
          <w:szCs w:val="21"/>
        </w:rPr>
        <w:br w:type="textWrapping"/>
      </w:r>
      <w:r>
        <w:rPr>
          <w:rFonts w:ascii="Arial" w:hAnsi="Arial" w:eastAsia="等线" w:cs="Arial"/>
          <w:sz w:val="21"/>
          <w:szCs w:val="21"/>
        </w:rPr>
        <w:t>赵梓羽 ¹,²，汤继鸿 ¹，刘晓娟 ¹，赵国净 ¹，边莉 ¹</w:t>
      </w:r>
    </w:p>
    <w:p w14:paraId="6D4A3D38">
      <w:pPr>
        <w:spacing w:before="120" w:after="120" w:line="288" w:lineRule="auto"/>
        <w:ind w:left="0"/>
        <w:jc w:val="left"/>
        <w:rPr>
          <w:sz w:val="21"/>
          <w:szCs w:val="21"/>
        </w:rPr>
      </w:pPr>
      <w:r>
        <w:rPr>
          <w:rFonts w:ascii="Arial" w:hAnsi="Arial" w:eastAsia="等线" w:cs="Arial"/>
          <w:sz w:val="21"/>
          <w:szCs w:val="21"/>
        </w:rPr>
        <w:t>（¹ 昆明医科大学第一附属医院病理科，昆明 650032；² 玉溪市人民医院病理科，玉溪 653100）</w:t>
      </w:r>
    </w:p>
    <w:p w14:paraId="6F406D5A">
      <w:pPr>
        <w:spacing w:before="120" w:after="120" w:line="288" w:lineRule="auto"/>
        <w:ind w:left="0"/>
        <w:jc w:val="both"/>
        <w:rPr>
          <w:rFonts w:hint="default" w:ascii="Times New Roman Regular" w:hAnsi="Times New Roman Regular" w:cs="Times New Roman Regular"/>
          <w:color w:val="auto"/>
          <w:sz w:val="21"/>
          <w:szCs w:val="21"/>
        </w:rPr>
      </w:pPr>
      <w:r>
        <w:rPr>
          <w:rFonts w:ascii="Arial" w:hAnsi="Arial" w:eastAsia="等线" w:cs="Arial"/>
          <w:sz w:val="21"/>
          <w:szCs w:val="21"/>
        </w:rPr>
        <w:t>通信作者</w:t>
      </w:r>
      <w:r>
        <w:rPr>
          <w:rFonts w:hint="default" w:ascii="Times New Roman Regular" w:hAnsi="Times New Roman Regular" w:eastAsia="等线" w:cs="Times New Roman Regular"/>
          <w:sz w:val="21"/>
          <w:szCs w:val="21"/>
        </w:rPr>
        <w:t>：边莉，Email：</w:t>
      </w:r>
      <w:r>
        <w:rPr>
          <w:rFonts w:hint="default" w:ascii="Times New Roman Regular" w:hAnsi="Times New Roman Regular" w:cs="Times New Roman Regular"/>
          <w:color w:val="auto"/>
          <w:sz w:val="21"/>
          <w:szCs w:val="21"/>
        </w:rPr>
        <w:fldChar w:fldCharType="begin"/>
      </w:r>
      <w:r>
        <w:rPr>
          <w:rFonts w:hint="default" w:ascii="Times New Roman Regular" w:hAnsi="Times New Roman Regular" w:cs="Times New Roman Regular"/>
          <w:color w:val="auto"/>
          <w:sz w:val="21"/>
          <w:szCs w:val="21"/>
        </w:rPr>
        <w:instrText xml:space="preserve"> HYPERLINK "mailto:bianli@kmmu.edu.cn" \h </w:instrText>
      </w:r>
      <w:r>
        <w:rPr>
          <w:rFonts w:hint="default" w:ascii="Times New Roman Regular" w:hAnsi="Times New Roman Regular" w:cs="Times New Roman Regular"/>
          <w:color w:val="auto"/>
          <w:sz w:val="21"/>
          <w:szCs w:val="21"/>
        </w:rPr>
        <w:fldChar w:fldCharType="separate"/>
      </w:r>
      <w:r>
        <w:rPr>
          <w:rFonts w:hint="default" w:ascii="Times New Roman Regular" w:hAnsi="Times New Roman Regular" w:eastAsia="等线" w:cs="Times New Roman Regular"/>
          <w:color w:val="auto"/>
          <w:sz w:val="21"/>
          <w:szCs w:val="21"/>
        </w:rPr>
        <w:t>bianli@kmmu.edu.cn</w:t>
      </w:r>
      <w:r>
        <w:rPr>
          <w:rFonts w:hint="default" w:ascii="Times New Roman Regular" w:hAnsi="Times New Roman Regular" w:eastAsia="等线" w:cs="Times New Roman Regular"/>
          <w:color w:val="auto"/>
          <w:sz w:val="21"/>
          <w:szCs w:val="21"/>
        </w:rPr>
        <w:fldChar w:fldCharType="end"/>
      </w:r>
    </w:p>
    <w:p w14:paraId="79421264">
      <w:pPr>
        <w:spacing w:before="120" w:after="120" w:line="288" w:lineRule="auto"/>
        <w:ind w:firstLine="1050" w:firstLineChars="500"/>
        <w:jc w:val="both"/>
        <w:rPr>
          <w:rFonts w:hint="default" w:ascii="Times New Roman Regular" w:hAnsi="Times New Roman Regular" w:cs="Times New Roman Regular"/>
          <w:color w:val="auto"/>
          <w:sz w:val="21"/>
          <w:szCs w:val="21"/>
        </w:rPr>
      </w:pPr>
      <w:r>
        <w:rPr>
          <w:rFonts w:hint="default" w:ascii="Times New Roman Regular" w:hAnsi="Times New Roman Regular" w:eastAsia="等线" w:cs="Times New Roman Regular"/>
          <w:sz w:val="21"/>
          <w:szCs w:val="21"/>
        </w:rPr>
        <w:t>ZHAO Ziyu¹,², TANG Jihong¹, LIU Xiaojuan¹, ZHAO Guojing¹, BIAN Li¹</w:t>
      </w:r>
      <w:r>
        <w:rPr>
          <w:rFonts w:hint="default" w:ascii="Times New Roman Regular" w:hAnsi="Times New Roman Regular" w:eastAsia="等线" w:cs="Times New Roman Regular"/>
          <w:sz w:val="21"/>
          <w:szCs w:val="21"/>
        </w:rPr>
        <w:br w:type="textWrapping"/>
      </w:r>
      <w:r>
        <w:rPr>
          <w:rFonts w:hint="default" w:ascii="Times New Roman Regular" w:hAnsi="Times New Roman Regular" w:eastAsia="等线" w:cs="Times New Roman Regular"/>
          <w:sz w:val="21"/>
          <w:szCs w:val="21"/>
        </w:rPr>
        <w:t>(¹ Department of Pathology, The First Affiliated Hospital of Kunming Medical University, Kunming 650032, China; ² Department of Pathology, Yuxi People’s Hospital, Yuxi 653100, China)</w:t>
      </w:r>
      <w:r>
        <w:rPr>
          <w:rFonts w:hint="default" w:ascii="Times New Roman Regular" w:hAnsi="Times New Roman Regular" w:eastAsia="等线" w:cs="Times New Roman Regular"/>
          <w:sz w:val="21"/>
          <w:szCs w:val="21"/>
        </w:rPr>
        <w:br w:type="textWrapping"/>
      </w:r>
      <w:r>
        <w:rPr>
          <w:rFonts w:hint="default" w:ascii="Times New Roman Regular" w:hAnsi="Times New Roman Regular" w:eastAsia="等线" w:cs="Times New Roman Regular"/>
          <w:sz w:val="21"/>
          <w:szCs w:val="21"/>
        </w:rPr>
        <w:t xml:space="preserve">Corresponding Author: BIAN Li, Email: </w:t>
      </w:r>
      <w:r>
        <w:rPr>
          <w:rFonts w:hint="default" w:ascii="Times New Roman Regular" w:hAnsi="Times New Roman Regular" w:cs="Times New Roman Regular"/>
          <w:color w:val="auto"/>
          <w:sz w:val="21"/>
          <w:szCs w:val="21"/>
        </w:rPr>
        <w:fldChar w:fldCharType="begin"/>
      </w:r>
      <w:r>
        <w:rPr>
          <w:rFonts w:hint="default" w:ascii="Times New Roman Regular" w:hAnsi="Times New Roman Regular" w:cs="Times New Roman Regular"/>
          <w:color w:val="auto"/>
          <w:sz w:val="21"/>
          <w:szCs w:val="21"/>
        </w:rPr>
        <w:instrText xml:space="preserve"> HYPERLINK "mailto:bianli@kmmu.edu.cn" \h </w:instrText>
      </w:r>
      <w:r>
        <w:rPr>
          <w:rFonts w:hint="default" w:ascii="Times New Roman Regular" w:hAnsi="Times New Roman Regular" w:cs="Times New Roman Regular"/>
          <w:color w:val="auto"/>
          <w:sz w:val="21"/>
          <w:szCs w:val="21"/>
        </w:rPr>
        <w:fldChar w:fldCharType="separate"/>
      </w:r>
      <w:r>
        <w:rPr>
          <w:rFonts w:hint="default" w:ascii="Times New Roman Regular" w:hAnsi="Times New Roman Regular" w:eastAsia="等线" w:cs="Times New Roman Regular"/>
          <w:color w:val="auto"/>
          <w:sz w:val="21"/>
          <w:szCs w:val="21"/>
        </w:rPr>
        <w:t>bianli@kmmu.edu.cn</w:t>
      </w:r>
      <w:r>
        <w:rPr>
          <w:rFonts w:hint="default" w:ascii="Times New Roman Regular" w:hAnsi="Times New Roman Regular" w:eastAsia="等线" w:cs="Times New Roman Regular"/>
          <w:color w:val="auto"/>
          <w:sz w:val="21"/>
          <w:szCs w:val="21"/>
        </w:rPr>
        <w:fldChar w:fldCharType="end"/>
      </w:r>
    </w:p>
    <w:p w14:paraId="1F016555">
      <w:pPr>
        <w:spacing w:before="320" w:after="120" w:line="288" w:lineRule="auto"/>
        <w:ind w:left="0"/>
        <w:jc w:val="both"/>
        <w:outlineLvl w:val="1"/>
        <w:rPr>
          <w:sz w:val="21"/>
          <w:szCs w:val="21"/>
        </w:rPr>
      </w:pPr>
      <w:bookmarkStart w:id="1" w:name="heading_1"/>
      <w:r>
        <w:rPr>
          <w:rFonts w:ascii="Arial" w:hAnsi="Arial" w:eastAsia="等线" w:cs="Arial"/>
          <w:b/>
          <w:sz w:val="21"/>
          <w:szCs w:val="21"/>
        </w:rPr>
        <w:t>摘要</w:t>
      </w:r>
      <w:bookmarkEnd w:id="1"/>
    </w:p>
    <w:p w14:paraId="3433E1FE">
      <w:pPr>
        <w:spacing w:before="120" w:after="120" w:line="288" w:lineRule="auto"/>
        <w:ind w:left="0" w:firstLine="420" w:firstLineChars="200"/>
        <w:jc w:val="both"/>
        <w:rPr>
          <w:sz w:val="21"/>
          <w:szCs w:val="21"/>
        </w:rPr>
      </w:pPr>
      <w:r>
        <w:rPr>
          <w:rFonts w:ascii="Arial" w:hAnsi="Arial" w:eastAsia="等线" w:cs="Arial"/>
          <w:sz w:val="21"/>
          <w:szCs w:val="21"/>
        </w:rPr>
        <w:t>小细胞肺癌是高侵袭性肺部神经内分泌肿瘤，远期生存率低，传统诊疗模式难以突破现有瓶颈。细胞周期调控紊乱深刻影响肿瘤进展与耐药进程，RB1/P16/Cyclin D1 通路可实现疾病精准分型。本文系统阐述该通路的作用机制与亚型分化特点，归纳相关标志物在临床诊断、预后判断及个体化治疗中的实践价值。近年来，空间组学技术逐步解析肿瘤空间架构、细胞互作与瘤内异质性，成为该领域新兴研究热点。剖析当前检测标准不统一、耐药机制不明等现实问题，并结合空间生物学前沿展望发展趋势，为推进小细胞肺癌规范化、精准化诊疗提供思路。</w:t>
      </w:r>
    </w:p>
    <w:p w14:paraId="14DE1830">
      <w:pPr>
        <w:spacing w:before="120" w:after="120" w:line="288" w:lineRule="auto"/>
        <w:ind w:left="0"/>
        <w:jc w:val="both"/>
        <w:rPr>
          <w:sz w:val="21"/>
          <w:szCs w:val="21"/>
        </w:rPr>
      </w:pPr>
      <w:r>
        <w:rPr>
          <w:rFonts w:ascii="Arial" w:hAnsi="Arial" w:eastAsia="等线" w:cs="Arial"/>
          <w:sz w:val="21"/>
          <w:szCs w:val="21"/>
        </w:rPr>
        <w:t>关键词：小细胞肺癌；视网膜母细胞瘤蛋白 1；P16 蛋白；细胞周期蛋白 D1；分子分型；精准治疗</w:t>
      </w:r>
    </w:p>
    <w:p w14:paraId="2E78D8B6">
      <w:pPr>
        <w:spacing w:before="120" w:after="120" w:line="288" w:lineRule="auto"/>
        <w:ind w:left="0"/>
        <w:jc w:val="both"/>
        <w:rPr>
          <w:sz w:val="21"/>
          <w:szCs w:val="21"/>
        </w:rPr>
      </w:pPr>
      <w:r>
        <w:rPr>
          <w:rFonts w:ascii="Arial" w:hAnsi="Arial" w:eastAsia="等线" w:cs="Arial"/>
          <w:sz w:val="21"/>
          <w:szCs w:val="21"/>
        </w:rPr>
        <w:t>基金项目：国家自然科学基金地区项目（No.82360523）；云南省联合专项重点项目（No.202001AY070001‑007）；兴滇人才计划 “名医专项”（No.RLMY20220018）；昆明医科大学肺部恶性肿瘤精准病理诊断科技创新团队（No.CXTD202210）；校级一流学科特色团队（No.2024XKTDTS11）；云南省神经心脏系统疾病临床医学中心（No.YWLCYXZX2023300077）；医学中心科研项目（No.2024YNLCYXZX0050）</w:t>
      </w:r>
    </w:p>
    <w:p w14:paraId="74177928">
      <w:pPr>
        <w:spacing w:before="320" w:after="120" w:line="288" w:lineRule="auto"/>
        <w:ind w:left="0"/>
        <w:jc w:val="both"/>
        <w:outlineLvl w:val="1"/>
        <w:rPr>
          <w:rFonts w:hint="default" w:ascii="Times New Roman" w:hAnsi="Times New Roman" w:cs="Times New Roman"/>
          <w:b w:val="0"/>
          <w:sz w:val="21"/>
          <w:szCs w:val="21"/>
        </w:rPr>
      </w:pPr>
      <w:bookmarkStart w:id="2" w:name="heading_2"/>
      <w:r>
        <w:rPr>
          <w:rFonts w:hint="default" w:ascii="Times New Roman" w:hAnsi="Times New Roman" w:eastAsia="等线" w:cs="Times New Roman"/>
          <w:b w:val="0"/>
          <w:sz w:val="21"/>
          <w:szCs w:val="21"/>
        </w:rPr>
        <w:t>Abstract</w:t>
      </w:r>
      <w:bookmarkEnd w:id="2"/>
    </w:p>
    <w:p w14:paraId="668F94B6">
      <w:pPr>
        <w:spacing w:before="120" w:after="120" w:line="288" w:lineRule="auto"/>
        <w:ind w:left="0" w:firstLine="420" w:firstLineChars="200"/>
        <w:jc w:val="both"/>
        <w:rPr>
          <w:rFonts w:hint="default" w:ascii="Times New Roman" w:hAnsi="Times New Roman" w:cs="Times New Roman"/>
          <w:b w:val="0"/>
          <w:sz w:val="21"/>
          <w:szCs w:val="21"/>
        </w:rPr>
      </w:pPr>
      <w:r>
        <w:rPr>
          <w:rFonts w:hint="default" w:ascii="Times New Roman" w:hAnsi="Times New Roman" w:eastAsia="等线" w:cs="Times New Roman"/>
          <w:b w:val="0"/>
          <w:sz w:val="21"/>
          <w:szCs w:val="21"/>
        </w:rPr>
        <w:t>Small cell lung cancer (SCLC) is a highly aggressive high‑grade pulmonary neuroendocrine tumor with poor long‑term survival, and conventional diagnosis‑treatment patterns cannot break through existing clinical bottlenecks. Dysregulation of cell‑cycle progression contributes to tumor progression and drug resistance. The RB1/P16/Cyclin D1 pathway enables precise molecular subtyping for SCLC. This review illustrates the molecular mechanism and subtype‑differentiating features of this pathway, and summarizes the clinical value of relevant biomarkers in pathological diagnosis, prognostic evaluation and individualized therapy. Spatial omics techniques can dissect tumor spatial architecture, cell‑cell interaction and intratumoral heterogeneity and have become a novel research hotspot.</w:t>
      </w:r>
      <w:r>
        <w:rPr>
          <w:rFonts w:hint="default" w:ascii="Times New Roman" w:hAnsi="Times New Roman" w:eastAsia="等线" w:cs="Times New Roman"/>
          <w:b w:val="0"/>
          <w:sz w:val="21"/>
          <w:szCs w:val="21"/>
          <w:lang w:val="en-US" w:eastAsia="zh-CN"/>
        </w:rPr>
        <w:t>A</w:t>
      </w:r>
      <w:r>
        <w:rPr>
          <w:rFonts w:hint="default" w:ascii="Times New Roman" w:hAnsi="Times New Roman" w:eastAsia="等线" w:cs="Times New Roman"/>
          <w:b w:val="0"/>
          <w:sz w:val="21"/>
          <w:szCs w:val="21"/>
        </w:rPr>
        <w:t>lso discusses practical obstacles including inconsistent detection criteria and unclear drug‑resistance mechanisms. Combined with advances in spatial biology, we prospect future development directions, and provide evidence for standardized and precise management of SCLC.</w:t>
      </w:r>
    </w:p>
    <w:p w14:paraId="06C372C6">
      <w:pPr>
        <w:spacing w:before="120" w:after="120" w:line="288" w:lineRule="auto"/>
        <w:ind w:left="0"/>
        <w:jc w:val="both"/>
        <w:rPr>
          <w:rFonts w:hint="default" w:ascii="Times New Roman" w:hAnsi="Times New Roman" w:cs="Times New Roman"/>
          <w:b w:val="0"/>
          <w:sz w:val="21"/>
          <w:szCs w:val="21"/>
        </w:rPr>
      </w:pPr>
      <w:r>
        <w:rPr>
          <w:rFonts w:hint="default" w:ascii="Times New Roman" w:hAnsi="Times New Roman" w:eastAsia="等线" w:cs="Times New Roman"/>
          <w:b w:val="0"/>
          <w:sz w:val="21"/>
          <w:szCs w:val="21"/>
        </w:rPr>
        <w:t>Keywords: Small cell lung cancer; Retinoblastoma protein 1; P16 protein; Cyclin D1; Molecular classification; Precision therapy</w:t>
      </w:r>
    </w:p>
    <w:p w14:paraId="0F3B19F2">
      <w:pPr>
        <w:spacing w:before="120" w:after="120" w:line="288" w:lineRule="auto"/>
        <w:ind w:left="0"/>
        <w:jc w:val="both"/>
        <w:rPr>
          <w:rFonts w:hint="default" w:ascii="Times New Roman" w:hAnsi="Times New Roman" w:cs="Times New Roman"/>
          <w:b w:val="0"/>
          <w:sz w:val="21"/>
          <w:szCs w:val="21"/>
        </w:rPr>
      </w:pPr>
      <w:r>
        <w:rPr>
          <w:rFonts w:hint="default" w:ascii="Times New Roman" w:hAnsi="Times New Roman" w:eastAsia="等线" w:cs="Times New Roman"/>
          <w:b w:val="0"/>
          <w:sz w:val="21"/>
          <w:szCs w:val="21"/>
        </w:rPr>
        <w:t>Fund program: Project supported by the Fund for Less Developed Regions of the National Natural Science Foundation of China (No. 82360523); the Key Project of Yunnan Provincial Joint Special Fund (No. 202001AY070001‑007); the "Famous Doctor Special Program" of the "Developing Dian Talents Plan" (No. RLMY20220018); the Scientific and Technological Innovation Team for Precision Pathological Diagnosis of Lung Malignant Tumors, Kunming Medical University (No. CXTD202210); the Characteristic Team of the University‑level First‑Class Discipline (No. 2024XKTDTS11); the Yunnan Provincial Clinical Medical Center for Neurological and Cardiac Diseases (No. YWLCYXZX2023300077); and the Scientific Research Project of the Medical Center (No. 2024YNLCYXZX0050).</w:t>
      </w:r>
    </w:p>
    <w:p w14:paraId="7DF6239D">
      <w:pPr>
        <w:spacing w:before="320" w:after="120" w:line="288" w:lineRule="auto"/>
        <w:ind w:left="0"/>
        <w:jc w:val="both"/>
        <w:outlineLvl w:val="1"/>
        <w:rPr>
          <w:sz w:val="21"/>
          <w:szCs w:val="21"/>
        </w:rPr>
      </w:pPr>
      <w:bookmarkStart w:id="3" w:name="heading_3"/>
      <w:r>
        <w:rPr>
          <w:rFonts w:ascii="Arial" w:hAnsi="Arial" w:eastAsia="等线" w:cs="Arial"/>
          <w:b/>
          <w:sz w:val="21"/>
          <w:szCs w:val="21"/>
        </w:rPr>
        <w:t>引言</w:t>
      </w:r>
      <w:bookmarkEnd w:id="3"/>
    </w:p>
    <w:p w14:paraId="190B09CB">
      <w:pPr>
        <w:spacing w:before="120" w:after="120" w:line="288" w:lineRule="auto"/>
        <w:ind w:left="0" w:firstLine="420" w:firstLineChars="200"/>
        <w:jc w:val="both"/>
        <w:rPr>
          <w:sz w:val="21"/>
          <w:szCs w:val="21"/>
        </w:rPr>
      </w:pPr>
      <w:r>
        <w:rPr>
          <w:rFonts w:ascii="Arial" w:hAnsi="Arial" w:eastAsia="等线" w:cs="Arial"/>
          <w:sz w:val="21"/>
          <w:szCs w:val="21"/>
        </w:rPr>
        <w:t>小细胞肺癌（small cell lung cancer，SCLC）是高度恶性的肺高级别神经内分泌肿瘤，约占肺癌 15%，具有生长迅速、早期转移、极易复发耐药的临床特点</w:t>
      </w:r>
      <w:r>
        <w:rPr>
          <w:rFonts w:ascii="Arial" w:hAnsi="Arial" w:eastAsia="等线" w:cs="Arial"/>
          <w:sz w:val="21"/>
          <w:szCs w:val="21"/>
          <w:vertAlign w:val="superscript"/>
        </w:rPr>
        <w:fldChar w:fldCharType="begin"/>
      </w:r>
      <w:r>
        <w:instrText xml:space="preserve"> REF _Ref714840802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[1]</w:t>
      </w:r>
      <w:r>
        <w:rPr>
          <w:rFonts w:ascii="Arial" w:hAnsi="Arial" w:eastAsia="等线" w:cs="Arial"/>
          <w:sz w:val="21"/>
          <w:szCs w:val="21"/>
          <w:vertAlign w:val="superscript"/>
        </w:rPr>
        <w:fldChar w:fldCharType="end"/>
      </w:r>
      <w:r>
        <w:rPr>
          <w:rFonts w:ascii="Arial" w:hAnsi="Arial" w:eastAsia="等线" w:cs="Arial"/>
          <w:sz w:val="21"/>
          <w:szCs w:val="21"/>
        </w:rPr>
        <w:t>。临床分为局限期与广泛期，局限期 5 年生存率约 15%‑20%，广泛期仅 5%‑7%；尽管一线铂类为基础化疗初始应答率较高，但多数患者在 6‑8 个月出现复发耐药，整体远期生存仍不理想</w:t>
      </w:r>
      <w:r>
        <w:rPr>
          <w:rFonts w:ascii="Arial" w:hAnsi="Arial" w:eastAsia="等线" w:cs="Arial"/>
          <w:sz w:val="21"/>
          <w:szCs w:val="21"/>
          <w:vertAlign w:val="superscript"/>
        </w:rPr>
        <w:fldChar w:fldCharType="begin"/>
      </w:r>
      <w:r>
        <w:instrText xml:space="preserve"> REF _Ref715664345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[2]</w:t>
      </w:r>
      <w:r>
        <w:rPr>
          <w:rFonts w:ascii="Arial" w:hAnsi="Arial" w:eastAsia="等线" w:cs="Arial"/>
          <w:sz w:val="21"/>
          <w:szCs w:val="21"/>
          <w:vertAlign w:val="superscript"/>
        </w:rPr>
        <w:fldChar w:fldCharType="end"/>
      </w:r>
      <w:r>
        <w:rPr>
          <w:rFonts w:ascii="Arial" w:hAnsi="Arial" w:eastAsia="等线" w:cs="Arial"/>
          <w:sz w:val="21"/>
          <w:szCs w:val="21"/>
        </w:rPr>
        <w:t>。</w:t>
      </w:r>
    </w:p>
    <w:p w14:paraId="50A1AB2C">
      <w:pPr>
        <w:spacing w:before="120" w:after="120" w:line="288" w:lineRule="auto"/>
        <w:ind w:left="0" w:firstLine="420" w:firstLineChars="200"/>
        <w:jc w:val="both"/>
        <w:rPr>
          <w:rFonts w:ascii="Arial" w:hAnsi="Arial" w:eastAsia="等线" w:cs="Arial"/>
          <w:sz w:val="21"/>
          <w:szCs w:val="21"/>
        </w:rPr>
      </w:pPr>
      <w:r>
        <w:rPr>
          <w:rFonts w:ascii="Arial" w:hAnsi="Arial" w:eastAsia="等线" w:cs="Arial"/>
          <w:sz w:val="21"/>
          <w:szCs w:val="21"/>
        </w:rPr>
        <w:t>近年来 SCLC 新药研发取得重要突破，免疫检查点抑制剂已经成为广泛期 SCLC 一线标准治疗，但免疫治疗整体获益有限，仅有部分患者能够实现长期生存；B7‑H3 抗体药物偶联物、塔拉妥单抗等新型双特异性抗体、ADC 药物在复发难治 SCLC 队列中展现出可观抗肿瘤活性</w:t>
      </w:r>
      <w:r>
        <w:rPr>
          <w:rFonts w:ascii="Arial" w:hAnsi="Arial" w:eastAsia="等线" w:cs="Arial"/>
          <w:sz w:val="21"/>
          <w:szCs w:val="21"/>
          <w:vertAlign w:val="superscript"/>
        </w:rPr>
        <w:fldChar w:fldCharType="begin"/>
      </w:r>
      <w:r>
        <w:instrText xml:space="preserve"> REF _Ref716050906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[26</w:t>
      </w:r>
      <w:r>
        <w:rPr>
          <w:rFonts w:hint="default" w:ascii="Arial" w:hAnsi="Arial" w:eastAsia="等线" w:cs="Arial"/>
          <w:sz w:val="21"/>
          <w:szCs w:val="21"/>
          <w:vertAlign w:val="superscript"/>
          <w:lang w:val="en-US"/>
        </w:rPr>
        <w:t>,</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_Ref716084520 \r \h  \* MERGEFORMAT</w:instrText>
      </w:r>
      <w:r>
        <w:rPr>
          <w:rFonts w:hint="default" w:ascii="Arial" w:hAnsi="Arial" w:eastAsia="等线" w:cs="Arial"/>
          <w:sz w:val="21"/>
          <w:szCs w:val="21"/>
          <w:vertAlign w:val="superscript"/>
          <w:lang/>
        </w:rPr>
        <w:fldChar w:fldCharType="separate"/>
      </w:r>
      <w:r>
        <w:rPr>
          <w:rFonts w:hint="default" w:ascii="Arial" w:hAnsi="Arial" w:eastAsia="等线" w:cs="Arial"/>
          <w:sz w:val="21"/>
          <w:szCs w:val="21"/>
          <w:vertAlign w:val="superscript"/>
          <w:lang/>
        </w:rPr>
        <w:t>27]</w:t>
      </w:r>
      <w:r>
        <w:rPr>
          <w:rFonts w:hint="default" w:ascii="Arial" w:hAnsi="Arial" w:eastAsia="等线" w:cs="Arial"/>
          <w:sz w:val="21"/>
          <w:szCs w:val="21"/>
          <w:vertAlign w:val="superscript"/>
          <w:lang/>
        </w:rPr>
        <w:fldChar w:fldCharType="end"/>
      </w:r>
      <w:r>
        <w:rPr>
          <w:rFonts w:ascii="Arial" w:hAnsi="Arial" w:eastAsia="等线" w:cs="Arial"/>
          <w:sz w:val="21"/>
          <w:szCs w:val="21"/>
        </w:rPr>
        <w:t>。肿瘤突变负荷、PD‑L1 表达、神经内分泌表型等生物标志物被广泛探索，但上述标志物尚不足以完整区分患者治疗应答，仍缺少稳定性好、可常规病理检测的分层标志物，难以满足当前个体化诊疗需求。在此背景下，细胞周期通路异常的临床价值逐渐受到重视。RB1/P16/Cyclin D1 通路是 G1/S 期转换核心调控节点，通路失调控是 SCLC 最特征性分子改变之一</w:t>
      </w:r>
      <w:r>
        <w:rPr>
          <w:rFonts w:ascii="Arial" w:hAnsi="Arial" w:eastAsia="等线" w:cs="Arial"/>
          <w:sz w:val="21"/>
          <w:szCs w:val="21"/>
          <w:vertAlign w:val="superscript"/>
        </w:rPr>
        <w:fldChar w:fldCharType="begin"/>
      </w:r>
      <w:r>
        <w:instrText xml:space="preserve"> REF _Ref716756800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[3]</w:t>
      </w:r>
      <w:r>
        <w:rPr>
          <w:rFonts w:ascii="Arial" w:hAnsi="Arial" w:eastAsia="等线" w:cs="Arial"/>
          <w:sz w:val="21"/>
          <w:szCs w:val="21"/>
          <w:vertAlign w:val="superscript"/>
        </w:rPr>
        <w:fldChar w:fldCharType="end"/>
      </w:r>
      <w:r>
        <w:rPr>
          <w:rFonts w:ascii="Arial" w:hAnsi="Arial" w:eastAsia="等线" w:cs="Arial"/>
          <w:sz w:val="21"/>
          <w:szCs w:val="21"/>
        </w:rPr>
        <w:t>。超过 90% SCLC 存在 TP53 与 RB1 双失活，但仍有 10%‑16% 病例保留功能性 RB1 蛋白，形成两类表型互斥、临床预后及药物敏感性差异显著的分子亚群</w:t>
      </w:r>
      <w:r>
        <w:rPr>
          <w:rFonts w:ascii="Arial" w:hAnsi="Arial" w:eastAsia="等线" w:cs="Arial"/>
          <w:sz w:val="21"/>
          <w:szCs w:val="21"/>
          <w:vertAlign w:val="superscript"/>
        </w:rPr>
        <w:fldChar w:fldCharType="begin"/>
      </w:r>
      <w:r>
        <w:instrText xml:space="preserve"> REF _Ref717160168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[4]</w:t>
      </w:r>
      <w:r>
        <w:rPr>
          <w:rFonts w:ascii="Arial" w:hAnsi="Arial" w:eastAsia="等线" w:cs="Arial"/>
          <w:sz w:val="21"/>
          <w:szCs w:val="21"/>
          <w:vertAlign w:val="superscript"/>
        </w:rPr>
        <w:fldChar w:fldCharType="end"/>
      </w:r>
      <w:r>
        <w:rPr>
          <w:rFonts w:ascii="Arial" w:hAnsi="Arial" w:eastAsia="等线" w:cs="Arial"/>
          <w:sz w:val="21"/>
          <w:szCs w:val="21"/>
        </w:rPr>
        <w:t>。</w:t>
      </w:r>
    </w:p>
    <w:p w14:paraId="35E8A90E">
      <w:pPr>
        <w:spacing w:before="120" w:after="120" w:line="288" w:lineRule="auto"/>
        <w:ind w:left="0" w:firstLine="420" w:firstLineChars="200"/>
        <w:jc w:val="both"/>
        <w:rPr>
          <w:sz w:val="21"/>
          <w:szCs w:val="21"/>
        </w:rPr>
      </w:pPr>
      <w:r>
        <w:rPr>
          <w:rFonts w:ascii="Arial" w:hAnsi="Arial" w:eastAsia="等线" w:cs="Arial"/>
          <w:sz w:val="21"/>
          <w:szCs w:val="21"/>
        </w:rPr>
        <w:t>该通路标志物可通过免疫组化简便检测，可与转录因子分型、肿瘤空间异质性分型互为补充，对实现 SCLC 分层诊疗具有现实临床价值</w:t>
      </w:r>
      <w:r>
        <w:rPr>
          <w:rFonts w:ascii="Arial" w:hAnsi="Arial" w:eastAsia="等线" w:cs="Arial"/>
          <w:sz w:val="21"/>
          <w:szCs w:val="21"/>
          <w:vertAlign w:val="superscript"/>
        </w:rPr>
        <w:fldChar w:fldCharType="begin"/>
      </w:r>
      <w:r>
        <w:instrText xml:space="preserve"> REF _Ref717513115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[5]</w:t>
      </w:r>
      <w:r>
        <w:rPr>
          <w:rFonts w:ascii="Arial" w:hAnsi="Arial" w:eastAsia="等线" w:cs="Arial"/>
          <w:sz w:val="21"/>
          <w:szCs w:val="21"/>
          <w:vertAlign w:val="superscript"/>
        </w:rPr>
        <w:fldChar w:fldCharType="end"/>
      </w:r>
      <w:r>
        <w:rPr>
          <w:rFonts w:ascii="Arial" w:hAnsi="Arial" w:eastAsia="等线" w:cs="Arial"/>
          <w:sz w:val="21"/>
          <w:szCs w:val="21"/>
        </w:rPr>
        <w:t>。本文围绕 RB1/P16/Cyclin D1 通路，系统梳理该通路分子调控机制、亚型分化特征，总结相关标志物在病理诊断、预后评估、个体化治疗的应用价值，结合空间组学前沿，剖析当前检测与临床转化存在的瓶颈，为推动 SCLC 精准诊疗规范化提供参考。</w:t>
      </w:r>
    </w:p>
    <w:p w14:paraId="65F2822B">
      <w:pPr>
        <w:spacing w:before="320" w:after="120" w:line="288" w:lineRule="auto"/>
        <w:ind w:left="0"/>
        <w:jc w:val="both"/>
        <w:outlineLvl w:val="1"/>
        <w:rPr>
          <w:sz w:val="21"/>
          <w:szCs w:val="21"/>
        </w:rPr>
      </w:pPr>
      <w:r>
        <w:rPr>
          <w:rFonts w:ascii="Arial" w:hAnsi="Arial" w:eastAsia="等线" w:cs="Arial"/>
          <w:b/>
          <w:sz w:val="21"/>
          <w:szCs w:val="21"/>
        </w:rPr>
        <w:t>1</w:t>
      </w:r>
      <w:r>
        <w:rPr>
          <w:rFonts w:hint="eastAsia" w:ascii="Arial" w:hAnsi="Arial" w:eastAsia="等线" w:cs="Arial"/>
          <w:b/>
          <w:sz w:val="21"/>
          <w:szCs w:val="21"/>
          <w:lang w:eastAsia="zh-CN"/>
        </w:rPr>
        <w:t>.</w:t>
      </w:r>
      <w:r>
        <w:rPr>
          <w:rFonts w:ascii="Arial" w:hAnsi="Arial" w:eastAsia="等线" w:cs="Arial"/>
          <w:b/>
          <w:sz w:val="21"/>
          <w:szCs w:val="21"/>
        </w:rPr>
        <w:t>RB1/P16/Cyclin D1 通路的分子调控机制</w:t>
      </w:r>
    </w:p>
    <w:p w14:paraId="5527031E">
      <w:pPr>
        <w:spacing w:before="120" w:after="120" w:line="288" w:lineRule="auto"/>
        <w:ind w:left="0" w:firstLine="420" w:firstLineChars="200"/>
        <w:jc w:val="both"/>
        <w:rPr>
          <w:sz w:val="21"/>
          <w:szCs w:val="21"/>
        </w:rPr>
      </w:pPr>
      <w:r>
        <w:rPr>
          <w:rFonts w:ascii="Arial" w:hAnsi="Arial" w:eastAsia="等线" w:cs="Arial"/>
          <w:sz w:val="21"/>
          <w:szCs w:val="21"/>
        </w:rPr>
        <w:t>RB1/P16/Cyclin D1 通路是细胞周期调控的核心枢纽，通过 “正向激活‑负向抑制” 的闭环调控网络，严格调控细胞周期的正常进程</w:t>
      </w:r>
      <w:r>
        <w:rPr>
          <w:rFonts w:hint="eastAsia" w:ascii="Arial" w:hAnsi="Arial" w:eastAsia="等线" w:cs="Arial"/>
          <w:sz w:val="21"/>
          <w:szCs w:val="21"/>
          <w:lang w:eastAsia="zh-CN"/>
        </w:rPr>
        <w:t>，</w:t>
      </w:r>
      <w:r>
        <w:rPr>
          <w:rFonts w:ascii="Arial" w:hAnsi="Arial" w:eastAsia="等线" w:cs="Arial"/>
          <w:sz w:val="21"/>
          <w:szCs w:val="21"/>
        </w:rPr>
        <w:t>维持正常细胞增殖与分化的动态平衡，该通路的调控紊乱是肿瘤发生发展的关键分子事件</w:t>
      </w:r>
      <w:r>
        <w:rPr>
          <w:rFonts w:ascii="Arial" w:hAnsi="Arial" w:eastAsia="等线" w:cs="Arial"/>
          <w:sz w:val="21"/>
          <w:szCs w:val="21"/>
          <w:vertAlign w:val="superscript"/>
        </w:rPr>
        <w:fldChar w:fldCharType="begin"/>
      </w:r>
      <w:r>
        <w:instrText xml:space="preserve"> REF _Ref717882869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[6]</w:t>
      </w:r>
      <w:r>
        <w:rPr>
          <w:rFonts w:ascii="Arial" w:hAnsi="Arial" w:eastAsia="等线" w:cs="Arial"/>
          <w:sz w:val="21"/>
          <w:szCs w:val="21"/>
          <w:vertAlign w:val="superscript"/>
        </w:rPr>
        <w:fldChar w:fldCharType="end"/>
      </w:r>
      <w:r>
        <w:rPr>
          <w:rFonts w:ascii="Arial" w:hAnsi="Arial" w:eastAsia="等线" w:cs="Arial"/>
          <w:sz w:val="21"/>
          <w:szCs w:val="21"/>
        </w:rPr>
        <w:t>。而 SCLC 中该通路的失衡，本质是细胞周期 G1/S 期转换的 “分子开关” 功能失效，最终导致细胞周期的失控性推进</w:t>
      </w:r>
      <w:r>
        <w:rPr>
          <w:rFonts w:ascii="Arial" w:hAnsi="Arial" w:eastAsia="等线" w:cs="Arial"/>
          <w:sz w:val="21"/>
          <w:szCs w:val="21"/>
          <w:vertAlign w:val="superscript"/>
        </w:rPr>
        <w:fldChar w:fldCharType="begin"/>
      </w:r>
      <w:r>
        <w:instrText xml:space="preserve"> REF _Ref716756800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[3]</w:t>
      </w:r>
      <w:r>
        <w:rPr>
          <w:rFonts w:ascii="Arial" w:hAnsi="Arial" w:eastAsia="等线" w:cs="Arial"/>
          <w:sz w:val="21"/>
          <w:szCs w:val="21"/>
          <w:vertAlign w:val="superscript"/>
        </w:rPr>
        <w:fldChar w:fldCharType="end"/>
      </w:r>
      <w:r>
        <w:rPr>
          <w:rFonts w:ascii="Arial" w:hAnsi="Arial" w:eastAsia="等线" w:cs="Arial"/>
          <w:sz w:val="21"/>
          <w:szCs w:val="21"/>
        </w:rPr>
        <w:t>。</w:t>
      </w:r>
    </w:p>
    <w:p w14:paraId="386240F7">
      <w:pPr>
        <w:spacing w:before="120" w:after="120" w:line="288" w:lineRule="auto"/>
        <w:ind w:left="0" w:firstLine="420" w:firstLineChars="200"/>
        <w:jc w:val="both"/>
        <w:rPr>
          <w:sz w:val="21"/>
          <w:szCs w:val="21"/>
        </w:rPr>
      </w:pPr>
      <w:r>
        <w:rPr>
          <w:rFonts w:ascii="Arial" w:hAnsi="Arial" w:eastAsia="等线" w:cs="Arial"/>
          <w:sz w:val="21"/>
          <w:szCs w:val="21"/>
        </w:rPr>
        <w:t xml:space="preserve">P16（由 </w:t>
      </w:r>
      <w:r>
        <w:rPr>
          <w:rFonts w:hint="default" w:ascii="Arial Italic" w:hAnsi="Arial Italic" w:eastAsia="等线" w:cs="Arial Italic"/>
          <w:i/>
          <w:iCs/>
          <w:sz w:val="21"/>
          <w:szCs w:val="21"/>
        </w:rPr>
        <w:t xml:space="preserve">CDKN2A </w:t>
      </w:r>
      <w:r>
        <w:rPr>
          <w:rFonts w:ascii="Arial" w:hAnsi="Arial" w:eastAsia="等线" w:cs="Arial"/>
          <w:sz w:val="21"/>
          <w:szCs w:val="21"/>
        </w:rPr>
        <w:t>基因编码）作为该通路的重要负向调控因子，可通过竞争性结合细胞周期蛋白依赖性激酶 4/6（cyclin‑dependent kinase 4/6, CDK4/6），阻止其与 Cyclin D1 形成有活性的激酶复合物，从而维持 pRB 的去磷酸化抑制状态。pRb 与 Cyclin D1 可作为 P16 的互补免疫组化标志物，三者联合检测在肿瘤分子分型中具备重要的标志物筛选价值</w:t>
      </w:r>
      <w:r>
        <w:rPr>
          <w:rFonts w:ascii="Arial" w:hAnsi="Arial" w:eastAsia="等线" w:cs="Arial"/>
          <w:sz w:val="21"/>
          <w:szCs w:val="21"/>
          <w:vertAlign w:val="superscript"/>
        </w:rPr>
        <w:fldChar w:fldCharType="begin"/>
      </w:r>
      <w:r>
        <w:instrText xml:space="preserve"> REF _Ref720235849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[7]</w:t>
      </w:r>
      <w:r>
        <w:rPr>
          <w:rFonts w:ascii="Arial" w:hAnsi="Arial" w:eastAsia="等线" w:cs="Arial"/>
          <w:sz w:val="21"/>
          <w:szCs w:val="21"/>
          <w:vertAlign w:val="superscript"/>
        </w:rPr>
        <w:fldChar w:fldCharType="end"/>
      </w:r>
      <w:r>
        <w:rPr>
          <w:rFonts w:ascii="Arial" w:hAnsi="Arial" w:eastAsia="等线" w:cs="Arial"/>
          <w:sz w:val="21"/>
          <w:szCs w:val="21"/>
        </w:rPr>
        <w:t>。在这一调控网络中，Cyclin D1 的正向促进作用与 P16 的负向抑制作用形成动态平衡，而 RB1 的磷酸化状态则作为 G1/S 期转换的 “分子开关”，直接决定细胞周期的正常推进（见图 1）。</w:t>
      </w:r>
    </w:p>
    <w:p w14:paraId="6B875577">
      <w:pPr>
        <w:spacing w:before="120" w:after="120" w:line="288" w:lineRule="auto"/>
        <w:ind w:left="0"/>
        <w:jc w:val="both"/>
        <w:rPr>
          <w:rFonts w:hint="eastAsia" w:asciiTheme="majorEastAsia" w:hAnsiTheme="majorEastAsia" w:eastAsiaTheme="majorEastAsia" w:cstheme="majorEastAsia"/>
          <w:sz w:val="21"/>
          <w:szCs w:val="21"/>
          <w:lang w:eastAsia="zh-CN"/>
        </w:rPr>
      </w:pPr>
      <w:r>
        <w:rPr>
          <w:rFonts w:hint="eastAsia" w:asciiTheme="majorEastAsia" w:hAnsiTheme="majorEastAsia" w:eastAsiaTheme="majorEastAsia" w:cstheme="majorEastAsia"/>
          <w:sz w:val="21"/>
          <w:szCs w:val="21"/>
          <w:lang w:eastAsia="zh-CN"/>
        </w:rPr>
        <w:drawing>
          <wp:inline distT="0" distB="0" distL="114300" distR="114300">
            <wp:extent cx="5380990" cy="2236470"/>
            <wp:effectExtent l="0" t="0" r="3810" b="24130"/>
            <wp:docPr id="1" name="图片 1" descr="论文技术路线英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论文技术路线英文"/>
                    <pic:cNvPicPr>
                      <a:picLocks noChangeAspect="1"/>
                    </pic:cNvPicPr>
                  </pic:nvPicPr>
                  <pic:blipFill>
                    <a:blip r:embed="rId6"/>
                    <a:stretch>
                      <a:fillRect/>
                    </a:stretch>
                  </pic:blipFill>
                  <pic:spPr>
                    <a:xfrm>
                      <a:off x="0" y="0"/>
                      <a:ext cx="5380990" cy="2236470"/>
                    </a:xfrm>
                    <a:prstGeom prst="rect">
                      <a:avLst/>
                    </a:prstGeom>
                  </pic:spPr>
                </pic:pic>
              </a:graphicData>
            </a:graphic>
          </wp:inline>
        </w:drawing>
      </w:r>
    </w:p>
    <w:p w14:paraId="0EA47158">
      <w:pPr>
        <w:spacing w:before="120" w:after="120" w:line="288" w:lineRule="auto"/>
        <w:ind w:left="0"/>
        <w:jc w:val="both"/>
        <w:rPr>
          <w:rFonts w:hint="eastAsia" w:asciiTheme="majorEastAsia" w:hAnsiTheme="majorEastAsia" w:eastAsiaTheme="majorEastAsia" w:cstheme="majorEastAsia"/>
          <w:sz w:val="21"/>
          <w:szCs w:val="21"/>
        </w:rPr>
      </w:pPr>
      <w:bookmarkStart w:id="4" w:name="heading_4"/>
      <w:r>
        <w:rPr>
          <w:rFonts w:hint="eastAsia" w:asciiTheme="majorEastAsia" w:hAnsiTheme="majorEastAsia" w:eastAsiaTheme="majorEastAsia" w:cstheme="majorEastAsia"/>
          <w:sz w:val="21"/>
          <w:szCs w:val="21"/>
        </w:rPr>
        <w:t>Figure 1 Regulation of RB1/P16/Cyclin D1 pathway and its abnormal mechanism in small cell lung cancer</w:t>
      </w:r>
    </w:p>
    <w:p w14:paraId="51A39C73">
      <w:pPr>
        <w:spacing w:before="120" w:after="120" w:line="288" w:lineRule="auto"/>
        <w:ind w:left="0"/>
        <w:jc w:val="both"/>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Notes: CDK4/6, cyclin‑dependent kinase 4/6; p‑RB1, phosphorylated retinoblastoma protein 1; E2F, E2F transcription factor; S phase, synthesis phase; SCLC, small cell lung cancer; Trilaciclib, short‑acting CDK4/6 inhibitor for bone‑marrow protection.</w:t>
      </w:r>
    </w:p>
    <w:p w14:paraId="6A9DC563">
      <w:pPr>
        <w:spacing w:before="120" w:after="120" w:line="288" w:lineRule="auto"/>
        <w:ind w:left="0" w:firstLine="420" w:firstLineChars="200"/>
        <w:jc w:val="both"/>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该通路依靠 P16</w:t>
      </w:r>
      <w:r>
        <w:rPr>
          <w:rFonts w:hint="eastAsia" w:asciiTheme="majorEastAsia" w:hAnsiTheme="majorEastAsia" w:eastAsiaTheme="majorEastAsia" w:cstheme="majorEastAsia"/>
          <w:sz w:val="21"/>
          <w:szCs w:val="21"/>
          <w:lang w:val="en-US" w:eastAsia="zh-CN"/>
        </w:rPr>
        <w:t>-</w:t>
      </w:r>
      <w:r>
        <w:rPr>
          <w:rFonts w:hint="eastAsia" w:asciiTheme="majorEastAsia" w:hAnsiTheme="majorEastAsia" w:eastAsiaTheme="majorEastAsia" w:cstheme="majorEastAsia"/>
          <w:sz w:val="21"/>
          <w:szCs w:val="21"/>
        </w:rPr>
        <w:t>CDK4/6</w:t>
      </w:r>
      <w:r>
        <w:rPr>
          <w:rFonts w:hint="eastAsia" w:asciiTheme="majorEastAsia" w:hAnsiTheme="majorEastAsia" w:eastAsiaTheme="majorEastAsia" w:cstheme="majorEastAsia"/>
          <w:sz w:val="21"/>
          <w:szCs w:val="21"/>
          <w:lang w:val="en-US" w:eastAsia="zh-CN"/>
        </w:rPr>
        <w:t>-</w:t>
      </w:r>
      <w:r>
        <w:rPr>
          <w:rFonts w:hint="eastAsia" w:asciiTheme="majorEastAsia" w:hAnsiTheme="majorEastAsia" w:eastAsiaTheme="majorEastAsia" w:cstheme="majorEastAsia"/>
          <w:sz w:val="21"/>
          <w:szCs w:val="21"/>
        </w:rPr>
        <w:t>Cyclin D1</w:t>
      </w:r>
      <w:r>
        <w:rPr>
          <w:rFonts w:hint="eastAsia" w:asciiTheme="majorEastAsia" w:hAnsiTheme="majorEastAsia" w:eastAsiaTheme="majorEastAsia" w:cstheme="majorEastAsia"/>
          <w:sz w:val="21"/>
          <w:szCs w:val="21"/>
          <w:lang w:val="en-US" w:eastAsia="zh-CN"/>
        </w:rPr>
        <w:t>-</w:t>
      </w:r>
      <w:r>
        <w:rPr>
          <w:rFonts w:hint="eastAsia" w:asciiTheme="majorEastAsia" w:hAnsiTheme="majorEastAsia" w:eastAsiaTheme="majorEastAsia" w:cstheme="majorEastAsia"/>
          <w:sz w:val="21"/>
          <w:szCs w:val="21"/>
        </w:rPr>
        <w:t>RB1</w:t>
      </w:r>
      <w:r>
        <w:rPr>
          <w:rFonts w:hint="eastAsia" w:asciiTheme="majorEastAsia" w:hAnsiTheme="majorEastAsia" w:eastAsiaTheme="majorEastAsia" w:cstheme="majorEastAsia"/>
          <w:sz w:val="21"/>
          <w:szCs w:val="21"/>
          <w:lang w:val="en-US" w:eastAsia="zh-CN"/>
        </w:rPr>
        <w:t>-</w:t>
      </w:r>
      <w:r>
        <w:rPr>
          <w:rFonts w:hint="eastAsia" w:asciiTheme="majorEastAsia" w:hAnsiTheme="majorEastAsia" w:eastAsiaTheme="majorEastAsia" w:cstheme="majorEastAsia"/>
          <w:sz w:val="21"/>
          <w:szCs w:val="21"/>
        </w:rPr>
        <w:t>E2F 形成闭环调控。SCLC 通路异常并非单一基因改变，而是整套 G1/S 检查点功能崩溃；免疫组化三个标志物联合可以间接反映基因功能状态，对病理实操有重要实用价值。</w:t>
      </w:r>
      <w:bookmarkEnd w:id="4"/>
    </w:p>
    <w:p w14:paraId="5F739539">
      <w:pPr>
        <w:spacing w:before="120" w:after="120" w:line="288" w:lineRule="auto"/>
        <w:jc w:val="both"/>
        <w:rPr>
          <w:sz w:val="21"/>
          <w:szCs w:val="21"/>
        </w:rPr>
      </w:pPr>
      <w:r>
        <w:rPr>
          <w:rFonts w:ascii="Arial" w:hAnsi="Arial" w:eastAsia="等线" w:cs="Arial"/>
          <w:b/>
          <w:sz w:val="21"/>
          <w:szCs w:val="21"/>
        </w:rPr>
        <w:t>2</w:t>
      </w:r>
      <w:r>
        <w:rPr>
          <w:rFonts w:hint="eastAsia" w:ascii="Arial" w:hAnsi="Arial" w:eastAsia="等线" w:cs="Arial"/>
          <w:b/>
          <w:sz w:val="21"/>
          <w:szCs w:val="21"/>
          <w:lang w:eastAsia="zh-CN"/>
        </w:rPr>
        <w:t>.</w:t>
      </w:r>
      <w:r>
        <w:rPr>
          <w:rFonts w:ascii="Arial" w:hAnsi="Arial" w:eastAsia="等线" w:cs="Arial"/>
          <w:b/>
          <w:sz w:val="21"/>
          <w:szCs w:val="21"/>
        </w:rPr>
        <w:t>RB1/P16/Cyclin D1 通路在 SCLC 中的表达特征</w:t>
      </w:r>
    </w:p>
    <w:p w14:paraId="058B803F">
      <w:pPr>
        <w:spacing w:before="120" w:after="120" w:line="288" w:lineRule="auto"/>
        <w:ind w:left="0" w:firstLine="420" w:firstLineChars="200"/>
        <w:jc w:val="both"/>
        <w:rPr>
          <w:rFonts w:ascii="Arial" w:hAnsi="Arial" w:eastAsia="等线" w:cs="Arial"/>
          <w:sz w:val="21"/>
          <w:szCs w:val="21"/>
        </w:rPr>
      </w:pPr>
      <w:r>
        <w:rPr>
          <w:rFonts w:ascii="Arial" w:hAnsi="Arial" w:eastAsia="等线" w:cs="Arial"/>
          <w:sz w:val="21"/>
          <w:szCs w:val="21"/>
        </w:rPr>
        <w:t>在 SCLC 的发生发展进程中，RB1/P16/Cyclin D1 通路的失调表现出高度的疾病特异性，这一特征不仅成为 SCLC 区别于其他肺癌类型的核心分子标志，也揭示了 SCLC 内部的分子异质性及潜在的不同细胞起源</w:t>
      </w:r>
      <w:r>
        <w:rPr>
          <w:rFonts w:ascii="Arial" w:hAnsi="Arial" w:eastAsia="等线" w:cs="Arial"/>
          <w:sz w:val="21"/>
          <w:szCs w:val="21"/>
          <w:vertAlign w:val="superscript"/>
        </w:rPr>
        <w:fldChar w:fldCharType="begin"/>
      </w:r>
      <w:r>
        <w:instrText xml:space="preserve"> REF _Ref716756800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[3</w:t>
      </w:r>
      <w:r>
        <w:rPr>
          <w:rFonts w:hint="eastAsia" w:ascii="Arial" w:hAnsi="Arial" w:eastAsia="等线" w:cs="Arial"/>
          <w:sz w:val="21"/>
          <w:szCs w:val="21"/>
          <w:vertAlign w:val="superscript"/>
          <w:lang w:eastAsia="zh-CN"/>
        </w:rPr>
        <w:t>，</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_Ref720740059 \r \h  \* MERGEFORMAT</w:instrText>
      </w:r>
      <w:r>
        <w:rPr>
          <w:rFonts w:hint="default" w:ascii="Arial" w:hAnsi="Arial" w:eastAsia="等线" w:cs="Arial"/>
          <w:sz w:val="21"/>
          <w:szCs w:val="21"/>
          <w:vertAlign w:val="superscript"/>
          <w:lang/>
        </w:rPr>
        <w:fldChar w:fldCharType="separate"/>
      </w:r>
      <w:r>
        <w:rPr>
          <w:rFonts w:hint="default" w:ascii="Arial" w:hAnsi="Arial" w:eastAsia="等线" w:cs="Arial"/>
          <w:sz w:val="21"/>
          <w:szCs w:val="21"/>
          <w:vertAlign w:val="superscript"/>
          <w:lang/>
        </w:rPr>
        <w:t>8</w:t>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fldChar w:fldCharType="end"/>
      </w:r>
      <w:r>
        <w:rPr>
          <w:rFonts w:hint="default" w:ascii="Arial" w:hAnsi="Arial" w:eastAsia="等线" w:cs="Arial"/>
          <w:sz w:val="21"/>
          <w:szCs w:val="21"/>
          <w:vertAlign w:val="superscript"/>
          <w:lang/>
        </w:rPr>
        <w:fldChar w:fldCharType="begin"/>
      </w:r>
      <w:r>
        <w:instrText xml:space="preserve"> REF _Ref720773673 \r \h  \* MERGEFORMAT</w:instrText>
      </w:r>
      <w:r>
        <w:rPr>
          <w:rFonts w:hint="default" w:ascii="Arial" w:hAnsi="Arial" w:eastAsia="等线" w:cs="Arial"/>
          <w:sz w:val="21"/>
          <w:szCs w:val="21"/>
          <w:vertAlign w:val="superscript"/>
          <w:lang/>
        </w:rPr>
        <w:fldChar w:fldCharType="separate"/>
      </w:r>
      <w:r>
        <w:rPr>
          <w:rFonts w:hint="default" w:ascii="Arial" w:hAnsi="Arial" w:eastAsia="等线" w:cs="Arial"/>
          <w:sz w:val="21"/>
          <w:szCs w:val="21"/>
          <w:vertAlign w:val="superscript"/>
          <w:lang/>
        </w:rPr>
        <w:t>9]</w:t>
      </w:r>
      <w:r>
        <w:rPr>
          <w:rFonts w:hint="default" w:ascii="Arial" w:hAnsi="Arial" w:eastAsia="等线" w:cs="Arial"/>
          <w:sz w:val="21"/>
          <w:szCs w:val="21"/>
          <w:vertAlign w:val="superscript"/>
          <w:lang/>
        </w:rPr>
        <w:fldChar w:fldCharType="end"/>
      </w:r>
      <w:r>
        <w:rPr>
          <w:rFonts w:ascii="Arial" w:hAnsi="Arial" w:eastAsia="等线" w:cs="Arial"/>
          <w:sz w:val="21"/>
          <w:szCs w:val="21"/>
        </w:rPr>
        <w:t>。与泛肿瘤中通路失调的复杂组合模式不同，SCLC 中该通路的失调主要集中于两种核心且互斥的分子表达模式，为临床分型提供了清晰的分子依据（见表 1）</w:t>
      </w:r>
      <w:r>
        <w:rPr>
          <w:rFonts w:ascii="Arial" w:hAnsi="Arial" w:eastAsia="等线" w:cs="Arial"/>
          <w:sz w:val="21"/>
          <w:szCs w:val="21"/>
          <w:vertAlign w:val="superscript"/>
        </w:rPr>
        <w:fldChar w:fldCharType="begin"/>
      </w:r>
      <w:r>
        <w:instrText xml:space="preserve"> REF _Ref717160168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[4</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_Ref721546795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10]</w:t>
      </w:r>
      <w:r>
        <w:rPr>
          <w:rFonts w:hint="default" w:ascii="Arial" w:hAnsi="Arial" w:eastAsia="等线" w:cs="Arial"/>
          <w:sz w:val="21"/>
          <w:szCs w:val="21"/>
          <w:vertAlign w:val="superscript"/>
          <w:lang/>
        </w:rPr>
        <w:fldChar w:fldCharType="end"/>
      </w:r>
      <w:r>
        <w:rPr>
          <w:rFonts w:ascii="Arial" w:hAnsi="Arial" w:eastAsia="等线" w:cs="Arial"/>
          <w:sz w:val="21"/>
          <w:szCs w:val="21"/>
        </w:rPr>
        <w:t>。</w:t>
      </w:r>
    </w:p>
    <w:p w14:paraId="66EA1DEB">
      <w:pPr>
        <w:spacing w:before="120" w:after="120" w:line="288" w:lineRule="auto"/>
        <w:ind w:left="0" w:firstLine="420" w:firstLineChars="200"/>
        <w:jc w:val="both"/>
        <w:rPr>
          <w:rFonts w:hint="eastAsia" w:ascii="Arial" w:hAnsi="Arial" w:eastAsia="等线" w:cs="Arial"/>
          <w:sz w:val="21"/>
          <w:szCs w:val="21"/>
        </w:rPr>
      </w:pPr>
    </w:p>
    <w:p w14:paraId="44FB9D3E">
      <w:pPr>
        <w:spacing w:before="120" w:after="120" w:line="288" w:lineRule="auto"/>
        <w:ind w:left="0" w:firstLine="420" w:firstLineChars="200"/>
        <w:jc w:val="both"/>
        <w:rPr>
          <w:rFonts w:hint="eastAsia" w:ascii="Arial" w:hAnsi="Arial" w:eastAsia="等线" w:cs="Arial"/>
          <w:sz w:val="21"/>
          <w:szCs w:val="21"/>
        </w:rPr>
      </w:pPr>
    </w:p>
    <w:p w14:paraId="38126495">
      <w:pPr>
        <w:spacing w:before="120" w:after="120" w:line="288" w:lineRule="auto"/>
        <w:ind w:left="0" w:firstLine="420" w:firstLineChars="200"/>
        <w:jc w:val="both"/>
        <w:rPr>
          <w:rFonts w:hint="eastAsia" w:ascii="Arial" w:hAnsi="Arial" w:eastAsia="等线" w:cs="Arial"/>
          <w:sz w:val="21"/>
          <w:szCs w:val="21"/>
        </w:rPr>
      </w:pPr>
    </w:p>
    <w:p w14:paraId="54FC65CF">
      <w:pPr>
        <w:spacing w:before="120" w:after="120" w:line="288" w:lineRule="auto"/>
        <w:ind w:left="0" w:firstLine="420" w:firstLineChars="200"/>
        <w:jc w:val="both"/>
        <w:rPr>
          <w:rFonts w:hint="eastAsia" w:ascii="Arial" w:hAnsi="Arial" w:eastAsia="等线" w:cs="Arial"/>
          <w:sz w:val="21"/>
          <w:szCs w:val="21"/>
        </w:rPr>
      </w:pPr>
    </w:p>
    <w:p w14:paraId="0BAAB5F6">
      <w:pPr>
        <w:spacing w:before="120" w:after="120" w:line="288" w:lineRule="auto"/>
        <w:ind w:left="0" w:firstLine="420" w:firstLineChars="200"/>
        <w:jc w:val="both"/>
        <w:rPr>
          <w:rFonts w:hint="eastAsia" w:ascii="Arial" w:hAnsi="Arial" w:eastAsia="等线" w:cs="Arial"/>
          <w:sz w:val="21"/>
          <w:szCs w:val="21"/>
        </w:rPr>
      </w:pPr>
    </w:p>
    <w:p w14:paraId="7D3F9971">
      <w:pPr>
        <w:keepNext w:val="0"/>
        <w:keepLines w:val="0"/>
        <w:widowControl/>
        <w:suppressLineNumbers w:val="0"/>
        <w:ind w:firstLine="420" w:firstLineChars="200"/>
        <w:jc w:val="both"/>
        <w:rPr>
          <w:rFonts w:hint="eastAsia" w:asciiTheme="majorEastAsia" w:hAnsiTheme="majorEastAsia" w:eastAsiaTheme="majorEastAsia" w:cstheme="majorEastAsia"/>
          <w:sz w:val="21"/>
          <w:szCs w:val="21"/>
        </w:rPr>
      </w:pPr>
    </w:p>
    <w:p w14:paraId="02B5C3FB">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kern w:val="0"/>
          <w:sz w:val="21"/>
          <w:szCs w:val="21"/>
          <w:lang w:val="en-US" w:eastAsia="zh-CN" w:bidi="ar"/>
        </w:rPr>
        <w:t>Table 1 Comparison of key characteristics of two core subtypes of small</w:t>
      </w:r>
      <w:r>
        <w:rPr>
          <w:rFonts w:hint="eastAsia" w:asciiTheme="majorEastAsia" w:hAnsiTheme="majorEastAsia" w:eastAsiaTheme="majorEastAsia" w:cstheme="majorEastAsia"/>
          <w:kern w:val="0"/>
          <w:sz w:val="21"/>
          <w:szCs w:val="21"/>
          <w:lang w:val="en-US" w:eastAsia="zh-CN" w:bidi="ar"/>
        </w:rPr>
        <w:noBreakHyphen/>
      </w:r>
      <w:r>
        <w:rPr>
          <w:rFonts w:hint="eastAsia" w:asciiTheme="majorEastAsia" w:hAnsiTheme="majorEastAsia" w:eastAsiaTheme="majorEastAsia" w:cstheme="majorEastAsia"/>
          <w:kern w:val="0"/>
          <w:sz w:val="21"/>
          <w:szCs w:val="21"/>
          <w:lang w:val="en-US" w:eastAsia="zh-CN" w:bidi="ar"/>
        </w:rPr>
        <w:t>cell lung cancer</w:t>
      </w:r>
    </w:p>
    <w:tbl>
      <w:tblPr>
        <w:tblStyle w:val="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91"/>
        <w:gridCol w:w="3065"/>
        <w:gridCol w:w="3065"/>
      </w:tblGrid>
      <w:tr w14:paraId="03A276DC">
        <w:trPr>
          <w:jc w:val="center"/>
        </w:trPr>
        <w:tc>
          <w:tcPr>
            <w:tcW w:w="2840" w:type="dxa"/>
            <w:tcBorders>
              <w:top w:val="single" w:color="auto" w:sz="4" w:space="0"/>
              <w:bottom w:val="single" w:color="auto" w:sz="4" w:space="0"/>
            </w:tcBorders>
            <w:vAlign w:val="top"/>
          </w:tcPr>
          <w:p w14:paraId="30EA2575">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Characteristics</w:t>
            </w:r>
          </w:p>
        </w:tc>
        <w:tc>
          <w:tcPr>
            <w:tcW w:w="2840" w:type="dxa"/>
            <w:tcBorders>
              <w:top w:val="single" w:color="auto" w:sz="4" w:space="0"/>
              <w:bottom w:val="single" w:color="auto" w:sz="4" w:space="0"/>
            </w:tcBorders>
            <w:vAlign w:val="top"/>
          </w:tcPr>
          <w:p w14:paraId="2BFC81F5">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RB1‑deficient subtype (RB1‑negative/P16‑positive/Cyclin D1‑negative)</w:t>
            </w:r>
          </w:p>
        </w:tc>
        <w:tc>
          <w:tcPr>
            <w:tcW w:w="2841" w:type="dxa"/>
            <w:tcBorders>
              <w:top w:val="single" w:color="auto" w:sz="4" w:space="0"/>
              <w:bottom w:val="single" w:color="auto" w:sz="4" w:space="0"/>
            </w:tcBorders>
            <w:vAlign w:val="top"/>
          </w:tcPr>
          <w:p w14:paraId="7C987177">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RB1‑wild‑type subtype (RB1‑positive/P16‑negative/Cyclin D1‑positive)</w:t>
            </w:r>
          </w:p>
        </w:tc>
      </w:tr>
      <w:tr w14:paraId="2D43814C">
        <w:trPr>
          <w:jc w:val="center"/>
        </w:trPr>
        <w:tc>
          <w:tcPr>
            <w:tcW w:w="2840" w:type="dxa"/>
            <w:tcBorders>
              <w:top w:val="single" w:color="auto" w:sz="4" w:space="0"/>
            </w:tcBorders>
            <w:vAlign w:val="top"/>
          </w:tcPr>
          <w:p w14:paraId="21900EBA">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Molecular features</w:t>
            </w:r>
          </w:p>
        </w:tc>
        <w:tc>
          <w:tcPr>
            <w:tcW w:w="2840" w:type="dxa"/>
            <w:tcBorders>
              <w:top w:val="single" w:color="auto" w:sz="4" w:space="0"/>
            </w:tcBorders>
            <w:vAlign w:val="top"/>
          </w:tcPr>
          <w:p w14:paraId="06DB7A78">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i/>
                <w:iCs/>
                <w:sz w:val="21"/>
                <w:szCs w:val="21"/>
              </w:rPr>
              <w:t>TP53</w:t>
            </w:r>
            <w:r>
              <w:rPr>
                <w:rFonts w:hint="eastAsia" w:asciiTheme="majorEastAsia" w:hAnsiTheme="majorEastAsia" w:eastAsiaTheme="majorEastAsia" w:cstheme="majorEastAsia"/>
                <w:sz w:val="21"/>
                <w:szCs w:val="21"/>
              </w:rPr>
              <w:t xml:space="preserve"> mutation (75%‑90%), biallelic</w:t>
            </w:r>
            <w:r>
              <w:rPr>
                <w:rFonts w:hint="eastAsia" w:asciiTheme="majorEastAsia" w:hAnsiTheme="majorEastAsia" w:eastAsiaTheme="majorEastAsia" w:cstheme="majorEastAsia"/>
                <w:sz w:val="21"/>
                <w:szCs w:val="21"/>
                <w:lang w:val="en-US" w:eastAsia="zh-CN"/>
              </w:rPr>
              <w:t xml:space="preserve"> </w:t>
            </w:r>
            <w:r>
              <w:rPr>
                <w:rFonts w:hint="eastAsia" w:asciiTheme="majorEastAsia" w:hAnsiTheme="majorEastAsia" w:eastAsiaTheme="majorEastAsia" w:cstheme="majorEastAsia"/>
                <w:sz w:val="21"/>
                <w:szCs w:val="21"/>
              </w:rPr>
              <w:t>RB1 inactivation, compensatory up‑regulation of P16, low Cyclin D1 expression</w:t>
            </w:r>
          </w:p>
        </w:tc>
        <w:tc>
          <w:tcPr>
            <w:tcW w:w="2841" w:type="dxa"/>
            <w:tcBorders>
              <w:top w:val="single" w:color="auto" w:sz="4" w:space="0"/>
            </w:tcBorders>
            <w:vAlign w:val="top"/>
          </w:tcPr>
          <w:p w14:paraId="065C7139">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i/>
                <w:iCs/>
                <w:sz w:val="21"/>
                <w:szCs w:val="21"/>
              </w:rPr>
              <w:t>CCND1</w:t>
            </w:r>
            <w:r>
              <w:rPr>
                <w:rFonts w:hint="eastAsia" w:asciiTheme="majorEastAsia" w:hAnsiTheme="majorEastAsia" w:eastAsiaTheme="majorEastAsia" w:cstheme="majorEastAsia"/>
                <w:sz w:val="21"/>
                <w:szCs w:val="21"/>
              </w:rPr>
              <w:t xml:space="preserve"> (Cyclin D1 gene) amplification (20%); </w:t>
            </w:r>
            <w:r>
              <w:rPr>
                <w:rFonts w:hint="eastAsia" w:asciiTheme="majorEastAsia" w:hAnsiTheme="majorEastAsia" w:eastAsiaTheme="majorEastAsia" w:cstheme="majorEastAsia"/>
                <w:i/>
                <w:iCs/>
                <w:sz w:val="21"/>
                <w:szCs w:val="21"/>
              </w:rPr>
              <w:t xml:space="preserve">PIK3CA </w:t>
            </w:r>
            <w:r>
              <w:rPr>
                <w:rFonts w:hint="eastAsia" w:asciiTheme="majorEastAsia" w:hAnsiTheme="majorEastAsia" w:eastAsiaTheme="majorEastAsia" w:cstheme="majorEastAsia"/>
                <w:sz w:val="21"/>
                <w:szCs w:val="21"/>
              </w:rPr>
              <w:t xml:space="preserve">mutation (15%); </w:t>
            </w:r>
            <w:r>
              <w:rPr>
                <w:rFonts w:hint="eastAsia" w:asciiTheme="majorEastAsia" w:hAnsiTheme="majorEastAsia" w:eastAsiaTheme="majorEastAsia" w:cstheme="majorEastAsia"/>
                <w:i/>
                <w:iCs/>
                <w:sz w:val="21"/>
                <w:szCs w:val="21"/>
              </w:rPr>
              <w:t>CDKN2A</w:t>
            </w:r>
            <w:r>
              <w:rPr>
                <w:rFonts w:hint="eastAsia" w:asciiTheme="majorEastAsia" w:hAnsiTheme="majorEastAsia" w:eastAsiaTheme="majorEastAsia" w:cstheme="majorEastAsia"/>
                <w:sz w:val="21"/>
                <w:szCs w:val="21"/>
              </w:rPr>
              <w:t xml:space="preserve"> mutation/methylation; low expression of neuroendocrine markers</w:t>
            </w:r>
          </w:p>
        </w:tc>
      </w:tr>
      <w:tr w14:paraId="0004B815">
        <w:trPr>
          <w:jc w:val="center"/>
        </w:trPr>
        <w:tc>
          <w:tcPr>
            <w:tcW w:w="2840" w:type="dxa"/>
            <w:vAlign w:val="top"/>
          </w:tcPr>
          <w:p w14:paraId="278FF574">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Associated transcription‑factor‑based subtype</w:t>
            </w:r>
          </w:p>
        </w:tc>
        <w:tc>
          <w:tcPr>
            <w:tcW w:w="2840" w:type="dxa"/>
            <w:vAlign w:val="top"/>
          </w:tcPr>
          <w:p w14:paraId="542217CB">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Mainly corresponds to SCLC‑A subtype</w:t>
            </w:r>
          </w:p>
        </w:tc>
        <w:tc>
          <w:tcPr>
            <w:tcW w:w="2841" w:type="dxa"/>
            <w:vAlign w:val="top"/>
          </w:tcPr>
          <w:p w14:paraId="516C3833">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Mainly corresponds to SCLC‑P/Y subtype</w:t>
            </w:r>
          </w:p>
        </w:tc>
      </w:tr>
      <w:tr w14:paraId="2DB65E53">
        <w:trPr>
          <w:jc w:val="center"/>
        </w:trPr>
        <w:tc>
          <w:tcPr>
            <w:tcW w:w="2840" w:type="dxa"/>
            <w:vAlign w:val="top"/>
          </w:tcPr>
          <w:p w14:paraId="196A5554">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Pathological manifestations</w:t>
            </w:r>
          </w:p>
        </w:tc>
        <w:tc>
          <w:tcPr>
            <w:tcW w:w="2840" w:type="dxa"/>
            <w:vAlign w:val="top"/>
          </w:tcPr>
          <w:p w14:paraId="13D297C8">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Typical neuroendocrine morphology; high expression of SY, CgA, INSM1, CD56 and TTF‑1</w:t>
            </w:r>
          </w:p>
        </w:tc>
        <w:tc>
          <w:tcPr>
            <w:tcW w:w="2841" w:type="dxa"/>
            <w:vAlign w:val="top"/>
          </w:tcPr>
          <w:p w14:paraId="595423E7">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Partial histological mixture with non‑small‑cell lung cancer; low expression of neuroendocrine markers (SY, CgA, etc.) and TTF‑1</w:t>
            </w:r>
          </w:p>
        </w:tc>
      </w:tr>
      <w:tr w14:paraId="2A595DA7">
        <w:trPr>
          <w:jc w:val="center"/>
        </w:trPr>
        <w:tc>
          <w:tcPr>
            <w:tcW w:w="2840" w:type="dxa"/>
            <w:vAlign w:val="top"/>
          </w:tcPr>
          <w:p w14:paraId="00BDA8DF">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Metabolic features</w:t>
            </w:r>
          </w:p>
        </w:tc>
        <w:tc>
          <w:tcPr>
            <w:tcW w:w="2840" w:type="dxa"/>
            <w:vAlign w:val="top"/>
          </w:tcPr>
          <w:p w14:paraId="61A8221B">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Significant Warburg effect; metabolic shift from glycolysis to oxidative phosphorylation (OXPHOS); utilizing alternative fuels to accelerate proliferation</w:t>
            </w:r>
          </w:p>
        </w:tc>
        <w:tc>
          <w:tcPr>
            <w:tcW w:w="2841" w:type="dxa"/>
            <w:vAlign w:val="top"/>
          </w:tcPr>
          <w:p w14:paraId="6FC1DD5C">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Closer to the metabolic pattern of NSCLC; glucose metabolism regulated by the PI3K‑AKT‑mTOR pathway</w:t>
            </w:r>
          </w:p>
        </w:tc>
      </w:tr>
      <w:tr w14:paraId="23546178">
        <w:trPr>
          <w:jc w:val="center"/>
        </w:trPr>
        <w:tc>
          <w:tcPr>
            <w:tcW w:w="2840" w:type="dxa"/>
            <w:vAlign w:val="top"/>
          </w:tcPr>
          <w:p w14:paraId="5F38CE5D">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Metastatic potential</w:t>
            </w:r>
          </w:p>
        </w:tc>
        <w:tc>
          <w:tcPr>
            <w:tcW w:w="2840" w:type="dxa"/>
            <w:vAlign w:val="top"/>
          </w:tcPr>
          <w:p w14:paraId="31AC597F">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E2F‑mediated YAP transcriptional silencing confers high migratory capacity and metastatic potential</w:t>
            </w:r>
          </w:p>
        </w:tc>
        <w:tc>
          <w:tcPr>
            <w:tcW w:w="2841" w:type="dxa"/>
            <w:vAlign w:val="top"/>
          </w:tcPr>
          <w:p w14:paraId="1CE05E33">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Strong invasiveness with prominent local infiltration; distant metastatic pattern similar to NSCLC</w:t>
            </w:r>
          </w:p>
        </w:tc>
      </w:tr>
      <w:tr w14:paraId="7F91B035">
        <w:trPr>
          <w:jc w:val="center"/>
        </w:trPr>
        <w:tc>
          <w:tcPr>
            <w:tcW w:w="2840" w:type="dxa"/>
            <w:tcBorders>
              <w:bottom w:val="single" w:color="auto" w:sz="4" w:space="0"/>
            </w:tcBorders>
            <w:vAlign w:val="top"/>
          </w:tcPr>
          <w:p w14:paraId="57D39856">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Therapeutic sensitivity</w:t>
            </w:r>
          </w:p>
        </w:tc>
        <w:tc>
          <w:tcPr>
            <w:tcW w:w="2840" w:type="dxa"/>
            <w:tcBorders>
              <w:bottom w:val="single" w:color="auto" w:sz="4" w:space="0"/>
            </w:tcBorders>
            <w:vAlign w:val="top"/>
          </w:tcPr>
          <w:p w14:paraId="001F41AD">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Resistant to CDK4/6 inhibitors; initially sensitive to platinum‑based chemotherapy but prone to acquired drug resistance</w:t>
            </w:r>
          </w:p>
        </w:tc>
        <w:tc>
          <w:tcPr>
            <w:tcW w:w="2841" w:type="dxa"/>
            <w:tcBorders>
              <w:bottom w:val="single" w:color="auto" w:sz="4" w:space="0"/>
            </w:tcBorders>
            <w:vAlign w:val="top"/>
          </w:tcPr>
          <w:p w14:paraId="3F44E8FF">
            <w:pPr>
              <w:spacing w:before="120" w:after="120" w:line="288" w:lineRule="auto"/>
              <w:ind w:left="0" w:leftChars="0"/>
              <w:jc w:val="both"/>
              <w:rPr>
                <w:rFonts w:hint="eastAsia" w:asciiTheme="majorEastAsia" w:hAnsiTheme="majorEastAsia" w:eastAsiaTheme="majorEastAsia" w:cstheme="majorEastAsia"/>
                <w:sz w:val="21"/>
                <w:szCs w:val="21"/>
                <w:vertAlign w:val="baseline"/>
              </w:rPr>
            </w:pPr>
            <w:r>
              <w:rPr>
                <w:rFonts w:hint="eastAsia" w:asciiTheme="majorEastAsia" w:hAnsiTheme="majorEastAsia" w:eastAsiaTheme="majorEastAsia" w:cstheme="majorEastAsia"/>
                <w:sz w:val="21"/>
                <w:szCs w:val="21"/>
              </w:rPr>
              <w:t>Sensitive to CDK4/6 inhibitors; relatively low sensitivity to chemotherapy</w:t>
            </w:r>
          </w:p>
        </w:tc>
      </w:tr>
    </w:tbl>
    <w:p w14:paraId="67EFF31C">
      <w:pPr>
        <w:spacing w:before="120" w:after="120" w:line="288" w:lineRule="auto"/>
        <w:ind w:left="0"/>
        <w:jc w:val="both"/>
        <w:rPr>
          <w:rFonts w:hint="eastAsia" w:asciiTheme="majorEastAsia" w:hAnsiTheme="majorEastAsia" w:eastAsiaTheme="majorEastAsia" w:cstheme="majorEastAsia"/>
          <w:sz w:val="21"/>
          <w:szCs w:val="21"/>
        </w:rPr>
      </w:pPr>
      <w:bookmarkStart w:id="5" w:name="heading_5"/>
      <w:r>
        <w:rPr>
          <w:rFonts w:hint="eastAsia" w:asciiTheme="majorEastAsia" w:hAnsiTheme="majorEastAsia" w:eastAsiaTheme="majorEastAsia" w:cstheme="majorEastAsia"/>
          <w:sz w:val="21"/>
          <w:szCs w:val="21"/>
        </w:rPr>
        <w:t xml:space="preserve">Notes: SCLC, small‑cell lung cancer; NSCLC, non‑small‑cell lung cancer; </w:t>
      </w:r>
      <w:r>
        <w:rPr>
          <w:rFonts w:hint="eastAsia" w:asciiTheme="majorEastAsia" w:hAnsiTheme="majorEastAsia" w:eastAsiaTheme="majorEastAsia" w:cstheme="majorEastAsia"/>
          <w:i/>
          <w:iCs/>
          <w:sz w:val="21"/>
          <w:szCs w:val="21"/>
        </w:rPr>
        <w:t>RB1</w:t>
      </w:r>
      <w:r>
        <w:rPr>
          <w:rFonts w:hint="eastAsia" w:asciiTheme="majorEastAsia" w:hAnsiTheme="majorEastAsia" w:eastAsiaTheme="majorEastAsia" w:cstheme="majorEastAsia"/>
          <w:sz w:val="21"/>
          <w:szCs w:val="21"/>
        </w:rPr>
        <w:t xml:space="preserve">, retinoblastoma 1 gene; </w:t>
      </w:r>
      <w:r>
        <w:rPr>
          <w:rFonts w:hint="eastAsia" w:asciiTheme="majorEastAsia" w:hAnsiTheme="majorEastAsia" w:eastAsiaTheme="majorEastAsia" w:cstheme="majorEastAsia"/>
          <w:i/>
          <w:iCs/>
          <w:sz w:val="21"/>
          <w:szCs w:val="21"/>
        </w:rPr>
        <w:t>TP53</w:t>
      </w:r>
      <w:r>
        <w:rPr>
          <w:rFonts w:hint="eastAsia" w:asciiTheme="majorEastAsia" w:hAnsiTheme="majorEastAsia" w:eastAsiaTheme="majorEastAsia" w:cstheme="majorEastAsia"/>
          <w:sz w:val="21"/>
          <w:szCs w:val="21"/>
        </w:rPr>
        <w:t xml:space="preserve">, tumor protein p53 gene; </w:t>
      </w:r>
      <w:r>
        <w:rPr>
          <w:rFonts w:hint="eastAsia" w:asciiTheme="majorEastAsia" w:hAnsiTheme="majorEastAsia" w:eastAsiaTheme="majorEastAsia" w:cstheme="majorEastAsia"/>
          <w:i/>
          <w:iCs/>
          <w:sz w:val="21"/>
          <w:szCs w:val="21"/>
        </w:rPr>
        <w:t>CCND1</w:t>
      </w:r>
      <w:r>
        <w:rPr>
          <w:rFonts w:hint="eastAsia" w:asciiTheme="majorEastAsia" w:hAnsiTheme="majorEastAsia" w:eastAsiaTheme="majorEastAsia" w:cstheme="majorEastAsia"/>
          <w:sz w:val="21"/>
          <w:szCs w:val="21"/>
        </w:rPr>
        <w:t xml:space="preserve">, cyclin D1 gene; </w:t>
      </w:r>
      <w:r>
        <w:rPr>
          <w:rFonts w:hint="eastAsia" w:asciiTheme="majorEastAsia" w:hAnsiTheme="majorEastAsia" w:eastAsiaTheme="majorEastAsia" w:cstheme="majorEastAsia"/>
          <w:i/>
          <w:iCs/>
          <w:sz w:val="21"/>
          <w:szCs w:val="21"/>
        </w:rPr>
        <w:t>PIK3CA</w:t>
      </w:r>
      <w:r>
        <w:rPr>
          <w:rFonts w:hint="eastAsia" w:asciiTheme="majorEastAsia" w:hAnsiTheme="majorEastAsia" w:eastAsiaTheme="majorEastAsia" w:cstheme="majorEastAsia"/>
          <w:sz w:val="21"/>
          <w:szCs w:val="21"/>
        </w:rPr>
        <w:t xml:space="preserve">, phosphatidylinositol 3‑kinase catalytic subunit alpha gene; </w:t>
      </w:r>
      <w:r>
        <w:rPr>
          <w:rFonts w:hint="eastAsia" w:asciiTheme="majorEastAsia" w:hAnsiTheme="majorEastAsia" w:eastAsiaTheme="majorEastAsia" w:cstheme="majorEastAsia"/>
          <w:i/>
          <w:iCs/>
          <w:sz w:val="21"/>
          <w:szCs w:val="21"/>
        </w:rPr>
        <w:t>CDKN2A</w:t>
      </w:r>
      <w:r>
        <w:rPr>
          <w:rFonts w:hint="eastAsia" w:asciiTheme="majorEastAsia" w:hAnsiTheme="majorEastAsia" w:eastAsiaTheme="majorEastAsia" w:cstheme="majorEastAsia"/>
          <w:sz w:val="21"/>
          <w:szCs w:val="21"/>
        </w:rPr>
        <w:t>, cyclin‑dependent kinase inhibitor 2A gene; YAP, Yes‑associated protein; OXPHOS, oxidative phosphorylation; SY, synaptophysin; CgA, chromogranin A; INSM1, insulinoma‑associated protein 1; TTF‑1, thyroid transcription factor‑1.</w:t>
      </w:r>
    </w:p>
    <w:bookmarkEnd w:id="5"/>
    <w:p w14:paraId="31394BFC">
      <w:pPr>
        <w:spacing w:before="300" w:after="120" w:line="288" w:lineRule="auto"/>
        <w:ind w:left="0"/>
        <w:jc w:val="both"/>
        <w:outlineLvl w:val="2"/>
        <w:rPr>
          <w:sz w:val="21"/>
          <w:szCs w:val="21"/>
        </w:rPr>
      </w:pPr>
      <w:bookmarkStart w:id="6" w:name="heading_6"/>
      <w:r>
        <w:rPr>
          <w:rFonts w:ascii="Arial" w:hAnsi="Arial" w:eastAsia="等线" w:cs="Arial"/>
          <w:b/>
          <w:sz w:val="21"/>
          <w:szCs w:val="21"/>
        </w:rPr>
        <w:t>2.1 RB1 失活型（RB1⁻/P16⁺/Cyclin D1⁻）</w:t>
      </w:r>
      <w:bookmarkEnd w:id="6"/>
    </w:p>
    <w:p w14:paraId="0CE015EC">
      <w:pPr>
        <w:spacing w:before="120" w:after="120" w:line="288" w:lineRule="auto"/>
        <w:ind w:left="0" w:firstLine="420" w:firstLineChars="200"/>
        <w:jc w:val="both"/>
        <w:rPr>
          <w:sz w:val="21"/>
          <w:szCs w:val="21"/>
        </w:rPr>
      </w:pPr>
      <w:r>
        <w:rPr>
          <w:rFonts w:ascii="Arial" w:hAnsi="Arial" w:eastAsia="等线" w:cs="Arial"/>
          <w:sz w:val="21"/>
          <w:szCs w:val="21"/>
        </w:rPr>
        <w:t>该型占比超 90%，核心为</w:t>
      </w:r>
      <w:r>
        <w:rPr>
          <w:rFonts w:hint="default" w:ascii="Arial Italic" w:hAnsi="Arial Italic" w:eastAsia="等线" w:cs="Arial Italic"/>
          <w:i/>
          <w:iCs/>
          <w:sz w:val="21"/>
          <w:szCs w:val="21"/>
        </w:rPr>
        <w:t xml:space="preserve"> RB1 </w:t>
      </w:r>
      <w:r>
        <w:rPr>
          <w:rFonts w:ascii="Arial" w:hAnsi="Arial" w:eastAsia="等线" w:cs="Arial"/>
          <w:sz w:val="21"/>
          <w:szCs w:val="21"/>
        </w:rPr>
        <w:t xml:space="preserve">双等位失活，pRB 功能完全丧失。E2F 释放上调 </w:t>
      </w:r>
      <w:r>
        <w:rPr>
          <w:rFonts w:hint="default" w:ascii="Arial Italic" w:hAnsi="Arial Italic" w:eastAsia="等线" w:cs="Arial Italic"/>
          <w:i/>
          <w:iCs/>
          <w:sz w:val="21"/>
          <w:szCs w:val="21"/>
        </w:rPr>
        <w:t>CDKN2A</w:t>
      </w:r>
      <w:r>
        <w:rPr>
          <w:rFonts w:ascii="Arial" w:hAnsi="Arial" w:eastAsia="等线" w:cs="Arial"/>
          <w:sz w:val="21"/>
          <w:szCs w:val="21"/>
        </w:rPr>
        <w:t>，P16 代偿性升高，但因 RB1 缺失无法恢复周期调控，最终 G1/S 检查点崩溃，肿瘤高度侵袭</w:t>
      </w:r>
      <w:r>
        <w:rPr>
          <w:rFonts w:ascii="Arial" w:hAnsi="Arial" w:eastAsia="等线" w:cs="Arial"/>
          <w:sz w:val="21"/>
          <w:szCs w:val="21"/>
          <w:vertAlign w:val="superscript"/>
        </w:rPr>
        <w:fldChar w:fldCharType="begin"/>
      </w:r>
      <w:r>
        <w:instrText xml:space="preserve"> REF _Ref717160168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[4</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_Ref720740059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8</w:t>
      </w:r>
      <w:r>
        <w:rPr>
          <w:rFonts w:hint="default" w:ascii="Arial" w:hAnsi="Arial" w:eastAsia="等线" w:cs="Arial"/>
          <w:sz w:val="21"/>
          <w:szCs w:val="21"/>
          <w:vertAlign w:val="superscript"/>
          <w:lang/>
        </w:rPr>
        <w:fldChar w:fldCharType="end"/>
      </w:r>
      <w:r>
        <w:rPr>
          <w:rFonts w:hint="default" w:ascii="Arial" w:hAnsi="Arial" w:eastAsia="等线" w:cs="Arial"/>
          <w:sz w:val="21"/>
          <w:szCs w:val="21"/>
          <w:vertAlign w:val="superscript"/>
          <w:lang/>
        </w:rPr>
        <w:fldChar w:fldCharType="begin"/>
      </w:r>
      <w:r>
        <w:instrText xml:space="preserve"> REF _Ref720773673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9]</w:t>
      </w:r>
      <w:r>
        <w:rPr>
          <w:rFonts w:hint="default" w:ascii="Arial" w:hAnsi="Arial" w:eastAsia="等线" w:cs="Arial"/>
          <w:sz w:val="21"/>
          <w:szCs w:val="21"/>
          <w:vertAlign w:val="superscript"/>
          <w:lang/>
        </w:rPr>
        <w:fldChar w:fldCharType="end"/>
      </w:r>
      <w:r>
        <w:rPr>
          <w:rFonts w:ascii="Arial" w:hAnsi="Arial" w:eastAsia="等线" w:cs="Arial"/>
          <w:sz w:val="21"/>
          <w:szCs w:val="21"/>
        </w:rPr>
        <w:t xml:space="preserve">。该亚型常伴 </w:t>
      </w:r>
      <w:r>
        <w:rPr>
          <w:rFonts w:hint="default" w:ascii="Arial Italic" w:hAnsi="Arial Italic" w:eastAsia="等线" w:cs="Arial Italic"/>
          <w:i/>
          <w:iCs/>
          <w:sz w:val="21"/>
          <w:szCs w:val="21"/>
        </w:rPr>
        <w:t>TP53</w:t>
      </w:r>
      <w:r>
        <w:rPr>
          <w:rFonts w:ascii="Arial" w:hAnsi="Arial" w:eastAsia="等线" w:cs="Arial"/>
          <w:sz w:val="21"/>
          <w:szCs w:val="21"/>
        </w:rPr>
        <w:t xml:space="preserve"> 突变（75%–90%），神经内分泌表型典型，对应 SCLC‑A 亚型，对 CDK4/6 抑制剂原发耐药</w:t>
      </w:r>
      <w:r>
        <w:rPr>
          <w:rFonts w:ascii="Arial" w:hAnsi="Arial" w:eastAsia="等线" w:cs="Arial"/>
          <w:sz w:val="21"/>
          <w:szCs w:val="21"/>
          <w:vertAlign w:val="superscript"/>
        </w:rPr>
        <w:fldChar w:fldCharType="begin"/>
      </w:r>
      <w:r>
        <w:instrText xml:space="preserve"> REF _Ref717513115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[5</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_Ref723412372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11</w:t>
      </w:r>
      <w:r>
        <w:rPr>
          <w:rFonts w:hint="default" w:ascii="Arial" w:hAnsi="Arial" w:eastAsia="等线" w:cs="Arial"/>
          <w:sz w:val="21"/>
          <w:szCs w:val="21"/>
          <w:vertAlign w:val="superscript"/>
          <w:lang/>
        </w:rPr>
        <w:fldChar w:fldCharType="end"/>
      </w:r>
      <w:r>
        <w:rPr>
          <w:rFonts w:hint="default" w:ascii="Arial" w:hAnsi="Arial" w:eastAsia="等线" w:cs="Arial"/>
          <w:sz w:val="21"/>
          <w:szCs w:val="21"/>
          <w:vertAlign w:val="superscript"/>
          <w:lang/>
        </w:rPr>
        <w:fldChar w:fldCharType="begin"/>
      </w:r>
      <w:r>
        <w:instrText xml:space="preserve"> REF _Ref723462793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12]</w:t>
      </w:r>
      <w:r>
        <w:rPr>
          <w:rFonts w:hint="default" w:ascii="Arial" w:hAnsi="Arial" w:eastAsia="等线" w:cs="Arial"/>
          <w:sz w:val="21"/>
          <w:szCs w:val="21"/>
          <w:vertAlign w:val="superscript"/>
          <w:lang/>
        </w:rPr>
        <w:fldChar w:fldCharType="end"/>
      </w:r>
      <w:r>
        <w:rPr>
          <w:rFonts w:ascii="Arial" w:hAnsi="Arial" w:eastAsia="等线" w:cs="Arial"/>
          <w:sz w:val="21"/>
          <w:szCs w:val="21"/>
        </w:rPr>
        <w:t>。</w:t>
      </w:r>
    </w:p>
    <w:p w14:paraId="104D4338">
      <w:pPr>
        <w:spacing w:before="300" w:after="120" w:line="288" w:lineRule="auto"/>
        <w:ind w:left="0"/>
        <w:jc w:val="both"/>
        <w:outlineLvl w:val="2"/>
        <w:rPr>
          <w:sz w:val="21"/>
          <w:szCs w:val="21"/>
        </w:rPr>
      </w:pPr>
      <w:bookmarkStart w:id="7" w:name="heading_7"/>
      <w:r>
        <w:rPr>
          <w:rFonts w:ascii="Arial" w:hAnsi="Arial" w:eastAsia="等线" w:cs="Arial"/>
          <w:b/>
          <w:sz w:val="21"/>
          <w:szCs w:val="21"/>
        </w:rPr>
        <w:t>2.2 RB1 野生型（RB1⁺/P16⁻/Cyclin D1⁺）</w:t>
      </w:r>
      <w:bookmarkEnd w:id="7"/>
    </w:p>
    <w:p w14:paraId="01955130">
      <w:pPr>
        <w:spacing w:before="120" w:after="120" w:line="288" w:lineRule="auto"/>
        <w:ind w:left="0" w:firstLine="420" w:firstLineChars="200"/>
        <w:jc w:val="both"/>
        <w:rPr>
          <w:sz w:val="21"/>
          <w:szCs w:val="21"/>
        </w:rPr>
      </w:pPr>
      <w:r>
        <w:rPr>
          <w:rFonts w:ascii="Arial" w:hAnsi="Arial" w:eastAsia="等线" w:cs="Arial"/>
          <w:sz w:val="21"/>
          <w:szCs w:val="21"/>
        </w:rPr>
        <w:t>该型占比 10%–16%，保留功能性 pRB，但多因</w:t>
      </w:r>
      <w:r>
        <w:rPr>
          <w:rFonts w:hint="default" w:ascii="Arial Italic" w:hAnsi="Arial Italic" w:eastAsia="等线" w:cs="Arial Italic"/>
          <w:i/>
          <w:iCs/>
          <w:sz w:val="21"/>
          <w:szCs w:val="21"/>
        </w:rPr>
        <w:t xml:space="preserve"> CDKN2A</w:t>
      </w:r>
      <w:r>
        <w:rPr>
          <w:rFonts w:ascii="Arial" w:hAnsi="Arial" w:eastAsia="等线" w:cs="Arial"/>
          <w:sz w:val="21"/>
          <w:szCs w:val="21"/>
        </w:rPr>
        <w:t xml:space="preserve"> 缺失、甲基化导致 P16 沉默</w:t>
      </w:r>
      <w:r>
        <w:rPr>
          <w:rFonts w:ascii="Arial" w:hAnsi="Arial" w:eastAsia="等线" w:cs="Arial"/>
          <w:sz w:val="21"/>
          <w:szCs w:val="21"/>
          <w:vertAlign w:val="superscript"/>
        </w:rPr>
        <w:fldChar w:fldCharType="begin"/>
      </w:r>
      <w:r>
        <w:instrText xml:space="preserve"> REF _Ref717160168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[4</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_Ref721546795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10]</w:t>
      </w:r>
      <w:r>
        <w:rPr>
          <w:rFonts w:hint="default" w:ascii="Arial" w:hAnsi="Arial" w:eastAsia="等线" w:cs="Arial"/>
          <w:sz w:val="21"/>
          <w:szCs w:val="21"/>
          <w:vertAlign w:val="superscript"/>
          <w:lang/>
        </w:rPr>
        <w:fldChar w:fldCharType="end"/>
      </w:r>
      <w:r>
        <w:rPr>
          <w:rFonts w:ascii="Arial" w:hAnsi="Arial" w:eastAsia="等线" w:cs="Arial"/>
          <w:sz w:val="21"/>
          <w:szCs w:val="21"/>
        </w:rPr>
        <w:t>。</w:t>
      </w:r>
      <w:r>
        <w:rPr>
          <w:rFonts w:hint="default" w:ascii="Arial Italic" w:hAnsi="Arial Italic" w:eastAsia="等线" w:cs="Arial Italic"/>
          <w:i/>
          <w:iCs/>
          <w:sz w:val="21"/>
          <w:szCs w:val="21"/>
        </w:rPr>
        <w:t xml:space="preserve">MYC </w:t>
      </w:r>
      <w:r>
        <w:rPr>
          <w:rFonts w:ascii="Arial" w:hAnsi="Arial" w:eastAsia="等线" w:cs="Arial"/>
          <w:sz w:val="21"/>
          <w:szCs w:val="21"/>
        </w:rPr>
        <w:t>扩增或 PI3K 通路激活驱动 Cyclin D1 过表达，持续磷酸化 pRB，绕过 RB1 失活途径实现异常增殖</w:t>
      </w:r>
      <w:r>
        <w:rPr>
          <w:rFonts w:ascii="Arial" w:hAnsi="Arial" w:eastAsia="等线" w:cs="Arial"/>
          <w:sz w:val="21"/>
          <w:szCs w:val="21"/>
          <w:vertAlign w:val="superscript"/>
        </w:rPr>
        <w:fldChar w:fldCharType="begin"/>
      </w:r>
      <w:r>
        <w:instrText xml:space="preserve"> REF _Ref724588862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[13</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_Ref724622476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14]</w:t>
      </w:r>
      <w:r>
        <w:rPr>
          <w:rFonts w:hint="default" w:ascii="Arial" w:hAnsi="Arial" w:eastAsia="等线" w:cs="Arial"/>
          <w:sz w:val="21"/>
          <w:szCs w:val="21"/>
          <w:vertAlign w:val="superscript"/>
          <w:lang/>
        </w:rPr>
        <w:fldChar w:fldCharType="end"/>
      </w:r>
      <w:r>
        <w:rPr>
          <w:rFonts w:ascii="Arial" w:hAnsi="Arial" w:eastAsia="等线" w:cs="Arial"/>
          <w:sz w:val="21"/>
          <w:szCs w:val="21"/>
        </w:rPr>
        <w:t>。该亚型神经内分泌标志物偏低，对应 SCLC‑P/Y 亚型，常伴</w:t>
      </w:r>
      <w:r>
        <w:rPr>
          <w:rFonts w:hint="default" w:ascii="Arial Italic" w:hAnsi="Arial Italic" w:eastAsia="等线" w:cs="Arial Italic"/>
          <w:i/>
          <w:iCs/>
          <w:sz w:val="21"/>
          <w:szCs w:val="21"/>
        </w:rPr>
        <w:t xml:space="preserve"> CCND1 </w:t>
      </w:r>
      <w:r>
        <w:rPr>
          <w:rFonts w:ascii="Arial" w:hAnsi="Arial" w:eastAsia="等线" w:cs="Arial"/>
          <w:sz w:val="21"/>
          <w:szCs w:val="21"/>
        </w:rPr>
        <w:t>扩增、</w:t>
      </w:r>
      <w:r>
        <w:rPr>
          <w:rFonts w:hint="default" w:ascii="Arial Italic" w:hAnsi="Arial Italic" w:eastAsia="等线" w:cs="Arial Italic"/>
          <w:i/>
          <w:iCs/>
          <w:sz w:val="21"/>
          <w:szCs w:val="21"/>
        </w:rPr>
        <w:t xml:space="preserve">PIK3CA </w:t>
      </w:r>
      <w:r>
        <w:rPr>
          <w:rFonts w:ascii="Arial" w:hAnsi="Arial" w:eastAsia="等线" w:cs="Arial"/>
          <w:sz w:val="21"/>
          <w:szCs w:val="21"/>
        </w:rPr>
        <w:t>突变，对 CDK4/6 抑制剂敏感</w:t>
      </w:r>
      <w:r>
        <w:rPr>
          <w:rFonts w:ascii="Arial" w:hAnsi="Arial" w:eastAsia="等线" w:cs="Arial"/>
          <w:sz w:val="21"/>
          <w:szCs w:val="21"/>
          <w:vertAlign w:val="superscript"/>
        </w:rPr>
        <w:fldChar w:fldCharType="begin"/>
      </w:r>
      <w:r>
        <w:instrText xml:space="preserve"> REF _Ref721546795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[10</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_Ref725143493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15</w:t>
      </w:r>
      <w:r>
        <w:rPr>
          <w:rFonts w:hint="default" w:ascii="Arial" w:hAnsi="Arial" w:eastAsia="等线" w:cs="Arial"/>
          <w:sz w:val="21"/>
          <w:szCs w:val="21"/>
          <w:vertAlign w:val="superscript"/>
          <w:lang/>
        </w:rPr>
        <w:fldChar w:fldCharType="end"/>
      </w:r>
      <w:r>
        <w:rPr>
          <w:rFonts w:hint="default" w:ascii="Arial" w:hAnsi="Arial" w:eastAsia="等线" w:cs="Arial"/>
          <w:sz w:val="21"/>
          <w:szCs w:val="21"/>
          <w:vertAlign w:val="superscript"/>
          <w:lang/>
        </w:rPr>
        <w:fldChar w:fldCharType="begin"/>
      </w:r>
      <w:r>
        <w:instrText xml:space="preserve"> REF _Ref725177107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16]</w:t>
      </w:r>
      <w:r>
        <w:rPr>
          <w:rFonts w:hint="default" w:ascii="Arial" w:hAnsi="Arial" w:eastAsia="等线" w:cs="Arial"/>
          <w:sz w:val="21"/>
          <w:szCs w:val="21"/>
          <w:vertAlign w:val="superscript"/>
          <w:lang/>
        </w:rPr>
        <w:fldChar w:fldCharType="end"/>
      </w:r>
      <w:r>
        <w:rPr>
          <w:rFonts w:ascii="Arial" w:hAnsi="Arial" w:eastAsia="等线" w:cs="Arial"/>
          <w:sz w:val="21"/>
          <w:szCs w:val="21"/>
        </w:rPr>
        <w:t>。</w:t>
      </w:r>
    </w:p>
    <w:p w14:paraId="3693C814">
      <w:pPr>
        <w:spacing w:before="120" w:after="120" w:line="288" w:lineRule="auto"/>
        <w:ind w:left="0" w:firstLine="420" w:firstLineChars="200"/>
        <w:jc w:val="both"/>
        <w:rPr>
          <w:sz w:val="21"/>
          <w:szCs w:val="21"/>
        </w:rPr>
      </w:pPr>
      <w:r>
        <w:rPr>
          <w:rFonts w:ascii="Arial" w:hAnsi="Arial" w:eastAsia="等线" w:cs="Arial"/>
          <w:sz w:val="21"/>
          <w:szCs w:val="21"/>
        </w:rPr>
        <w:t>两类亚型与转录因子分型高度关联：RB1 失活型多为 ASCL1 高表达的 SCLC‑A；RB1 野生型多为 ASCL1⁻/NEUROD1⁻、POU2F3⁺/YAP1⁺表型，与低神经内分泌表型一致</w:t>
      </w:r>
      <w:r>
        <w:rPr>
          <w:rFonts w:ascii="Arial" w:hAnsi="Arial" w:eastAsia="等线" w:cs="Arial"/>
          <w:sz w:val="21"/>
          <w:szCs w:val="21"/>
          <w:vertAlign w:val="superscript"/>
        </w:rPr>
        <w:fldChar w:fldCharType="begin"/>
      </w:r>
      <w:r>
        <w:instrText xml:space="preserve"> REF _Ref717513115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[5</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_Ref723412372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11]</w:t>
      </w:r>
      <w:r>
        <w:rPr>
          <w:rFonts w:hint="default" w:ascii="Arial" w:hAnsi="Arial" w:eastAsia="等线" w:cs="Arial"/>
          <w:sz w:val="21"/>
          <w:szCs w:val="21"/>
          <w:vertAlign w:val="superscript"/>
          <w:lang/>
        </w:rPr>
        <w:fldChar w:fldCharType="end"/>
      </w:r>
      <w:r>
        <w:rPr>
          <w:rFonts w:ascii="Arial" w:hAnsi="Arial" w:eastAsia="等线" w:cs="Arial"/>
          <w:sz w:val="21"/>
          <w:szCs w:val="21"/>
        </w:rPr>
        <w:t>。空间多组学研究显示，SCLC 内部存在多阳性肿瘤细胞（MPTCs）及特定免疫生态位，可预测预后与免疫治疗响应。未来分型需整合通路状态、转录特征与空间微环境信息</w:t>
      </w:r>
      <w:r>
        <w:rPr>
          <w:rFonts w:ascii="Arial" w:hAnsi="Arial" w:eastAsia="等线" w:cs="Arial"/>
          <w:sz w:val="21"/>
          <w:szCs w:val="21"/>
          <w:vertAlign w:val="superscript"/>
        </w:rPr>
        <w:fldChar w:fldCharType="begin"/>
      </w:r>
      <w:r>
        <w:instrText xml:space="preserve"> REF _Ref726874614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[17]</w:t>
      </w:r>
      <w:r>
        <w:rPr>
          <w:rFonts w:ascii="Arial" w:hAnsi="Arial" w:eastAsia="等线" w:cs="Arial"/>
          <w:sz w:val="21"/>
          <w:szCs w:val="21"/>
          <w:vertAlign w:val="superscript"/>
        </w:rPr>
        <w:fldChar w:fldCharType="end"/>
      </w:r>
      <w:r>
        <w:rPr>
          <w:rFonts w:ascii="Arial" w:hAnsi="Arial" w:eastAsia="等线" w:cs="Arial"/>
          <w:sz w:val="21"/>
          <w:szCs w:val="21"/>
        </w:rPr>
        <w:t>。</w:t>
      </w:r>
    </w:p>
    <w:p w14:paraId="69D68A8B">
      <w:pPr>
        <w:spacing w:before="320" w:after="120" w:line="288" w:lineRule="auto"/>
        <w:ind w:left="0"/>
        <w:jc w:val="both"/>
        <w:outlineLvl w:val="1"/>
        <w:rPr>
          <w:sz w:val="21"/>
          <w:szCs w:val="21"/>
        </w:rPr>
      </w:pPr>
      <w:bookmarkStart w:id="8" w:name="heading_8"/>
      <w:r>
        <w:rPr>
          <w:rFonts w:ascii="Arial" w:hAnsi="Arial" w:eastAsia="等线" w:cs="Arial"/>
          <w:b/>
          <w:sz w:val="21"/>
          <w:szCs w:val="21"/>
        </w:rPr>
        <w:t>3</w:t>
      </w:r>
      <w:r>
        <w:rPr>
          <w:rFonts w:hint="eastAsia" w:ascii="Arial" w:hAnsi="Arial" w:eastAsia="等线" w:cs="Arial"/>
          <w:b/>
          <w:sz w:val="21"/>
          <w:szCs w:val="21"/>
          <w:lang w:eastAsia="zh-CN"/>
        </w:rPr>
        <w:t>.</w:t>
      </w:r>
      <w:r>
        <w:rPr>
          <w:rFonts w:ascii="Arial" w:hAnsi="Arial" w:eastAsia="等线" w:cs="Arial"/>
          <w:b/>
          <w:sz w:val="21"/>
          <w:szCs w:val="21"/>
        </w:rPr>
        <w:t>不同 RB1 状态 SCLC 亚型的分子与代谢特征</w:t>
      </w:r>
      <w:bookmarkEnd w:id="8"/>
    </w:p>
    <w:p w14:paraId="52610FA0">
      <w:pPr>
        <w:spacing w:before="300" w:after="120" w:line="288" w:lineRule="auto"/>
        <w:ind w:left="0"/>
        <w:jc w:val="both"/>
        <w:outlineLvl w:val="2"/>
        <w:rPr>
          <w:sz w:val="21"/>
          <w:szCs w:val="21"/>
        </w:rPr>
      </w:pPr>
      <w:bookmarkStart w:id="9" w:name="heading_9"/>
      <w:r>
        <w:rPr>
          <w:rFonts w:ascii="Arial" w:hAnsi="Arial" w:eastAsia="等线" w:cs="Arial"/>
          <w:b/>
          <w:sz w:val="21"/>
          <w:szCs w:val="21"/>
        </w:rPr>
        <w:t>3.1 RB1 失活型</w:t>
      </w:r>
      <w:bookmarkEnd w:id="9"/>
    </w:p>
    <w:p w14:paraId="5828DBA3">
      <w:pPr>
        <w:spacing w:before="120" w:after="120" w:line="288" w:lineRule="auto"/>
        <w:ind w:left="0" w:firstLine="420" w:firstLineChars="200"/>
        <w:jc w:val="both"/>
        <w:rPr>
          <w:sz w:val="21"/>
          <w:szCs w:val="21"/>
        </w:rPr>
      </w:pPr>
      <w:r>
        <w:rPr>
          <w:rFonts w:ascii="Arial" w:hAnsi="Arial" w:eastAsia="等线" w:cs="Arial"/>
          <w:sz w:val="21"/>
          <w:szCs w:val="21"/>
        </w:rPr>
        <w:t xml:space="preserve">该亚型在 SCLC 中分子发生机制符合肿瘤发生的 “二次打击” 学说，即 </w:t>
      </w:r>
      <w:r>
        <w:rPr>
          <w:rFonts w:hint="default" w:ascii="Arial Italic" w:hAnsi="Arial Italic" w:eastAsia="等线" w:cs="Arial Italic"/>
          <w:i/>
          <w:iCs/>
          <w:sz w:val="21"/>
          <w:szCs w:val="21"/>
        </w:rPr>
        <w:t>RB1</w:t>
      </w:r>
      <w:r>
        <w:rPr>
          <w:rFonts w:ascii="Arial" w:hAnsi="Arial" w:eastAsia="等线" w:cs="Arial"/>
          <w:sz w:val="21"/>
          <w:szCs w:val="21"/>
        </w:rPr>
        <w:t xml:space="preserve"> 双等位失活，导致 pRB 蛋白功能完全丧失</w:t>
      </w:r>
      <w:r>
        <w:rPr>
          <w:rFonts w:ascii="Arial" w:hAnsi="Arial" w:eastAsia="等线" w:cs="Arial"/>
          <w:sz w:val="21"/>
          <w:szCs w:val="21"/>
          <w:vertAlign w:val="superscript"/>
        </w:rPr>
        <w:fldChar w:fldCharType="begin"/>
      </w:r>
      <w:r>
        <w:instrText xml:space="preserve"> REF _Ref720740059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[8</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_Ref720773673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9]</w:t>
      </w:r>
      <w:r>
        <w:rPr>
          <w:rFonts w:hint="default" w:ascii="Arial" w:hAnsi="Arial" w:eastAsia="等线" w:cs="Arial"/>
          <w:sz w:val="21"/>
          <w:szCs w:val="21"/>
          <w:vertAlign w:val="superscript"/>
          <w:lang/>
        </w:rPr>
        <w:fldChar w:fldCharType="end"/>
      </w:r>
      <w:r>
        <w:rPr>
          <w:rFonts w:ascii="Arial" w:hAnsi="Arial" w:eastAsia="等线" w:cs="Arial"/>
          <w:sz w:val="21"/>
          <w:szCs w:val="21"/>
        </w:rPr>
        <w:t xml:space="preserve">。除特征性的 </w:t>
      </w:r>
      <w:r>
        <w:rPr>
          <w:rFonts w:hint="default" w:ascii="Arial Italic" w:hAnsi="Arial Italic" w:eastAsia="等线" w:cs="Arial Italic"/>
          <w:i/>
          <w:iCs/>
          <w:sz w:val="21"/>
          <w:szCs w:val="21"/>
        </w:rPr>
        <w:t xml:space="preserve">TP53 </w:t>
      </w:r>
      <w:r>
        <w:rPr>
          <w:rFonts w:ascii="Arial" w:hAnsi="Arial" w:eastAsia="等线" w:cs="Arial"/>
          <w:sz w:val="21"/>
          <w:szCs w:val="21"/>
        </w:rPr>
        <w:t>突变外，</w:t>
      </w:r>
      <w:r>
        <w:rPr>
          <w:rFonts w:ascii="Arial" w:hAnsi="Arial" w:eastAsia="等线" w:cs="Arial"/>
          <w:i/>
          <w:iCs/>
          <w:sz w:val="21"/>
          <w:szCs w:val="21"/>
        </w:rPr>
        <w:t xml:space="preserve">RB1、TP53 </w:t>
      </w:r>
      <w:r>
        <w:rPr>
          <w:rFonts w:ascii="Arial" w:hAnsi="Arial" w:eastAsia="等线" w:cs="Arial"/>
          <w:sz w:val="21"/>
          <w:szCs w:val="21"/>
        </w:rPr>
        <w:t>和</w:t>
      </w:r>
      <w:r>
        <w:rPr>
          <w:rFonts w:hint="default" w:ascii="Arial Italic" w:hAnsi="Arial Italic" w:eastAsia="等线" w:cs="Arial Italic"/>
          <w:i/>
          <w:iCs/>
          <w:sz w:val="21"/>
          <w:szCs w:val="21"/>
        </w:rPr>
        <w:t xml:space="preserve"> MYC</w:t>
      </w:r>
      <w:r>
        <w:rPr>
          <w:rFonts w:ascii="Arial" w:hAnsi="Arial" w:eastAsia="等线" w:cs="Arial"/>
          <w:sz w:val="21"/>
          <w:szCs w:val="21"/>
        </w:rPr>
        <w:t xml:space="preserve"> 的联合突变在该亚型中也较为常见，其中 </w:t>
      </w:r>
      <w:r>
        <w:rPr>
          <w:rFonts w:hint="default" w:ascii="Arial Italic" w:hAnsi="Arial Italic" w:eastAsia="等线" w:cs="Arial Italic"/>
          <w:i/>
          <w:iCs/>
          <w:sz w:val="21"/>
          <w:szCs w:val="21"/>
        </w:rPr>
        <w:t>MYC</w:t>
      </w:r>
      <w:r>
        <w:rPr>
          <w:rFonts w:ascii="Arial" w:hAnsi="Arial" w:eastAsia="等线" w:cs="Arial"/>
          <w:sz w:val="21"/>
          <w:szCs w:val="21"/>
        </w:rPr>
        <w:t xml:space="preserve"> 扩增伴随</w:t>
      </w:r>
      <w:r>
        <w:rPr>
          <w:rFonts w:hint="default" w:ascii="Arial Italic" w:hAnsi="Arial Italic" w:eastAsia="等线" w:cs="Arial Italic"/>
          <w:i/>
          <w:iCs/>
          <w:sz w:val="21"/>
          <w:szCs w:val="21"/>
        </w:rPr>
        <w:t xml:space="preserve"> TP53</w:t>
      </w:r>
      <w:r>
        <w:rPr>
          <w:rFonts w:ascii="Arial" w:hAnsi="Arial" w:eastAsia="等线" w:cs="Arial"/>
          <w:sz w:val="21"/>
          <w:szCs w:val="21"/>
        </w:rPr>
        <w:t xml:space="preserve"> 和 </w:t>
      </w:r>
      <w:r>
        <w:rPr>
          <w:rFonts w:hint="default" w:ascii="Arial Italic" w:hAnsi="Arial Italic" w:eastAsia="等线" w:cs="Arial Italic"/>
          <w:i/>
          <w:iCs/>
          <w:sz w:val="21"/>
          <w:szCs w:val="21"/>
        </w:rPr>
        <w:t xml:space="preserve">RB1 </w:t>
      </w:r>
      <w:r>
        <w:rPr>
          <w:rFonts w:ascii="Arial" w:hAnsi="Arial" w:eastAsia="等线" w:cs="Arial"/>
          <w:sz w:val="21"/>
          <w:szCs w:val="21"/>
        </w:rPr>
        <w:t>突变，是驱动 SCLC 发生转化的重要分子因素</w:t>
      </w:r>
      <w:r>
        <w:rPr>
          <w:rFonts w:ascii="Arial" w:hAnsi="Arial" w:eastAsia="等线" w:cs="Arial"/>
          <w:sz w:val="21"/>
          <w:szCs w:val="21"/>
          <w:vertAlign w:val="superscript"/>
        </w:rPr>
        <w:fldChar w:fldCharType="begin"/>
      </w:r>
      <w:r>
        <w:instrText xml:space="preserve"> REF _Ref724588862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[13</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_Ref728538507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18]</w:t>
      </w:r>
      <w:r>
        <w:rPr>
          <w:rFonts w:hint="default" w:ascii="Arial" w:hAnsi="Arial" w:eastAsia="等线" w:cs="Arial"/>
          <w:sz w:val="21"/>
          <w:szCs w:val="21"/>
          <w:vertAlign w:val="superscript"/>
          <w:lang/>
        </w:rPr>
        <w:fldChar w:fldCharType="end"/>
      </w:r>
      <w:r>
        <w:rPr>
          <w:rFonts w:ascii="Arial" w:hAnsi="Arial" w:eastAsia="等线" w:cs="Arial"/>
          <w:sz w:val="21"/>
          <w:szCs w:val="21"/>
        </w:rPr>
        <w:t>。</w:t>
      </w:r>
    </w:p>
    <w:p w14:paraId="01CFF601">
      <w:pPr>
        <w:spacing w:before="120" w:after="120" w:line="288" w:lineRule="auto"/>
        <w:ind w:left="0" w:firstLine="420" w:firstLineChars="200"/>
        <w:jc w:val="both"/>
        <w:rPr>
          <w:sz w:val="21"/>
          <w:szCs w:val="21"/>
        </w:rPr>
      </w:pPr>
      <w:r>
        <w:rPr>
          <w:rFonts w:ascii="Arial" w:hAnsi="Arial" w:eastAsia="等线" w:cs="Arial"/>
          <w:sz w:val="21"/>
          <w:szCs w:val="21"/>
        </w:rPr>
        <w:t>代谢特征方面，该亚型是表现出 Warburg 效应最强的肿瘤类型之一，RB1 缺失可使肿瘤能量代谢由糖酵解转向氧化磷酸化（OXPHOS），细胞利用替代燃料快速增殖、侵袭并产生耐药</w:t>
      </w:r>
      <w:r>
        <w:rPr>
          <w:rFonts w:ascii="Arial" w:hAnsi="Arial" w:eastAsia="等线" w:cs="Arial"/>
          <w:sz w:val="21"/>
          <w:szCs w:val="21"/>
          <w:vertAlign w:val="superscript"/>
        </w:rPr>
        <w:fldChar w:fldCharType="begin"/>
      </w:r>
      <w:r>
        <w:instrText xml:space="preserve"> REF _Ref728975489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[19</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_Ref728992296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20]</w:t>
      </w:r>
      <w:r>
        <w:rPr>
          <w:rFonts w:hint="default" w:ascii="Arial" w:hAnsi="Arial" w:eastAsia="等线" w:cs="Arial"/>
          <w:sz w:val="21"/>
          <w:szCs w:val="21"/>
          <w:vertAlign w:val="superscript"/>
          <w:lang/>
        </w:rPr>
        <w:fldChar w:fldCharType="end"/>
      </w:r>
      <w:r>
        <w:rPr>
          <w:rFonts w:ascii="Arial" w:hAnsi="Arial" w:eastAsia="等线" w:cs="Arial"/>
          <w:sz w:val="21"/>
          <w:szCs w:val="21"/>
        </w:rPr>
        <w:t>。转移机制方面，</w:t>
      </w:r>
      <w:r>
        <w:rPr>
          <w:rFonts w:hint="default" w:ascii="Arial Italic" w:hAnsi="Arial Italic" w:eastAsia="等线" w:cs="Arial Italic"/>
          <w:i/>
          <w:iCs/>
          <w:sz w:val="21"/>
          <w:szCs w:val="21"/>
        </w:rPr>
        <w:t xml:space="preserve">RB1 </w:t>
      </w:r>
      <w:r>
        <w:rPr>
          <w:rFonts w:ascii="Arial" w:hAnsi="Arial" w:eastAsia="等线" w:cs="Arial"/>
          <w:sz w:val="21"/>
          <w:szCs w:val="21"/>
        </w:rPr>
        <w:t xml:space="preserve">突变可通过 E2F7 介导 YAP 转录沉默，使 SCLC 细胞获得变形虫样的高速迁移能力及高转移潜能；而苯甲酰胺类组蛋白去乙酰化酶（histone deacetylase, HDAC）抑制剂可通过上调 </w:t>
      </w:r>
      <w:r>
        <w:rPr>
          <w:rFonts w:hint="default" w:ascii="Arial Italic" w:hAnsi="Arial Italic" w:eastAsia="等线" w:cs="Arial Italic"/>
          <w:i/>
          <w:iCs/>
          <w:sz w:val="21"/>
          <w:szCs w:val="21"/>
        </w:rPr>
        <w:t>YAP</w:t>
      </w:r>
      <w:r>
        <w:rPr>
          <w:rFonts w:ascii="Arial" w:hAnsi="Arial" w:eastAsia="等线" w:cs="Arial"/>
          <w:sz w:val="21"/>
          <w:szCs w:val="21"/>
        </w:rPr>
        <w:t xml:space="preserve"> 表达，有效抑制肿瘤细胞转移，显著提升患者的生存率</w:t>
      </w:r>
      <w:r>
        <w:rPr>
          <w:rFonts w:ascii="Arial" w:hAnsi="Arial" w:eastAsia="等线" w:cs="Arial"/>
          <w:sz w:val="21"/>
          <w:szCs w:val="21"/>
          <w:vertAlign w:val="superscript"/>
        </w:rPr>
        <w:fldChar w:fldCharType="begin"/>
      </w:r>
      <w:r>
        <w:instrText xml:space="preserve"> REF _Ref728975489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[19]</w:t>
      </w:r>
      <w:r>
        <w:rPr>
          <w:rFonts w:ascii="Arial" w:hAnsi="Arial" w:eastAsia="等线" w:cs="Arial"/>
          <w:sz w:val="21"/>
          <w:szCs w:val="21"/>
          <w:vertAlign w:val="superscript"/>
        </w:rPr>
        <w:fldChar w:fldCharType="end"/>
      </w:r>
      <w:r>
        <w:rPr>
          <w:rFonts w:ascii="Arial" w:hAnsi="Arial" w:eastAsia="等线" w:cs="Arial"/>
          <w:sz w:val="21"/>
          <w:szCs w:val="21"/>
        </w:rPr>
        <w:t>。</w:t>
      </w:r>
    </w:p>
    <w:p w14:paraId="78556BAA">
      <w:pPr>
        <w:spacing w:before="300" w:after="120" w:line="288" w:lineRule="auto"/>
        <w:ind w:left="0"/>
        <w:jc w:val="both"/>
        <w:outlineLvl w:val="2"/>
        <w:rPr>
          <w:sz w:val="21"/>
          <w:szCs w:val="21"/>
        </w:rPr>
      </w:pPr>
      <w:bookmarkStart w:id="10" w:name="heading_10"/>
      <w:r>
        <w:rPr>
          <w:rFonts w:ascii="Arial" w:hAnsi="Arial" w:eastAsia="等线" w:cs="Arial"/>
          <w:b/>
          <w:sz w:val="21"/>
          <w:szCs w:val="21"/>
        </w:rPr>
        <w:t>3.2 RB1 野生型</w:t>
      </w:r>
      <w:bookmarkEnd w:id="10"/>
    </w:p>
    <w:p w14:paraId="714E52B1">
      <w:pPr>
        <w:spacing w:before="120" w:after="120" w:line="288" w:lineRule="auto"/>
        <w:ind w:left="0" w:firstLine="420" w:firstLineChars="200"/>
        <w:jc w:val="both"/>
        <w:rPr>
          <w:sz w:val="21"/>
          <w:szCs w:val="21"/>
        </w:rPr>
      </w:pPr>
      <w:r>
        <w:rPr>
          <w:rFonts w:ascii="Arial" w:hAnsi="Arial" w:eastAsia="等线" w:cs="Arial"/>
          <w:sz w:val="21"/>
          <w:szCs w:val="21"/>
        </w:rPr>
        <w:t>该亚型在 SCLC 中神经内分泌标记物 SY、CgA、INSM1、CD56 及 TTF‑1 的表达水平均显著低于典型 SCLC</w:t>
      </w:r>
      <w:r>
        <w:rPr>
          <w:rFonts w:ascii="Arial" w:hAnsi="Arial" w:eastAsia="等线" w:cs="Arial"/>
          <w:sz w:val="21"/>
          <w:szCs w:val="21"/>
          <w:vertAlign w:val="superscript"/>
        </w:rPr>
        <w:fldChar w:fldCharType="begin"/>
      </w:r>
      <w:r>
        <w:instrText xml:space="preserve"> REF _Ref730034330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[21]</w:t>
      </w:r>
      <w:r>
        <w:rPr>
          <w:rFonts w:ascii="Arial" w:hAnsi="Arial" w:eastAsia="等线" w:cs="Arial"/>
          <w:sz w:val="21"/>
          <w:szCs w:val="21"/>
          <w:vertAlign w:val="superscript"/>
        </w:rPr>
        <w:fldChar w:fldCharType="end"/>
      </w:r>
      <w:r>
        <w:rPr>
          <w:rFonts w:ascii="Arial" w:hAnsi="Arial" w:eastAsia="等线" w:cs="Arial"/>
          <w:sz w:val="21"/>
          <w:szCs w:val="21"/>
        </w:rPr>
        <w:t>；分子表达相关性分析显示，CDK4/6 和 Cyclin D1 与神经内分泌标记物表达呈正相关，而 P16 与神经内分泌标记物表达则呈负相关</w:t>
      </w:r>
      <w:r>
        <w:rPr>
          <w:rFonts w:ascii="Arial" w:hAnsi="Arial" w:eastAsia="等线" w:cs="Arial"/>
          <w:sz w:val="21"/>
          <w:szCs w:val="21"/>
          <w:vertAlign w:val="superscript"/>
        </w:rPr>
        <w:fldChar w:fldCharType="begin"/>
      </w:r>
      <w:r>
        <w:instrText xml:space="preserve"> REF _Ref730034330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[21]</w:t>
      </w:r>
      <w:r>
        <w:rPr>
          <w:rFonts w:ascii="Arial" w:hAnsi="Arial" w:eastAsia="等线" w:cs="Arial"/>
          <w:sz w:val="21"/>
          <w:szCs w:val="21"/>
          <w:vertAlign w:val="superscript"/>
        </w:rPr>
        <w:fldChar w:fldCharType="end"/>
      </w:r>
      <w:r>
        <w:rPr>
          <w:rFonts w:ascii="Arial" w:hAnsi="Arial" w:eastAsia="等线" w:cs="Arial"/>
          <w:sz w:val="21"/>
          <w:szCs w:val="21"/>
        </w:rPr>
        <w:t>。该亚型的转录亚型倾向于 ASCL1⁻/NEUROD1⁻、POU2F3⁺/YAP1⁺，与低神经内分泌表达表型高度对应，临床中联合检测 RB1、神经内分泌标志物及通路核心分子，可有效提高该亚型的诊断准确率</w:t>
      </w:r>
      <w:r>
        <w:rPr>
          <w:rFonts w:ascii="Arial" w:hAnsi="Arial" w:eastAsia="等线" w:cs="Arial"/>
          <w:sz w:val="21"/>
          <w:szCs w:val="21"/>
          <w:vertAlign w:val="superscript"/>
        </w:rPr>
        <w:fldChar w:fldCharType="begin"/>
      </w:r>
      <w:r>
        <w:instrText xml:space="preserve"> REF _Ref717513115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[5</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_Ref723412372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11</w:t>
      </w:r>
      <w:r>
        <w:rPr>
          <w:rFonts w:hint="default" w:ascii="Arial" w:hAnsi="Arial" w:eastAsia="等线" w:cs="Arial"/>
          <w:sz w:val="21"/>
          <w:szCs w:val="21"/>
          <w:vertAlign w:val="superscript"/>
          <w:lang/>
        </w:rPr>
        <w:fldChar w:fldCharType="end"/>
      </w:r>
      <w:r>
        <w:rPr>
          <w:rFonts w:hint="default" w:ascii="Arial" w:hAnsi="Arial" w:eastAsia="等线" w:cs="Arial"/>
          <w:sz w:val="21"/>
          <w:szCs w:val="21"/>
          <w:vertAlign w:val="superscript"/>
          <w:lang/>
        </w:rPr>
        <w:fldChar w:fldCharType="begin"/>
      </w:r>
      <w:r>
        <w:instrText xml:space="preserve"> REF _Ref725177107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16]</w:t>
      </w:r>
      <w:r>
        <w:rPr>
          <w:rFonts w:hint="default" w:ascii="Arial" w:hAnsi="Arial" w:eastAsia="等线" w:cs="Arial"/>
          <w:sz w:val="21"/>
          <w:szCs w:val="21"/>
          <w:vertAlign w:val="superscript"/>
          <w:lang/>
        </w:rPr>
        <w:fldChar w:fldCharType="end"/>
      </w:r>
      <w:r>
        <w:rPr>
          <w:rFonts w:ascii="Arial" w:hAnsi="Arial" w:eastAsia="等线" w:cs="Arial"/>
          <w:sz w:val="21"/>
          <w:szCs w:val="21"/>
        </w:rPr>
        <w:t>。</w:t>
      </w:r>
    </w:p>
    <w:p w14:paraId="1FE3CB2E">
      <w:pPr>
        <w:spacing w:before="120" w:after="120" w:line="288" w:lineRule="auto"/>
        <w:ind w:left="0" w:firstLine="420" w:firstLineChars="200"/>
        <w:jc w:val="both"/>
        <w:rPr>
          <w:sz w:val="21"/>
          <w:szCs w:val="21"/>
        </w:rPr>
      </w:pPr>
      <w:r>
        <w:rPr>
          <w:rFonts w:ascii="Arial" w:hAnsi="Arial" w:eastAsia="等线" w:cs="Arial"/>
          <w:sz w:val="21"/>
          <w:szCs w:val="21"/>
        </w:rPr>
        <w:t xml:space="preserve">该亚型常见 </w:t>
      </w:r>
      <w:r>
        <w:rPr>
          <w:rFonts w:hint="default" w:ascii="Arial Italic" w:hAnsi="Arial Italic" w:eastAsia="等线" w:cs="Arial Italic"/>
          <w:i/>
          <w:iCs/>
          <w:sz w:val="21"/>
          <w:szCs w:val="21"/>
        </w:rPr>
        <w:t xml:space="preserve">CCND1 </w:t>
      </w:r>
      <w:r>
        <w:rPr>
          <w:rFonts w:ascii="Arial" w:hAnsi="Arial" w:eastAsia="等线" w:cs="Arial"/>
          <w:sz w:val="21"/>
          <w:szCs w:val="21"/>
        </w:rPr>
        <w:t xml:space="preserve">扩增（20%）和 </w:t>
      </w:r>
      <w:r>
        <w:rPr>
          <w:rFonts w:hint="default" w:ascii="Arial Italic" w:hAnsi="Arial Italic" w:eastAsia="等线" w:cs="Arial Italic"/>
          <w:i/>
          <w:iCs/>
          <w:sz w:val="21"/>
          <w:szCs w:val="21"/>
        </w:rPr>
        <w:t xml:space="preserve">PIK3CA </w:t>
      </w:r>
      <w:r>
        <w:rPr>
          <w:rFonts w:ascii="Arial" w:hAnsi="Arial" w:eastAsia="等线" w:cs="Arial"/>
          <w:sz w:val="21"/>
          <w:szCs w:val="21"/>
        </w:rPr>
        <w:t>突变（15%），其中</w:t>
      </w:r>
      <w:r>
        <w:rPr>
          <w:rFonts w:hint="default" w:ascii="Arial Italic" w:hAnsi="Arial Italic" w:eastAsia="等线" w:cs="Arial Italic"/>
          <w:i/>
          <w:iCs/>
          <w:sz w:val="21"/>
          <w:szCs w:val="21"/>
        </w:rPr>
        <w:t xml:space="preserve"> CCND1 </w:t>
      </w:r>
      <w:r>
        <w:rPr>
          <w:rFonts w:ascii="Arial" w:hAnsi="Arial" w:eastAsia="等线" w:cs="Arial"/>
          <w:sz w:val="21"/>
          <w:szCs w:val="21"/>
        </w:rPr>
        <w:t>扩增会直接推动细胞周期异常进展，</w:t>
      </w:r>
      <w:r>
        <w:rPr>
          <w:rFonts w:hint="default" w:ascii="Arial Italic" w:hAnsi="Arial Italic" w:eastAsia="等线" w:cs="Arial Italic"/>
          <w:i/>
          <w:iCs/>
          <w:sz w:val="21"/>
          <w:szCs w:val="21"/>
        </w:rPr>
        <w:t>PIK3CA</w:t>
      </w:r>
      <w:r>
        <w:rPr>
          <w:rFonts w:ascii="Arial" w:hAnsi="Arial" w:eastAsia="等线" w:cs="Arial"/>
          <w:sz w:val="21"/>
          <w:szCs w:val="21"/>
        </w:rPr>
        <w:t xml:space="preserve"> 突变则会激活 PI3K 信号通路，二者均与肿瘤的发生发展及治疗耐药密切相关</w:t>
      </w:r>
      <w:r>
        <w:rPr>
          <w:rFonts w:ascii="Arial" w:hAnsi="Arial" w:eastAsia="等线" w:cs="Arial"/>
          <w:sz w:val="21"/>
          <w:szCs w:val="21"/>
          <w:vertAlign w:val="superscript"/>
        </w:rPr>
        <w:fldChar w:fldCharType="begin"/>
      </w:r>
      <w:r>
        <w:instrText xml:space="preserve"> REF _Ref717160168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[4</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_Ref725177107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16]</w:t>
      </w:r>
      <w:r>
        <w:rPr>
          <w:rFonts w:hint="default" w:ascii="Arial" w:hAnsi="Arial" w:eastAsia="等线" w:cs="Arial"/>
          <w:sz w:val="21"/>
          <w:szCs w:val="21"/>
          <w:vertAlign w:val="superscript"/>
          <w:lang/>
        </w:rPr>
        <w:fldChar w:fldCharType="end"/>
      </w:r>
      <w:r>
        <w:rPr>
          <w:rFonts w:ascii="Arial" w:hAnsi="Arial" w:eastAsia="等线" w:cs="Arial"/>
          <w:sz w:val="21"/>
          <w:szCs w:val="21"/>
        </w:rPr>
        <w:t>。Wildey 等</w:t>
      </w:r>
      <w:r>
        <w:rPr>
          <w:rFonts w:ascii="Arial" w:hAnsi="Arial" w:eastAsia="等线" w:cs="Arial"/>
          <w:sz w:val="21"/>
          <w:szCs w:val="21"/>
          <w:vertAlign w:val="superscript"/>
        </w:rPr>
        <w:fldChar w:fldCharType="begin"/>
      </w:r>
      <w:r>
        <w:instrText xml:space="preserve"> REF _Ref723462793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[12]</w:t>
      </w:r>
      <w:r>
        <w:rPr>
          <w:rFonts w:ascii="Arial" w:hAnsi="Arial" w:eastAsia="等线" w:cs="Arial"/>
          <w:sz w:val="21"/>
          <w:szCs w:val="21"/>
          <w:vertAlign w:val="superscript"/>
        </w:rPr>
        <w:fldChar w:fldCharType="end"/>
      </w:r>
      <w:r>
        <w:rPr>
          <w:rFonts w:ascii="Arial" w:hAnsi="Arial" w:eastAsia="等线" w:cs="Arial"/>
          <w:sz w:val="21"/>
          <w:szCs w:val="21"/>
        </w:rPr>
        <w:t xml:space="preserve">开展的体外及小样本临床观察研究显示，SCLC 队列中 RB1 蛋白功能保留病例约占 14%，RB1 阳性肿瘤细胞对帕博西利 IC50＜1 μmol/L，提示对 CDK4/6 抑制剂具备敏感性；1 例接受阿贝西利治疗的 RB1 野生型 SCLC 患者，ctDNA 中 </w:t>
      </w:r>
      <w:r>
        <w:rPr>
          <w:rFonts w:hint="default" w:ascii="Arial Italic" w:hAnsi="Arial Italic" w:eastAsia="等线" w:cs="Arial Italic"/>
          <w:i/>
          <w:iCs/>
          <w:sz w:val="21"/>
          <w:szCs w:val="21"/>
        </w:rPr>
        <w:t xml:space="preserve">TP53 </w:t>
      </w:r>
      <w:r>
        <w:rPr>
          <w:rFonts w:ascii="Arial" w:hAnsi="Arial" w:eastAsia="等线" w:cs="Arial"/>
          <w:sz w:val="21"/>
          <w:szCs w:val="21"/>
        </w:rPr>
        <w:t>等位基因比例由 62.1% 下降至 0.4%，伴随肿瘤病灶缩小。但该亚型对一线化疗的应答效果可能更差，治疗中需联合靶向治疗、免疫治疗等手段，以克服化疗耐药</w:t>
      </w:r>
      <w:r>
        <w:rPr>
          <w:rFonts w:ascii="Arial" w:hAnsi="Arial" w:eastAsia="等线" w:cs="Arial"/>
          <w:sz w:val="21"/>
          <w:szCs w:val="21"/>
          <w:vertAlign w:val="superscript"/>
        </w:rPr>
        <w:fldChar w:fldCharType="begin"/>
      </w:r>
      <w:r>
        <w:instrText xml:space="preserve"> REF _Ref721546795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[10</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_Ref725177107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16]</w:t>
      </w:r>
      <w:r>
        <w:rPr>
          <w:rFonts w:hint="default" w:ascii="Arial" w:hAnsi="Arial" w:eastAsia="等线" w:cs="Arial"/>
          <w:sz w:val="21"/>
          <w:szCs w:val="21"/>
          <w:vertAlign w:val="superscript"/>
          <w:lang/>
        </w:rPr>
        <w:fldChar w:fldCharType="end"/>
      </w:r>
      <w:r>
        <w:rPr>
          <w:rFonts w:ascii="Arial" w:hAnsi="Arial" w:eastAsia="等线" w:cs="Arial"/>
          <w:sz w:val="21"/>
          <w:szCs w:val="21"/>
        </w:rPr>
        <w:t>。从病理实践角度看，该亚型形态不典型，单纯依靠神经内分泌标志物容易漏诊，免疫组化联合检测 RB1 通路分子，有助于识别这一潜在靶向获益人群。</w:t>
      </w:r>
    </w:p>
    <w:p w14:paraId="7F8FC220">
      <w:pPr>
        <w:spacing w:before="320" w:after="120" w:line="288" w:lineRule="auto"/>
        <w:ind w:left="0"/>
        <w:jc w:val="both"/>
        <w:outlineLvl w:val="1"/>
        <w:rPr>
          <w:sz w:val="21"/>
          <w:szCs w:val="21"/>
        </w:rPr>
      </w:pPr>
      <w:bookmarkStart w:id="11" w:name="heading_11"/>
      <w:r>
        <w:rPr>
          <w:rFonts w:ascii="Arial" w:hAnsi="Arial" w:eastAsia="等线" w:cs="Arial"/>
          <w:b/>
          <w:sz w:val="21"/>
          <w:szCs w:val="21"/>
        </w:rPr>
        <w:t>4</w:t>
      </w:r>
      <w:r>
        <w:rPr>
          <w:rFonts w:hint="eastAsia" w:ascii="Arial" w:hAnsi="Arial" w:eastAsia="等线" w:cs="Arial"/>
          <w:b/>
          <w:sz w:val="21"/>
          <w:szCs w:val="21"/>
          <w:lang w:eastAsia="zh-CN"/>
        </w:rPr>
        <w:t>.</w:t>
      </w:r>
      <w:r>
        <w:rPr>
          <w:rFonts w:ascii="Arial" w:hAnsi="Arial" w:eastAsia="等线" w:cs="Arial"/>
          <w:b/>
          <w:sz w:val="21"/>
          <w:szCs w:val="21"/>
        </w:rPr>
        <w:t>基于 RB1/P16/Cyclin D1 通路状态的临床精准策略</w:t>
      </w:r>
      <w:bookmarkEnd w:id="11"/>
    </w:p>
    <w:p w14:paraId="5760D82F">
      <w:pPr>
        <w:spacing w:before="120" w:after="120" w:line="288" w:lineRule="auto"/>
        <w:ind w:left="0" w:firstLine="420" w:firstLineChars="200"/>
        <w:jc w:val="both"/>
        <w:rPr>
          <w:sz w:val="21"/>
          <w:szCs w:val="21"/>
        </w:rPr>
      </w:pPr>
      <w:r>
        <w:rPr>
          <w:rFonts w:ascii="Arial" w:hAnsi="Arial" w:eastAsia="等线" w:cs="Arial"/>
          <w:sz w:val="21"/>
          <w:szCs w:val="21"/>
        </w:rPr>
        <w:t>基于 RB1/P16/Cyclin D1 通路状态划分的不同 SCLC 亚型，不仅在分子特征、病理表现上存在显著差异，其临床行为及治疗响应也截然不同，这为 SCLC 的临床精准诊疗实践提供了核心分子依据，也为制定个体化治疗方案奠定了基础。</w:t>
      </w:r>
    </w:p>
    <w:p w14:paraId="41EBC1E5">
      <w:pPr>
        <w:spacing w:before="300" w:after="120" w:line="288" w:lineRule="auto"/>
        <w:ind w:left="0"/>
        <w:jc w:val="both"/>
        <w:outlineLvl w:val="2"/>
        <w:rPr>
          <w:sz w:val="21"/>
          <w:szCs w:val="21"/>
        </w:rPr>
      </w:pPr>
      <w:bookmarkStart w:id="12" w:name="heading_12"/>
      <w:r>
        <w:rPr>
          <w:rFonts w:ascii="Arial" w:hAnsi="Arial" w:eastAsia="等线" w:cs="Arial"/>
          <w:b/>
          <w:sz w:val="21"/>
          <w:szCs w:val="21"/>
        </w:rPr>
        <w:t>4.1 诊断与分型层面</w:t>
      </w:r>
      <w:bookmarkEnd w:id="12"/>
    </w:p>
    <w:p w14:paraId="6680220B">
      <w:pPr>
        <w:spacing w:before="120" w:after="120" w:line="288" w:lineRule="auto"/>
        <w:ind w:left="0" w:firstLine="420" w:firstLineChars="200"/>
        <w:jc w:val="both"/>
        <w:rPr>
          <w:sz w:val="21"/>
          <w:szCs w:val="21"/>
        </w:rPr>
      </w:pPr>
      <w:r>
        <w:rPr>
          <w:rFonts w:ascii="Arial" w:hAnsi="Arial" w:eastAsia="等线" w:cs="Arial"/>
          <w:sz w:val="21"/>
          <w:szCs w:val="21"/>
        </w:rPr>
        <w:t>RB1/P16/Cyclin D1 通路的分子表型是 SCLC 临床诊断中的关键鉴别工具。其中 RB1 缺失是 SCLC 的特异性分子标志，其阳性率远低于肺鳞癌和肺腺癌，临床中联合检测 P16 及 Cyclin D1 的表达水平，可有效区分 SCLC 与其他非小细胞肺癌</w:t>
      </w:r>
      <w:r>
        <w:rPr>
          <w:rFonts w:ascii="Arial" w:hAnsi="Arial" w:eastAsia="等线" w:cs="Arial"/>
          <w:sz w:val="21"/>
          <w:szCs w:val="21"/>
          <w:vertAlign w:val="superscript"/>
        </w:rPr>
        <w:fldChar w:fldCharType="begin"/>
      </w:r>
      <w:r>
        <w:instrText xml:space="preserve"> REF _Ref733933554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[22</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_Ref733967168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23]</w:t>
      </w:r>
      <w:r>
        <w:rPr>
          <w:rFonts w:hint="default" w:ascii="Arial" w:hAnsi="Arial" w:eastAsia="等线" w:cs="Arial"/>
          <w:sz w:val="21"/>
          <w:szCs w:val="21"/>
          <w:vertAlign w:val="superscript"/>
          <w:lang/>
        </w:rPr>
        <w:fldChar w:fldCharType="end"/>
      </w:r>
      <w:r>
        <w:rPr>
          <w:rFonts w:ascii="Arial" w:hAnsi="Arial" w:eastAsia="等线" w:cs="Arial"/>
          <w:sz w:val="21"/>
          <w:szCs w:val="21"/>
        </w:rPr>
        <w:t xml:space="preserve">。此外，RB1 功能失活几乎普遍存在于 EGFR 突变肺腺癌经 TKI 治疗后的小细胞转化病例中，结合 </w:t>
      </w:r>
      <w:r>
        <w:rPr>
          <w:rFonts w:hint="default" w:ascii="Arial Italic" w:hAnsi="Arial Italic" w:eastAsia="等线" w:cs="Arial Italic"/>
          <w:i/>
          <w:iCs/>
          <w:sz w:val="21"/>
          <w:szCs w:val="21"/>
        </w:rPr>
        <w:t xml:space="preserve">TP53 </w:t>
      </w:r>
      <w:r>
        <w:rPr>
          <w:rFonts w:ascii="Arial" w:hAnsi="Arial" w:eastAsia="等线" w:cs="Arial"/>
          <w:sz w:val="21"/>
          <w:szCs w:val="21"/>
        </w:rPr>
        <w:t xml:space="preserve">及 </w:t>
      </w:r>
      <w:r>
        <w:rPr>
          <w:rFonts w:hint="default" w:ascii="Arial Italic" w:hAnsi="Arial Italic" w:eastAsia="等线" w:cs="Arial Italic"/>
          <w:i/>
          <w:iCs/>
          <w:sz w:val="21"/>
          <w:szCs w:val="21"/>
        </w:rPr>
        <w:t>PTEN</w:t>
      </w:r>
      <w:r>
        <w:rPr>
          <w:rFonts w:ascii="Arial" w:hAnsi="Arial" w:eastAsia="等线" w:cs="Arial"/>
          <w:sz w:val="21"/>
          <w:szCs w:val="21"/>
        </w:rPr>
        <w:t xml:space="preserve"> 突变状态，可辅助临床诊断 EGFR 突变肺腺癌的 SCLC 转化</w:t>
      </w:r>
      <w:r>
        <w:rPr>
          <w:rFonts w:ascii="Arial" w:hAnsi="Arial" w:eastAsia="等线" w:cs="Arial"/>
          <w:sz w:val="21"/>
          <w:szCs w:val="21"/>
          <w:vertAlign w:val="superscript"/>
        </w:rPr>
        <w:fldChar w:fldCharType="begin"/>
      </w:r>
      <w:r>
        <w:instrText xml:space="preserve"> REF _Ref734437764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[24</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_Ref734471378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25]</w:t>
      </w:r>
      <w:r>
        <w:rPr>
          <w:rFonts w:hint="default" w:ascii="Arial" w:hAnsi="Arial" w:eastAsia="等线" w:cs="Arial"/>
          <w:sz w:val="21"/>
          <w:szCs w:val="21"/>
          <w:vertAlign w:val="superscript"/>
          <w:lang/>
        </w:rPr>
        <w:fldChar w:fldCharType="end"/>
      </w:r>
      <w:r>
        <w:rPr>
          <w:rFonts w:ascii="Arial" w:hAnsi="Arial" w:eastAsia="等线" w:cs="Arial"/>
          <w:sz w:val="21"/>
          <w:szCs w:val="21"/>
        </w:rPr>
        <w:t>。临床中整合 RB1/P16/Cyclin D1 通路表型、转录因子分型及免疫生态位特征，可更全面反映 SCLC 异质性</w:t>
      </w:r>
      <w:r>
        <w:rPr>
          <w:rFonts w:ascii="Arial" w:hAnsi="Arial" w:eastAsia="等线" w:cs="Arial"/>
          <w:sz w:val="21"/>
          <w:szCs w:val="21"/>
          <w:vertAlign w:val="superscript"/>
        </w:rPr>
        <w:fldChar w:fldCharType="begin"/>
      </w:r>
      <w:r>
        <w:instrText xml:space="preserve"> REF _Ref717513115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[5</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_Ref723412372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11</w:t>
      </w:r>
      <w:r>
        <w:rPr>
          <w:rFonts w:hint="default" w:ascii="Arial" w:hAnsi="Arial" w:eastAsia="等线" w:cs="Arial"/>
          <w:sz w:val="21"/>
          <w:szCs w:val="21"/>
          <w:vertAlign w:val="superscript"/>
          <w:lang/>
        </w:rPr>
        <w:fldChar w:fldCharType="end"/>
      </w:r>
      <w:r>
        <w:rPr>
          <w:rFonts w:hint="default" w:ascii="Arial" w:hAnsi="Arial" w:eastAsia="等线" w:cs="Arial"/>
          <w:sz w:val="21"/>
          <w:szCs w:val="21"/>
          <w:vertAlign w:val="superscript"/>
          <w:lang/>
        </w:rPr>
        <w:fldChar w:fldCharType="begin"/>
      </w:r>
      <w:r>
        <w:instrText xml:space="preserve"> REF _Ref726874614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17]</w:t>
      </w:r>
      <w:r>
        <w:rPr>
          <w:rFonts w:hint="default" w:ascii="Arial" w:hAnsi="Arial" w:eastAsia="等线" w:cs="Arial"/>
          <w:sz w:val="21"/>
          <w:szCs w:val="21"/>
          <w:vertAlign w:val="superscript"/>
          <w:lang/>
        </w:rPr>
        <w:fldChar w:fldCharType="end"/>
      </w:r>
      <w:r>
        <w:rPr>
          <w:rFonts w:ascii="Arial" w:hAnsi="Arial" w:eastAsia="等线" w:cs="Arial"/>
          <w:sz w:val="21"/>
          <w:szCs w:val="21"/>
        </w:rPr>
        <w:t>，为治疗选择提供精准依据。</w:t>
      </w:r>
    </w:p>
    <w:p w14:paraId="6A9FABF8">
      <w:pPr>
        <w:spacing w:before="300" w:after="120" w:line="288" w:lineRule="auto"/>
        <w:ind w:left="0"/>
        <w:jc w:val="both"/>
        <w:outlineLvl w:val="2"/>
        <w:rPr>
          <w:sz w:val="21"/>
          <w:szCs w:val="21"/>
        </w:rPr>
      </w:pPr>
      <w:bookmarkStart w:id="13" w:name="heading_13"/>
      <w:r>
        <w:rPr>
          <w:rFonts w:ascii="Arial" w:hAnsi="Arial" w:eastAsia="等线" w:cs="Arial"/>
          <w:b/>
          <w:sz w:val="21"/>
          <w:szCs w:val="21"/>
        </w:rPr>
        <w:t>4.2 在治疗方案选择上</w:t>
      </w:r>
      <w:bookmarkEnd w:id="13"/>
    </w:p>
    <w:p w14:paraId="7A1DC255">
      <w:pPr>
        <w:spacing w:before="120" w:after="120" w:line="288" w:lineRule="auto"/>
        <w:ind w:left="0" w:firstLine="420" w:firstLineChars="200"/>
        <w:jc w:val="both"/>
        <w:rPr>
          <w:sz w:val="21"/>
          <w:szCs w:val="21"/>
        </w:rPr>
      </w:pPr>
      <w:r>
        <w:rPr>
          <w:rFonts w:ascii="Arial" w:hAnsi="Arial" w:eastAsia="等线" w:cs="Arial"/>
          <w:sz w:val="21"/>
          <w:szCs w:val="21"/>
        </w:rPr>
        <w:t>基于通路状态的精准分子分型已直接指导 SCLC 的临床治疗决策。对于 RB1 野生型 SCLC 患者，其保留完整 RB1 功能，是 CDK4/6 抑制剂潜在获益人群。体外与小样本临床观察提示，RB1 功能保留病例对长效 CDK4/6 抑制剂存在应答，但客观缓解有限，提示单药长效 CDK4/6 抑制剂临床获益仍存在局限，需要联合其他通路药物提升疗效</w:t>
      </w:r>
      <w:r>
        <w:rPr>
          <w:rFonts w:ascii="Arial" w:hAnsi="Arial" w:eastAsia="等线" w:cs="Arial"/>
          <w:sz w:val="21"/>
          <w:szCs w:val="21"/>
          <w:vertAlign w:val="superscript"/>
        </w:rPr>
        <w:fldChar w:fldCharType="begin"/>
      </w:r>
      <w:r>
        <w:instrText xml:space="preserve"> REF _Ref723462793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[12]</w:t>
      </w:r>
      <w:r>
        <w:rPr>
          <w:rFonts w:ascii="Arial" w:hAnsi="Arial" w:eastAsia="等线" w:cs="Arial"/>
          <w:sz w:val="21"/>
          <w:szCs w:val="21"/>
          <w:vertAlign w:val="superscript"/>
        </w:rPr>
        <w:fldChar w:fldCharType="end"/>
      </w:r>
      <w:r>
        <w:rPr>
          <w:rFonts w:ascii="Arial" w:hAnsi="Arial" w:eastAsia="等线" w:cs="Arial"/>
          <w:sz w:val="21"/>
          <w:szCs w:val="21"/>
        </w:rPr>
        <w:t>。</w:t>
      </w:r>
    </w:p>
    <w:p w14:paraId="3CA3CB12">
      <w:pPr>
        <w:spacing w:before="120" w:after="120" w:line="288" w:lineRule="auto"/>
        <w:ind w:left="0"/>
        <w:jc w:val="both"/>
        <w:rPr>
          <w:sz w:val="21"/>
          <w:szCs w:val="21"/>
        </w:rPr>
      </w:pPr>
      <w:r>
        <w:rPr>
          <w:rFonts w:ascii="Arial" w:hAnsi="Arial" w:eastAsia="等线" w:cs="Arial"/>
          <w:sz w:val="21"/>
          <w:szCs w:val="21"/>
        </w:rPr>
        <w:t xml:space="preserve">值得注意的是 CDK4/6 抑制剂分为长效与短效两类：帕博西利、阿贝西利属于长效 CDK4/6 抑制剂，主要用于肿瘤细胞周期抑制；曲拉西利为短效 CDK4/6 抑制剂，并不以杀伤肿瘤细胞为目的，主要作用为短暂阻滞正常骨髓细胞 G1/S 周期，发挥骨髓保护作用；在 SCLC 化疗、免疫联合化疗场景中，曲拉西利可降低化疗诱导中性粒细胞减少的发生率，改善化疗耐受性，已经在国内外指南中推荐用于广泛期 SCLC 化疗阶段的骨髓保护，但曲拉西利本身抗肿瘤作用有限，不用于直接杀伤 SCLC 肿瘤细胞。针对该亚型常伴有的 </w:t>
      </w:r>
      <w:r>
        <w:rPr>
          <w:rFonts w:hint="default" w:ascii="Arial Italic" w:hAnsi="Arial Italic" w:eastAsia="等线" w:cs="Arial Italic"/>
          <w:i/>
          <w:iCs/>
          <w:sz w:val="21"/>
          <w:szCs w:val="21"/>
        </w:rPr>
        <w:t>CCND1</w:t>
      </w:r>
      <w:r>
        <w:rPr>
          <w:rFonts w:ascii="Arial" w:hAnsi="Arial" w:eastAsia="等线" w:cs="Arial"/>
          <w:sz w:val="21"/>
          <w:szCs w:val="21"/>
        </w:rPr>
        <w:t xml:space="preserve"> 扩增特征，联合 PI3K‑AKT‑mTOR 通路抑制剂进行治疗，可进一步提升靶向治疗效果</w:t>
      </w:r>
      <w:r>
        <w:rPr>
          <w:rFonts w:ascii="Arial" w:hAnsi="Arial" w:eastAsia="等线" w:cs="Arial"/>
          <w:sz w:val="21"/>
          <w:szCs w:val="21"/>
          <w:vertAlign w:val="superscript"/>
        </w:rPr>
        <w:fldChar w:fldCharType="begin"/>
      </w:r>
      <w:r>
        <w:instrText xml:space="preserve"> REF _Ref725177107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[16]</w:t>
      </w:r>
      <w:r>
        <w:rPr>
          <w:rFonts w:ascii="Arial" w:hAnsi="Arial" w:eastAsia="等线" w:cs="Arial"/>
          <w:sz w:val="21"/>
          <w:szCs w:val="21"/>
          <w:vertAlign w:val="superscript"/>
        </w:rPr>
        <w:fldChar w:fldCharType="end"/>
      </w:r>
      <w:r>
        <w:rPr>
          <w:rFonts w:ascii="Arial" w:hAnsi="Arial" w:eastAsia="等线" w:cs="Arial"/>
          <w:sz w:val="21"/>
          <w:szCs w:val="21"/>
        </w:rPr>
        <w:t>。</w:t>
      </w:r>
    </w:p>
    <w:p w14:paraId="3B3FAE6C">
      <w:pPr>
        <w:spacing w:before="120" w:after="120" w:line="288" w:lineRule="auto"/>
        <w:ind w:left="0" w:firstLine="420" w:firstLineChars="200"/>
        <w:jc w:val="both"/>
        <w:rPr>
          <w:sz w:val="21"/>
          <w:szCs w:val="21"/>
        </w:rPr>
      </w:pPr>
      <w:r>
        <w:rPr>
          <w:rFonts w:ascii="Arial" w:hAnsi="Arial" w:eastAsia="等线" w:cs="Arial"/>
          <w:sz w:val="21"/>
          <w:szCs w:val="21"/>
        </w:rPr>
        <w:t>RB1 失活型 SCLC 对长效 CDK4/6 抑制剂原发耐药，可采用聚腺苷二磷酸核糖聚合酶（poly ADP‑ribose polymerase, PARP）、毛细血管扩张性共济失调突变基因（ataxia telangiectasia and Rad3‑related kinase, ATR）等合成致死药物，并可针对转移机制使用 HDAC 抑制剂</w:t>
      </w:r>
      <w:r>
        <w:rPr>
          <w:rFonts w:ascii="Arial" w:hAnsi="Arial" w:eastAsia="等线" w:cs="Arial"/>
          <w:sz w:val="21"/>
          <w:szCs w:val="21"/>
          <w:vertAlign w:val="superscript"/>
        </w:rPr>
        <w:fldChar w:fldCharType="begin"/>
      </w:r>
      <w:r>
        <w:instrText xml:space="preserve"> REF _Ref724588862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[13</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_Ref728975489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19]</w:t>
      </w:r>
      <w:r>
        <w:rPr>
          <w:rFonts w:hint="default" w:ascii="Arial" w:hAnsi="Arial" w:eastAsia="等线" w:cs="Arial"/>
          <w:sz w:val="21"/>
          <w:szCs w:val="21"/>
          <w:vertAlign w:val="superscript"/>
          <w:lang/>
        </w:rPr>
        <w:fldChar w:fldCharType="end"/>
      </w:r>
      <w:r>
        <w:rPr>
          <w:rFonts w:ascii="Arial" w:hAnsi="Arial" w:eastAsia="等线" w:cs="Arial"/>
          <w:sz w:val="21"/>
          <w:szCs w:val="21"/>
        </w:rPr>
        <w:t>；其氧化磷酸化依赖特征也成为新药研发靶点</w:t>
      </w:r>
      <w:r>
        <w:rPr>
          <w:rFonts w:ascii="Arial" w:hAnsi="Arial" w:eastAsia="等线" w:cs="Arial"/>
          <w:sz w:val="21"/>
          <w:szCs w:val="21"/>
          <w:vertAlign w:val="superscript"/>
        </w:rPr>
        <w:fldChar w:fldCharType="begin"/>
      </w:r>
      <w:r>
        <w:instrText xml:space="preserve"> REF _Ref728992296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[20]</w:t>
      </w:r>
      <w:r>
        <w:rPr>
          <w:rFonts w:ascii="Arial" w:hAnsi="Arial" w:eastAsia="等线" w:cs="Arial"/>
          <w:sz w:val="21"/>
          <w:szCs w:val="21"/>
          <w:vertAlign w:val="superscript"/>
        </w:rPr>
        <w:fldChar w:fldCharType="end"/>
      </w:r>
      <w:r>
        <w:rPr>
          <w:rFonts w:ascii="Arial" w:hAnsi="Arial" w:eastAsia="等线" w:cs="Arial"/>
          <w:sz w:val="21"/>
          <w:szCs w:val="21"/>
        </w:rPr>
        <w:t>。免疫治疗方面，具有特定免疫微环境特征的 RB1 野生型患者，从免疫治疗中获益的可能性更显著</w:t>
      </w:r>
      <w:r>
        <w:rPr>
          <w:rFonts w:ascii="Arial" w:hAnsi="Arial" w:eastAsia="等线" w:cs="Arial"/>
          <w:sz w:val="21"/>
          <w:szCs w:val="21"/>
          <w:vertAlign w:val="superscript"/>
        </w:rPr>
        <w:fldChar w:fldCharType="begin"/>
      </w:r>
      <w:r>
        <w:instrText xml:space="preserve"> REF _Ref716050906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[26</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_Ref716084520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27]</w:t>
      </w:r>
      <w:r>
        <w:rPr>
          <w:rFonts w:hint="default" w:ascii="Arial" w:hAnsi="Arial" w:eastAsia="等线" w:cs="Arial"/>
          <w:sz w:val="21"/>
          <w:szCs w:val="21"/>
          <w:vertAlign w:val="superscript"/>
          <w:lang/>
        </w:rPr>
        <w:fldChar w:fldCharType="end"/>
      </w:r>
      <w:r>
        <w:rPr>
          <w:rFonts w:ascii="Arial" w:hAnsi="Arial" w:eastAsia="等线" w:cs="Arial"/>
          <w:sz w:val="21"/>
          <w:szCs w:val="21"/>
        </w:rPr>
        <w:t>。此外，针对 DLL3 的双特异性抗体和抗体偶联药物（antibody‑drug conjugate, ADC）等新兴疗法，为复发难治性 SCLC 患者，尤其是神经内分泌特征显著的 RB1 失活型患者，提供了新的治疗选择</w:t>
      </w:r>
      <w:r>
        <w:rPr>
          <w:rFonts w:ascii="Arial" w:hAnsi="Arial" w:eastAsia="等线" w:cs="Arial"/>
          <w:sz w:val="21"/>
          <w:szCs w:val="21"/>
          <w:vertAlign w:val="superscript"/>
        </w:rPr>
        <w:fldChar w:fldCharType="begin"/>
      </w:r>
      <w:r>
        <w:instrText xml:space="preserve"> REF _Ref737715129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[28</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_Ref737748743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29]</w:t>
      </w:r>
      <w:r>
        <w:rPr>
          <w:rFonts w:hint="default" w:ascii="Arial" w:hAnsi="Arial" w:eastAsia="等线" w:cs="Arial"/>
          <w:sz w:val="21"/>
          <w:szCs w:val="21"/>
          <w:vertAlign w:val="superscript"/>
          <w:lang/>
        </w:rPr>
        <w:fldChar w:fldCharType="end"/>
      </w:r>
      <w:r>
        <w:rPr>
          <w:rFonts w:ascii="Arial" w:hAnsi="Arial" w:eastAsia="等线" w:cs="Arial"/>
          <w:sz w:val="21"/>
          <w:szCs w:val="21"/>
        </w:rPr>
        <w:t>。</w:t>
      </w:r>
    </w:p>
    <w:p w14:paraId="324287B8">
      <w:pPr>
        <w:spacing w:before="300" w:after="120" w:line="288" w:lineRule="auto"/>
        <w:ind w:left="0"/>
        <w:jc w:val="both"/>
        <w:outlineLvl w:val="2"/>
        <w:rPr>
          <w:sz w:val="21"/>
          <w:szCs w:val="21"/>
        </w:rPr>
      </w:pPr>
      <w:bookmarkStart w:id="14" w:name="heading_14"/>
      <w:r>
        <w:rPr>
          <w:rFonts w:ascii="Arial" w:hAnsi="Arial" w:eastAsia="等线" w:cs="Arial"/>
          <w:b/>
          <w:sz w:val="21"/>
          <w:szCs w:val="21"/>
        </w:rPr>
        <w:t>4.3 疾病演化监测方面</w:t>
      </w:r>
      <w:bookmarkEnd w:id="14"/>
    </w:p>
    <w:p w14:paraId="638F61CD">
      <w:pPr>
        <w:spacing w:before="120" w:after="120" w:line="288" w:lineRule="auto"/>
        <w:ind w:left="0" w:firstLine="420" w:firstLineChars="200"/>
        <w:jc w:val="both"/>
        <w:rPr>
          <w:sz w:val="21"/>
          <w:szCs w:val="21"/>
        </w:rPr>
      </w:pPr>
      <w:bookmarkStart w:id="49" w:name="_GoBack"/>
      <w:r>
        <w:rPr>
          <w:rFonts w:hint="default" w:ascii="Arial Italic" w:hAnsi="Arial Italic" w:eastAsia="等线" w:cs="Arial Italic"/>
          <w:i/>
          <w:iCs/>
          <w:sz w:val="21"/>
          <w:szCs w:val="21"/>
        </w:rPr>
        <w:t>RB1/TP53</w:t>
      </w:r>
      <w:bookmarkEnd w:id="49"/>
      <w:r>
        <w:rPr>
          <w:rFonts w:ascii="Arial" w:hAnsi="Arial" w:eastAsia="等线" w:cs="Arial"/>
          <w:sz w:val="21"/>
          <w:szCs w:val="21"/>
        </w:rPr>
        <w:t xml:space="preserve"> 共失活是非小细胞肺癌向 SCLC 转化的核心事件。临床需对高危患者行基因检测，并通过循环肿瘤 DNA（ctDNA）联合血液肿瘤突变负荷（blood tumor mutational burden，bTMB）与微小残留病灶（minimal residual disease，MRD）进行动态监测，早期预警转化、评估疗效并调整方案</w:t>
      </w:r>
      <w:r>
        <w:rPr>
          <w:rFonts w:ascii="Arial" w:hAnsi="Arial" w:eastAsia="等线" w:cs="Arial"/>
          <w:sz w:val="21"/>
          <w:szCs w:val="21"/>
          <w:vertAlign w:val="superscript"/>
        </w:rPr>
        <w:fldChar w:fldCharType="begin"/>
      </w:r>
      <w:r>
        <w:instrText xml:space="preserve"> REF _Ref734437764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[24</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_Ref734471378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25</w:t>
      </w:r>
      <w:r>
        <w:rPr>
          <w:rFonts w:hint="default" w:ascii="Arial" w:hAnsi="Arial" w:eastAsia="等线" w:cs="Arial"/>
          <w:sz w:val="21"/>
          <w:szCs w:val="21"/>
          <w:vertAlign w:val="superscript"/>
          <w:lang/>
        </w:rPr>
        <w:fldChar w:fldCharType="end"/>
      </w:r>
      <w:r>
        <w:rPr>
          <w:rFonts w:hint="default" w:ascii="Arial" w:hAnsi="Arial" w:eastAsia="等线" w:cs="Arial"/>
          <w:sz w:val="21"/>
          <w:szCs w:val="21"/>
          <w:vertAlign w:val="superscript"/>
          <w:lang/>
        </w:rPr>
        <w:fldChar w:fldCharType="begin"/>
      </w:r>
      <w:r>
        <w:instrText xml:space="preserve"> REF _Ref738286567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30]</w:t>
      </w:r>
      <w:r>
        <w:rPr>
          <w:rFonts w:hint="default" w:ascii="Arial" w:hAnsi="Arial" w:eastAsia="等线" w:cs="Arial"/>
          <w:sz w:val="21"/>
          <w:szCs w:val="21"/>
          <w:vertAlign w:val="superscript"/>
          <w:lang/>
        </w:rPr>
        <w:fldChar w:fldCharType="end"/>
      </w:r>
      <w:r>
        <w:rPr>
          <w:rFonts w:ascii="Arial" w:hAnsi="Arial" w:eastAsia="等线" w:cs="Arial"/>
          <w:sz w:val="21"/>
          <w:szCs w:val="21"/>
        </w:rPr>
        <w:t>。病理工作中，RB1/P16/Cyclin D1 免疫组化可作为廉价便捷的初筛手段，辅助提示分子水平的通路改变，弥补液体活检在基层单位不可及的短板。</w:t>
      </w:r>
    </w:p>
    <w:p w14:paraId="4FE98199">
      <w:pPr>
        <w:spacing w:before="320" w:after="120" w:line="288" w:lineRule="auto"/>
        <w:ind w:left="0"/>
        <w:jc w:val="both"/>
        <w:outlineLvl w:val="1"/>
        <w:rPr>
          <w:sz w:val="21"/>
          <w:szCs w:val="21"/>
        </w:rPr>
      </w:pPr>
      <w:bookmarkStart w:id="15" w:name="heading_15"/>
      <w:r>
        <w:rPr>
          <w:rFonts w:ascii="Arial" w:hAnsi="Arial" w:eastAsia="等线" w:cs="Arial"/>
          <w:b/>
          <w:sz w:val="21"/>
          <w:szCs w:val="21"/>
        </w:rPr>
        <w:t>5</w:t>
      </w:r>
      <w:r>
        <w:rPr>
          <w:rFonts w:hint="eastAsia" w:ascii="Arial" w:hAnsi="Arial" w:eastAsia="等线" w:cs="Arial"/>
          <w:b/>
          <w:sz w:val="21"/>
          <w:szCs w:val="21"/>
          <w:lang w:eastAsia="zh-CN"/>
        </w:rPr>
        <w:t>.</w:t>
      </w:r>
      <w:r>
        <w:rPr>
          <w:rFonts w:ascii="Arial" w:hAnsi="Arial" w:eastAsia="等线" w:cs="Arial"/>
          <w:b/>
          <w:sz w:val="21"/>
          <w:szCs w:val="21"/>
        </w:rPr>
        <w:t>研究挑战与未来方向</w:t>
      </w:r>
      <w:bookmarkEnd w:id="15"/>
    </w:p>
    <w:p w14:paraId="74CC70A0">
      <w:pPr>
        <w:spacing w:before="120" w:after="120" w:line="288" w:lineRule="auto"/>
        <w:ind w:left="0" w:firstLine="420" w:firstLineChars="200"/>
        <w:jc w:val="both"/>
        <w:rPr>
          <w:sz w:val="21"/>
          <w:szCs w:val="21"/>
        </w:rPr>
      </w:pPr>
      <w:r>
        <w:rPr>
          <w:rFonts w:ascii="Arial" w:hAnsi="Arial" w:eastAsia="等线" w:cs="Arial"/>
          <w:sz w:val="21"/>
          <w:szCs w:val="21"/>
        </w:rPr>
        <w:t>目前 SCLC 的诊疗仍面临诸多挑战：肿瘤异质性强，治疗诱导的表型转换易导致耐药</w:t>
      </w:r>
      <w:r>
        <w:rPr>
          <w:rFonts w:ascii="Arial" w:hAnsi="Arial" w:eastAsia="等线" w:cs="Arial"/>
          <w:sz w:val="21"/>
          <w:szCs w:val="21"/>
          <w:vertAlign w:val="superscript"/>
        </w:rPr>
        <w:fldChar w:fldCharType="begin"/>
      </w:r>
      <w:r>
        <w:instrText xml:space="preserve"> REF _Ref716756800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[3</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_Ref726874614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17]</w:t>
      </w:r>
      <w:r>
        <w:rPr>
          <w:rFonts w:hint="default" w:ascii="Arial" w:hAnsi="Arial" w:eastAsia="等线" w:cs="Arial"/>
          <w:sz w:val="21"/>
          <w:szCs w:val="21"/>
          <w:vertAlign w:val="superscript"/>
          <w:lang/>
        </w:rPr>
        <w:fldChar w:fldCharType="end"/>
      </w:r>
      <w:r>
        <w:rPr>
          <w:rFonts w:ascii="Arial" w:hAnsi="Arial" w:eastAsia="等线" w:cs="Arial"/>
          <w:sz w:val="21"/>
          <w:szCs w:val="21"/>
        </w:rPr>
        <w:t>，成为临床治疗的主要障碍。RB1、P16、Cyclin D1 的检测判读标准尚未统一，缺乏规范体系；基于通路的联合治疗及新型疗法仍待临床验证。双抗 / ADC 疗法及基于肿瘤空间异质性指导的个体化治疗，目前仍处于早期研究阶段，缺乏大样本临床研究数据的支持；RB1/P16/Cyclin D1 通路的协同调控机制尚未完全阐明，其与 Notch、DLL3 等 SCLC 其他核心通路的交叉作用仍不明确</w:t>
      </w:r>
      <w:r>
        <w:rPr>
          <w:rFonts w:ascii="Arial" w:hAnsi="Arial" w:eastAsia="等线" w:cs="Arial"/>
          <w:sz w:val="21"/>
          <w:szCs w:val="21"/>
          <w:vertAlign w:val="superscript"/>
        </w:rPr>
        <w:fldChar w:fldCharType="begin"/>
      </w:r>
      <w:r>
        <w:instrText xml:space="preserve"> REF _Ref737715129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[28</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_Ref737748743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29]</w:t>
      </w:r>
      <w:r>
        <w:rPr>
          <w:rFonts w:hint="default" w:ascii="Arial" w:hAnsi="Arial" w:eastAsia="等线" w:cs="Arial"/>
          <w:sz w:val="21"/>
          <w:szCs w:val="21"/>
          <w:vertAlign w:val="superscript"/>
          <w:lang/>
        </w:rPr>
        <w:fldChar w:fldCharType="end"/>
      </w:r>
      <w:r>
        <w:rPr>
          <w:rFonts w:ascii="Arial" w:hAnsi="Arial" w:eastAsia="等线" w:cs="Arial"/>
          <w:sz w:val="21"/>
          <w:szCs w:val="21"/>
        </w:rPr>
        <w:t>。未来应统一免疫组化判读规范，阐明耐药分子机制，优化联合治疗策略；结合多组学、空间转录组完善分子分型体系，推动通路标志物由实验室研究向临床常规病理检测转化</w:t>
      </w:r>
      <w:r>
        <w:rPr>
          <w:rFonts w:ascii="Arial" w:hAnsi="Arial" w:eastAsia="等线" w:cs="Arial"/>
          <w:sz w:val="21"/>
          <w:szCs w:val="21"/>
          <w:vertAlign w:val="superscript"/>
        </w:rPr>
        <w:fldChar w:fldCharType="begin"/>
      </w:r>
      <w:r>
        <w:instrText xml:space="preserve"> REF _Ref726874614 \r \h  \* MERGEFORMAT</w:instrText>
      </w:r>
      <w:r>
        <w:rPr>
          <w:rFonts w:ascii="Arial" w:hAnsi="Arial" w:eastAsia="等线" w:cs="Arial"/>
          <w:sz w:val="21"/>
          <w:szCs w:val="21"/>
          <w:vertAlign w:val="superscript"/>
        </w:rPr>
        <w:fldChar w:fldCharType="separate"/>
      </w:r>
      <w:r>
        <w:rPr>
          <w:rFonts w:ascii="Arial" w:hAnsi="Arial" w:eastAsia="等线" w:cs="Arial"/>
          <w:sz w:val="21"/>
          <w:szCs w:val="21"/>
          <w:vertAlign w:val="superscript"/>
        </w:rPr>
        <w:t>[17</w:t>
      </w:r>
      <w:r>
        <w:rPr>
          <w:rFonts w:ascii="Arial" w:hAnsi="Arial" w:eastAsia="等线" w:cs="Arial"/>
          <w:sz w:val="21"/>
          <w:szCs w:val="21"/>
          <w:vertAlign w:val="superscript"/>
        </w:rPr>
        <w:fldChar w:fldCharType="end"/>
      </w:r>
      <w:r>
        <w:rPr>
          <w:rFonts w:hint="default" w:ascii="Arial" w:hAnsi="Arial" w:eastAsia="等线" w:cs="Arial"/>
          <w:sz w:val="21"/>
          <w:szCs w:val="21"/>
          <w:vertAlign w:val="superscript"/>
          <w:lang/>
        </w:rPr>
        <w:fldChar w:fldCharType="begin"/>
      </w:r>
      <w:r>
        <w:instrText xml:space="preserve"> REF _Ref738286567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30</w:t>
      </w:r>
      <w:r>
        <w:rPr>
          <w:rFonts w:hint="default" w:ascii="Arial" w:hAnsi="Arial" w:eastAsia="等线" w:cs="Arial"/>
          <w:sz w:val="21"/>
          <w:szCs w:val="21"/>
          <w:vertAlign w:val="superscript"/>
          <w:lang/>
        </w:rPr>
        <w:fldChar w:fldCharType="end"/>
      </w:r>
      <w:r>
        <w:rPr>
          <w:rFonts w:hint="default" w:ascii="Arial" w:hAnsi="Arial" w:eastAsia="等线" w:cs="Arial"/>
          <w:sz w:val="21"/>
          <w:szCs w:val="21"/>
          <w:vertAlign w:val="superscript"/>
          <w:lang/>
        </w:rPr>
        <w:fldChar w:fldCharType="begin"/>
      </w:r>
      <w:r>
        <w:instrText xml:space="preserve"> REF _Ref740084916 \r \h  \* MERGEFORMAT</w:instrText>
      </w:r>
      <w:r>
        <w:rPr>
          <w:rFonts w:hint="default" w:ascii="Arial" w:hAnsi="Arial" w:eastAsia="等线" w:cs="Arial"/>
          <w:sz w:val="21"/>
          <w:szCs w:val="21"/>
          <w:vertAlign w:val="superscript"/>
          <w:lang/>
        </w:rPr>
        <w:fldChar w:fldCharType="separate"/>
      </w:r>
      <w:r>
        <w:rPr>
          <w:rFonts w:hint="eastAsia" w:ascii="Arial" w:hAnsi="Arial" w:eastAsia="等线" w:cs="Arial"/>
          <w:sz w:val="21"/>
          <w:szCs w:val="21"/>
          <w:vertAlign w:val="superscript"/>
          <w:lang w:eastAsia="zh-CN"/>
        </w:rPr>
        <w:t>，</w:t>
      </w:r>
      <w:r>
        <w:rPr>
          <w:rFonts w:hint="default" w:ascii="Arial" w:hAnsi="Arial" w:eastAsia="等线" w:cs="Arial"/>
          <w:sz w:val="21"/>
          <w:szCs w:val="21"/>
          <w:vertAlign w:val="superscript"/>
          <w:lang/>
        </w:rPr>
        <w:t>31]</w:t>
      </w:r>
      <w:r>
        <w:rPr>
          <w:rFonts w:hint="default" w:ascii="Arial" w:hAnsi="Arial" w:eastAsia="等线" w:cs="Arial"/>
          <w:sz w:val="21"/>
          <w:szCs w:val="21"/>
          <w:vertAlign w:val="superscript"/>
          <w:lang/>
        </w:rPr>
        <w:fldChar w:fldCharType="end"/>
      </w:r>
      <w:r>
        <w:rPr>
          <w:rFonts w:ascii="Arial" w:hAnsi="Arial" w:eastAsia="等线" w:cs="Arial"/>
          <w:sz w:val="21"/>
          <w:szCs w:val="21"/>
        </w:rPr>
        <w:t>。</w:t>
      </w:r>
    </w:p>
    <w:p w14:paraId="71C6F838">
      <w:pPr>
        <w:spacing w:before="320" w:after="120" w:line="288" w:lineRule="auto"/>
        <w:ind w:left="0"/>
        <w:jc w:val="both"/>
        <w:outlineLvl w:val="1"/>
        <w:rPr>
          <w:sz w:val="21"/>
          <w:szCs w:val="21"/>
        </w:rPr>
      </w:pPr>
      <w:bookmarkStart w:id="16" w:name="heading_16"/>
      <w:r>
        <w:rPr>
          <w:rFonts w:ascii="Arial" w:hAnsi="Arial" w:eastAsia="等线" w:cs="Arial"/>
          <w:b/>
          <w:sz w:val="21"/>
          <w:szCs w:val="21"/>
        </w:rPr>
        <w:t>6</w:t>
      </w:r>
      <w:r>
        <w:rPr>
          <w:rFonts w:hint="eastAsia" w:ascii="Arial" w:hAnsi="Arial" w:eastAsia="等线" w:cs="Arial"/>
          <w:b/>
          <w:sz w:val="21"/>
          <w:szCs w:val="21"/>
          <w:lang w:eastAsia="zh-CN"/>
        </w:rPr>
        <w:t>.</w:t>
      </w:r>
      <w:r>
        <w:rPr>
          <w:rFonts w:ascii="Arial" w:hAnsi="Arial" w:eastAsia="等线" w:cs="Arial"/>
          <w:b/>
          <w:sz w:val="21"/>
          <w:szCs w:val="21"/>
        </w:rPr>
        <w:t>结论</w:t>
      </w:r>
      <w:bookmarkEnd w:id="16"/>
    </w:p>
    <w:p w14:paraId="48A32ECD">
      <w:pPr>
        <w:spacing w:before="120" w:after="120" w:line="288" w:lineRule="auto"/>
        <w:ind w:left="0" w:firstLine="420" w:firstLineChars="200"/>
        <w:jc w:val="both"/>
        <w:rPr>
          <w:rFonts w:ascii="Arial" w:hAnsi="Arial" w:eastAsia="等线" w:cs="Arial"/>
          <w:sz w:val="21"/>
          <w:szCs w:val="21"/>
        </w:rPr>
      </w:pPr>
      <w:r>
        <w:rPr>
          <w:rFonts w:ascii="Arial" w:hAnsi="Arial" w:eastAsia="等线" w:cs="Arial"/>
          <w:sz w:val="21"/>
          <w:szCs w:val="21"/>
        </w:rPr>
        <w:t>SCLC 中 RB1/P16/Cyclin D1 通路存在 RB1 失活型与 RB1 野生型两种核心失衡模式，二者分子特征、临床行为及治疗敏感性截然不同。结合转录因子分型与空间多组学免疫生态位特征，可构建更精准的整合分型体系，指导病理诊断、预后分层与个体化治疗。将 RB1/P16/Cyclin D1 检测纳入 SCLC 常规分子筛查，对实现精准医疗、改善患者预后具有重要临床价值。未来需规范 SCLC 分子检测标准、阐明耐药机制、加速新药临床转化，推动治疗模式由传统化疗向精准靶向与免疫联合治疗转变，最终改善患者预后与生活质量。</w:t>
      </w:r>
    </w:p>
    <w:p w14:paraId="7D988895">
      <w:pPr>
        <w:spacing w:before="120" w:after="120" w:line="288" w:lineRule="auto"/>
        <w:ind w:left="0" w:firstLine="420" w:firstLineChars="200"/>
        <w:jc w:val="both"/>
        <w:rPr>
          <w:rFonts w:ascii="Arial" w:hAnsi="Arial" w:eastAsia="等线" w:cs="Arial"/>
          <w:sz w:val="21"/>
          <w:szCs w:val="21"/>
        </w:rPr>
      </w:pPr>
    </w:p>
    <w:p w14:paraId="3830EBAE">
      <w:pPr>
        <w:spacing w:before="120" w:after="120" w:line="288" w:lineRule="auto"/>
        <w:ind w:left="0" w:firstLine="420" w:firstLineChars="200"/>
        <w:jc w:val="both"/>
        <w:rPr>
          <w:rFonts w:ascii="Arial" w:hAnsi="Arial" w:eastAsia="等线" w:cs="Arial"/>
          <w:sz w:val="21"/>
          <w:szCs w:val="21"/>
        </w:rPr>
      </w:pPr>
    </w:p>
    <w:p w14:paraId="1FA93604">
      <w:pPr>
        <w:spacing w:before="120" w:after="120" w:line="288" w:lineRule="auto"/>
        <w:ind w:left="0" w:firstLine="420" w:firstLineChars="200"/>
        <w:jc w:val="both"/>
        <w:rPr>
          <w:rFonts w:ascii="Arial" w:hAnsi="Arial" w:eastAsia="等线" w:cs="Arial"/>
          <w:sz w:val="21"/>
          <w:szCs w:val="21"/>
        </w:rPr>
      </w:pPr>
    </w:p>
    <w:p w14:paraId="4B693E79">
      <w:pPr>
        <w:spacing w:before="120" w:after="120" w:line="288" w:lineRule="auto"/>
        <w:ind w:left="0" w:firstLine="420" w:firstLineChars="200"/>
        <w:jc w:val="both"/>
        <w:rPr>
          <w:rFonts w:ascii="Arial" w:hAnsi="Arial" w:eastAsia="等线" w:cs="Arial"/>
          <w:sz w:val="21"/>
          <w:szCs w:val="21"/>
        </w:rPr>
      </w:pPr>
    </w:p>
    <w:p w14:paraId="5F032641">
      <w:pPr>
        <w:spacing w:before="120" w:after="120" w:line="288" w:lineRule="auto"/>
        <w:ind w:left="0" w:firstLine="420" w:firstLineChars="200"/>
        <w:jc w:val="both"/>
        <w:rPr>
          <w:rFonts w:ascii="Arial" w:hAnsi="Arial" w:eastAsia="等线" w:cs="Arial"/>
          <w:sz w:val="21"/>
          <w:szCs w:val="21"/>
        </w:rPr>
      </w:pPr>
    </w:p>
    <w:p w14:paraId="32DBB500">
      <w:pPr>
        <w:spacing w:before="120" w:after="120" w:line="288" w:lineRule="auto"/>
        <w:ind w:left="0" w:firstLine="420" w:firstLineChars="200"/>
        <w:jc w:val="both"/>
        <w:rPr>
          <w:rFonts w:ascii="Arial" w:hAnsi="Arial" w:eastAsia="等线" w:cs="Arial"/>
          <w:sz w:val="21"/>
          <w:szCs w:val="21"/>
        </w:rPr>
      </w:pPr>
    </w:p>
    <w:p w14:paraId="0C02026E">
      <w:pPr>
        <w:spacing w:before="320" w:after="120" w:line="288" w:lineRule="auto"/>
        <w:ind w:left="0"/>
        <w:jc w:val="center"/>
        <w:outlineLvl w:val="1"/>
        <w:rPr>
          <w:sz w:val="21"/>
          <w:szCs w:val="21"/>
        </w:rPr>
      </w:pPr>
      <w:bookmarkStart w:id="17" w:name="heading_17"/>
      <w:r>
        <w:rPr>
          <w:rFonts w:ascii="Arial" w:hAnsi="Arial" w:eastAsia="等线" w:cs="Arial"/>
          <w:b/>
          <w:sz w:val="21"/>
          <w:szCs w:val="21"/>
        </w:rPr>
        <w:t>参考文献</w:t>
      </w:r>
      <w:bookmarkEnd w:id="17"/>
    </w:p>
    <w:p w14:paraId="115E67AE">
      <w:pPr>
        <w:numPr>
          <w:ilvl w:val="0"/>
          <w:numId w:val="1"/>
        </w:numPr>
        <w:spacing w:before="120" w:after="120" w:line="288" w:lineRule="auto"/>
        <w:ind w:left="425" w:leftChars="0" w:hanging="425" w:firstLineChars="0"/>
        <w:jc w:val="both"/>
        <w:rPr>
          <w:sz w:val="21"/>
          <w:szCs w:val="21"/>
        </w:rPr>
      </w:pPr>
      <w:bookmarkStart w:id="18" w:name="_Ref714840802"/>
      <w:r>
        <w:rPr>
          <w:rFonts w:ascii="Arial" w:hAnsi="Arial" w:eastAsia="等线" w:cs="Arial"/>
          <w:sz w:val="21"/>
          <w:szCs w:val="21"/>
        </w:rPr>
        <w:t>刘禄，杨娜，杨槐，等。肺小细胞癌临床病理特征分析 [J]. 临床医药实践，2020，29 (7):529‑532.</w:t>
      </w:r>
      <w:r>
        <w:rPr>
          <w:rFonts w:ascii="Arial" w:hAnsi="Arial" w:eastAsia="等线" w:cs="Arial"/>
          <w:sz w:val="21"/>
          <w:szCs w:val="21"/>
        </w:rPr>
        <w:br w:type="textWrapping"/>
      </w:r>
      <w:r>
        <w:rPr>
          <w:rFonts w:ascii="Arial" w:hAnsi="Arial" w:eastAsia="等线" w:cs="Arial"/>
          <w:sz w:val="21"/>
          <w:szCs w:val="21"/>
        </w:rPr>
        <w:t>Liu L, Yang N, Yang H, et al. Clinicopathological characteristics of small cell lung cancer [J]. Proceed Clin Med, 2020, 29 (7): 529‑532.</w:t>
      </w:r>
      <w:bookmarkEnd w:id="18"/>
    </w:p>
    <w:p w14:paraId="3D3BE728">
      <w:pPr>
        <w:numPr>
          <w:ilvl w:val="0"/>
          <w:numId w:val="1"/>
        </w:numPr>
        <w:spacing w:before="120" w:after="120" w:line="288" w:lineRule="auto"/>
        <w:ind w:left="425" w:leftChars="0" w:hanging="425" w:firstLineChars="0"/>
        <w:jc w:val="both"/>
        <w:rPr>
          <w:sz w:val="21"/>
          <w:szCs w:val="21"/>
        </w:rPr>
      </w:pPr>
      <w:bookmarkStart w:id="19" w:name="_Ref715664345"/>
      <w:r>
        <w:rPr>
          <w:rFonts w:ascii="Arial" w:hAnsi="Arial" w:eastAsia="等线" w:cs="Arial"/>
          <w:sz w:val="21"/>
          <w:szCs w:val="21"/>
        </w:rPr>
        <w:t>中国临床肿瘤学会指南工作委员会。中国临床肿瘤学会小细胞肺癌诊疗指南 2024 [M]. 北京：人民卫生出版社，2024.</w:t>
      </w:r>
      <w:r>
        <w:rPr>
          <w:rFonts w:ascii="Arial" w:hAnsi="Arial" w:eastAsia="等线" w:cs="Arial"/>
          <w:sz w:val="21"/>
          <w:szCs w:val="21"/>
        </w:rPr>
        <w:br w:type="textWrapping"/>
      </w:r>
      <w:r>
        <w:rPr>
          <w:rFonts w:ascii="Arial" w:hAnsi="Arial" w:eastAsia="等线" w:cs="Arial"/>
          <w:sz w:val="21"/>
          <w:szCs w:val="21"/>
        </w:rPr>
        <w:t>Chinese Society of Clinical Oncology Guidelines Working Committee. Chinese Society of Clinical Oncology guidelines for the diagnosis and treatment of small cell lung cancer 2024 [M]. Beijing: People’s Medical Publishing House, 2024.</w:t>
      </w:r>
      <w:bookmarkEnd w:id="19"/>
    </w:p>
    <w:p w14:paraId="192E4D8B">
      <w:pPr>
        <w:numPr>
          <w:ilvl w:val="0"/>
          <w:numId w:val="1"/>
        </w:numPr>
        <w:spacing w:before="120" w:after="120" w:line="288" w:lineRule="auto"/>
        <w:ind w:left="425" w:leftChars="0" w:hanging="425" w:firstLineChars="0"/>
        <w:jc w:val="both"/>
        <w:rPr>
          <w:sz w:val="21"/>
          <w:szCs w:val="21"/>
        </w:rPr>
      </w:pPr>
      <w:bookmarkStart w:id="20" w:name="_Ref716756800"/>
      <w:r>
        <w:rPr>
          <w:rFonts w:ascii="Arial" w:hAnsi="Arial" w:eastAsia="等线" w:cs="Arial"/>
          <w:sz w:val="21"/>
          <w:szCs w:val="21"/>
        </w:rPr>
        <w:t>Rudin C M, Poirier J T, Byers L A, et al. Small‑cell lung cancer: a disease of disrupted pathways[J]. Cell, 2021, 184(8): 2099‑2120.</w:t>
      </w:r>
      <w:bookmarkEnd w:id="20"/>
    </w:p>
    <w:p w14:paraId="715ADC72">
      <w:pPr>
        <w:numPr>
          <w:ilvl w:val="0"/>
          <w:numId w:val="1"/>
        </w:numPr>
        <w:spacing w:before="120" w:after="120" w:line="288" w:lineRule="auto"/>
        <w:ind w:left="425" w:leftChars="0" w:hanging="425" w:firstLineChars="0"/>
        <w:jc w:val="both"/>
        <w:rPr>
          <w:sz w:val="21"/>
          <w:szCs w:val="21"/>
        </w:rPr>
      </w:pPr>
      <w:bookmarkStart w:id="21" w:name="_Ref717160168"/>
      <w:r>
        <w:rPr>
          <w:rFonts w:ascii="Arial" w:hAnsi="Arial" w:eastAsia="等线" w:cs="Arial"/>
          <w:sz w:val="21"/>
          <w:szCs w:val="21"/>
        </w:rPr>
        <w:t>Febres‑Aldana C A, Chang J C, Ptashkin R, et al. Rb tumor suppressor in small cell lung cancer: combined genomic and IHC analysis with description of a distinct Rb‑proficient subset[J]. Clin Cancer Res, 2022, 28(21): 4702‑4713.</w:t>
      </w:r>
      <w:bookmarkEnd w:id="21"/>
    </w:p>
    <w:p w14:paraId="5FB92E97">
      <w:pPr>
        <w:numPr>
          <w:ilvl w:val="0"/>
          <w:numId w:val="1"/>
        </w:numPr>
        <w:spacing w:before="120" w:after="120" w:line="288" w:lineRule="auto"/>
        <w:ind w:left="425" w:leftChars="0" w:hanging="425" w:firstLineChars="0"/>
        <w:jc w:val="both"/>
        <w:rPr>
          <w:sz w:val="21"/>
          <w:szCs w:val="21"/>
        </w:rPr>
      </w:pPr>
      <w:bookmarkStart w:id="22" w:name="_Ref717513115"/>
      <w:r>
        <w:rPr>
          <w:rFonts w:ascii="Arial" w:hAnsi="Arial" w:eastAsia="等线" w:cs="Arial"/>
          <w:sz w:val="21"/>
          <w:szCs w:val="21"/>
        </w:rPr>
        <w:t>Baine M K, Hsieh M S, Lai W V, et al. SCLC subtypes defined by ASCL1, NEUROD1, POU2F3, and YAP1: a comprehensive immunohistochemical study[J]. J Thorac Oncol, 2020, 15(12): 1823‑1835.</w:t>
      </w:r>
      <w:bookmarkEnd w:id="22"/>
    </w:p>
    <w:p w14:paraId="32318A86">
      <w:pPr>
        <w:numPr>
          <w:ilvl w:val="0"/>
          <w:numId w:val="1"/>
        </w:numPr>
        <w:spacing w:before="120" w:after="120" w:line="288" w:lineRule="auto"/>
        <w:ind w:left="425" w:leftChars="0" w:hanging="425" w:firstLineChars="0"/>
        <w:jc w:val="both"/>
        <w:rPr>
          <w:sz w:val="21"/>
          <w:szCs w:val="21"/>
        </w:rPr>
      </w:pPr>
      <w:bookmarkStart w:id="23" w:name="_Ref717882869"/>
      <w:r>
        <w:rPr>
          <w:rFonts w:ascii="Arial" w:hAnsi="Arial" w:eastAsia="等线" w:cs="Arial"/>
          <w:sz w:val="21"/>
          <w:szCs w:val="21"/>
        </w:rPr>
        <w:t>Han S, Zhang Y, Li W, et al. The role of p16/Rb1 pathway in the regulation of cell cycle and tumor progression[J]. J Cancer Res Clin Oncol, 2022, 148(7): 1899‑1912.</w:t>
      </w:r>
      <w:bookmarkEnd w:id="23"/>
    </w:p>
    <w:p w14:paraId="2069A06A">
      <w:pPr>
        <w:numPr>
          <w:ilvl w:val="0"/>
          <w:numId w:val="1"/>
        </w:numPr>
        <w:spacing w:before="120" w:after="120" w:line="288" w:lineRule="auto"/>
        <w:ind w:left="425" w:leftChars="0" w:hanging="425" w:firstLineChars="0"/>
        <w:jc w:val="both"/>
        <w:rPr>
          <w:sz w:val="21"/>
          <w:szCs w:val="21"/>
        </w:rPr>
      </w:pPr>
      <w:bookmarkStart w:id="24" w:name="_Ref720235849"/>
      <w:r>
        <w:rPr>
          <w:rFonts w:ascii="Arial" w:hAnsi="Arial" w:eastAsia="等线" w:cs="Arial"/>
          <w:sz w:val="21"/>
          <w:szCs w:val="21"/>
        </w:rPr>
        <w:t>Dreyer J H, Hauck F, Barros M H, et al. pRb and Cyclin D1 complement p16 as surrogate markers for HPV in head and neck cancer[J]. Appl Immunohistochem Mol Morphol, 2022, 29(6): 566‑571.</w:t>
      </w:r>
      <w:bookmarkEnd w:id="24"/>
    </w:p>
    <w:p w14:paraId="7A82CA9F">
      <w:pPr>
        <w:numPr>
          <w:ilvl w:val="0"/>
          <w:numId w:val="1"/>
        </w:numPr>
        <w:spacing w:before="120" w:after="120" w:line="288" w:lineRule="auto"/>
        <w:ind w:left="425" w:leftChars="0" w:hanging="425" w:firstLineChars="0"/>
        <w:jc w:val="both"/>
        <w:rPr>
          <w:sz w:val="21"/>
          <w:szCs w:val="21"/>
        </w:rPr>
      </w:pPr>
      <w:bookmarkStart w:id="25" w:name="_Ref720740059"/>
      <w:r>
        <w:rPr>
          <w:rFonts w:ascii="Arial" w:hAnsi="Arial" w:eastAsia="等线" w:cs="Arial"/>
          <w:sz w:val="21"/>
          <w:szCs w:val="21"/>
        </w:rPr>
        <w:t>Liu Q, Zhang J, Guo C, et al. Proteogenomic characterization of small cell lung cancer identifies biological insights and subtype‑specific therapeutic strategies[J]. Cell, 2024, 187(1): 184‑203.e28.</w:t>
      </w:r>
      <w:bookmarkEnd w:id="25"/>
    </w:p>
    <w:p w14:paraId="3F2F4303">
      <w:pPr>
        <w:numPr>
          <w:ilvl w:val="0"/>
          <w:numId w:val="1"/>
        </w:numPr>
        <w:spacing w:before="120" w:after="120" w:line="288" w:lineRule="auto"/>
        <w:ind w:left="425" w:leftChars="0" w:hanging="425" w:firstLineChars="0"/>
        <w:jc w:val="both"/>
        <w:rPr>
          <w:sz w:val="21"/>
          <w:szCs w:val="21"/>
        </w:rPr>
      </w:pPr>
      <w:bookmarkStart w:id="26" w:name="_Ref720773673"/>
      <w:r>
        <w:rPr>
          <w:rFonts w:ascii="Arial" w:hAnsi="Arial" w:eastAsia="等线" w:cs="Arial"/>
          <w:sz w:val="21"/>
          <w:szCs w:val="21"/>
        </w:rPr>
        <w:t>Gay C M, Stewart C A, Park E M, et al. Patterns of transcription factor programs and immune pathway activation define four major subtypes of SCLC[J]. Cancer Cell, 2021, 39(3): 346‑360.e7.</w:t>
      </w:r>
      <w:bookmarkEnd w:id="26"/>
    </w:p>
    <w:p w14:paraId="0AC0D6CE">
      <w:pPr>
        <w:numPr>
          <w:ilvl w:val="0"/>
          <w:numId w:val="1"/>
        </w:numPr>
        <w:spacing w:before="120" w:after="120" w:line="288" w:lineRule="auto"/>
        <w:ind w:left="425" w:leftChars="0" w:hanging="425" w:firstLineChars="0"/>
        <w:jc w:val="both"/>
        <w:rPr>
          <w:sz w:val="21"/>
          <w:szCs w:val="21"/>
        </w:rPr>
      </w:pPr>
      <w:bookmarkStart w:id="27" w:name="_Ref721546795"/>
      <w:r>
        <w:rPr>
          <w:rFonts w:ascii="Arial" w:hAnsi="Arial" w:eastAsia="等线" w:cs="Arial"/>
          <w:sz w:val="21"/>
          <w:szCs w:val="21"/>
        </w:rPr>
        <w:t>Sonkin D, Thomas A, Teicher B A. Neuro‑endocrine negative SCLC is mostly RB1 wild‑type and sensitive to CDK4/6 inhibition[J]. Cancer Res, 2022, 82(13 Suppl): A1021.</w:t>
      </w:r>
      <w:bookmarkEnd w:id="27"/>
    </w:p>
    <w:p w14:paraId="76121F96">
      <w:pPr>
        <w:numPr>
          <w:ilvl w:val="0"/>
          <w:numId w:val="1"/>
        </w:numPr>
        <w:spacing w:before="120" w:after="120" w:line="288" w:lineRule="auto"/>
        <w:ind w:left="425" w:leftChars="0" w:hanging="425" w:firstLineChars="0"/>
        <w:jc w:val="both"/>
        <w:rPr>
          <w:sz w:val="21"/>
          <w:szCs w:val="21"/>
        </w:rPr>
      </w:pPr>
      <w:bookmarkStart w:id="28" w:name="_Ref723412372"/>
      <w:r>
        <w:rPr>
          <w:rFonts w:ascii="Arial" w:hAnsi="Arial" w:eastAsia="等线" w:cs="Arial"/>
          <w:sz w:val="21"/>
          <w:szCs w:val="21"/>
        </w:rPr>
        <w:t>Lazzari C, Karachaliou N, Altavilla G, et al. RB1 wild‑type small cell lung cancer: a distinct subtype with therapeutic implications[J]. J Thorac Oncol, 2022, 17(10): 1189‑1202.</w:t>
      </w:r>
      <w:bookmarkEnd w:id="28"/>
    </w:p>
    <w:p w14:paraId="238EE3AA">
      <w:pPr>
        <w:numPr>
          <w:ilvl w:val="0"/>
          <w:numId w:val="1"/>
        </w:numPr>
        <w:spacing w:before="120" w:after="120" w:line="288" w:lineRule="auto"/>
        <w:ind w:left="425" w:leftChars="0" w:hanging="425" w:firstLineChars="0"/>
        <w:jc w:val="both"/>
        <w:rPr>
          <w:sz w:val="21"/>
          <w:szCs w:val="21"/>
        </w:rPr>
      </w:pPr>
      <w:bookmarkStart w:id="29" w:name="_Ref723462793"/>
      <w:r>
        <w:rPr>
          <w:rFonts w:ascii="Arial" w:hAnsi="Arial" w:eastAsia="等线" w:cs="Arial"/>
          <w:sz w:val="21"/>
          <w:szCs w:val="21"/>
        </w:rPr>
        <w:t>Wildey G, Shay A M, McColl K S, et al. Retinoblastoma expression and targeting by CDK4/6 inhibitors in small cell lung cancer[J]. Mol Cancer Ther, 2023, 22(2): 264‑273.</w:t>
      </w:r>
      <w:bookmarkEnd w:id="29"/>
    </w:p>
    <w:p w14:paraId="382CD26B">
      <w:pPr>
        <w:numPr>
          <w:ilvl w:val="0"/>
          <w:numId w:val="1"/>
        </w:numPr>
        <w:spacing w:before="120" w:after="120" w:line="288" w:lineRule="auto"/>
        <w:ind w:left="425" w:leftChars="0" w:hanging="425" w:firstLineChars="0"/>
        <w:jc w:val="both"/>
        <w:rPr>
          <w:sz w:val="21"/>
          <w:szCs w:val="21"/>
        </w:rPr>
      </w:pPr>
      <w:bookmarkStart w:id="30" w:name="_Ref724588862"/>
      <w:r>
        <w:rPr>
          <w:rFonts w:ascii="Arial" w:hAnsi="Arial" w:eastAsia="等线" w:cs="Arial"/>
          <w:sz w:val="21"/>
          <w:szCs w:val="21"/>
        </w:rPr>
        <w:t>Ma J, Li L, Ma B, et al. MYC induces CDK4/6 inhibitor resistance by promoting pRB1 degradation[J]. Nat Commun, 2024,15(1):1871.</w:t>
      </w:r>
      <w:bookmarkEnd w:id="30"/>
    </w:p>
    <w:p w14:paraId="1D14ADBF">
      <w:pPr>
        <w:numPr>
          <w:ilvl w:val="0"/>
          <w:numId w:val="1"/>
        </w:numPr>
        <w:spacing w:before="120" w:after="120" w:line="288" w:lineRule="auto"/>
        <w:ind w:left="425" w:leftChars="0" w:hanging="425" w:firstLineChars="0"/>
        <w:jc w:val="both"/>
        <w:rPr>
          <w:sz w:val="21"/>
          <w:szCs w:val="21"/>
        </w:rPr>
      </w:pPr>
      <w:bookmarkStart w:id="31" w:name="_Ref724622476"/>
      <w:r>
        <w:rPr>
          <w:rFonts w:ascii="Arial" w:hAnsi="Arial" w:eastAsia="等线" w:cs="Arial"/>
          <w:sz w:val="21"/>
          <w:szCs w:val="21"/>
        </w:rPr>
        <w:t>Yehia L, Centomo M L, Pandolfi P P, et al. Rb1/Trp53/Pten triple knockout drives lung cancer heterogeneity[J]. J Thorac Oncol, 2023, 18(3): 260‑271.</w:t>
      </w:r>
      <w:bookmarkEnd w:id="31"/>
    </w:p>
    <w:p w14:paraId="267B0A5E">
      <w:pPr>
        <w:numPr>
          <w:ilvl w:val="0"/>
          <w:numId w:val="1"/>
        </w:numPr>
        <w:spacing w:before="120" w:after="120" w:line="288" w:lineRule="auto"/>
        <w:ind w:left="425" w:leftChars="0" w:hanging="425" w:firstLineChars="0"/>
        <w:jc w:val="both"/>
        <w:rPr>
          <w:sz w:val="21"/>
          <w:szCs w:val="21"/>
        </w:rPr>
      </w:pPr>
      <w:bookmarkStart w:id="32" w:name="_Ref725143493"/>
      <w:r>
        <w:rPr>
          <w:rFonts w:ascii="Arial" w:hAnsi="Arial" w:eastAsia="等线" w:cs="Arial"/>
          <w:sz w:val="21"/>
          <w:szCs w:val="21"/>
        </w:rPr>
        <w:t>Wu Z M, Su J H, Li F L, et al. YAP silencing by RB1 mutation is essential for small‑cell lung cancer metastasis[J]. Nat Commun, 2023,14(1):5916.</w:t>
      </w:r>
      <w:bookmarkEnd w:id="32"/>
    </w:p>
    <w:p w14:paraId="664FF9ED">
      <w:pPr>
        <w:numPr>
          <w:ilvl w:val="0"/>
          <w:numId w:val="1"/>
        </w:numPr>
        <w:spacing w:before="120" w:after="120" w:line="288" w:lineRule="auto"/>
        <w:ind w:left="425" w:leftChars="0" w:hanging="425" w:firstLineChars="0"/>
        <w:jc w:val="both"/>
        <w:rPr>
          <w:sz w:val="21"/>
          <w:szCs w:val="21"/>
        </w:rPr>
      </w:pPr>
      <w:bookmarkStart w:id="33" w:name="_Ref725177107"/>
      <w:r>
        <w:rPr>
          <w:rFonts w:ascii="Arial" w:hAnsi="Arial" w:eastAsia="等线" w:cs="Arial"/>
          <w:sz w:val="21"/>
          <w:szCs w:val="21"/>
        </w:rPr>
        <w:t>Otto A M. Warburg effect and tumor metabolism[J]. Cancer Metab, 2023,11(1):12.</w:t>
      </w:r>
      <w:bookmarkEnd w:id="33"/>
    </w:p>
    <w:p w14:paraId="48581494">
      <w:pPr>
        <w:numPr>
          <w:ilvl w:val="0"/>
          <w:numId w:val="1"/>
        </w:numPr>
        <w:spacing w:before="120" w:after="120" w:line="288" w:lineRule="auto"/>
        <w:ind w:left="425" w:leftChars="0" w:hanging="425" w:firstLineChars="0"/>
        <w:jc w:val="both"/>
        <w:rPr>
          <w:sz w:val="21"/>
          <w:szCs w:val="21"/>
        </w:rPr>
      </w:pPr>
      <w:bookmarkStart w:id="34" w:name="_Ref726874614"/>
      <w:r>
        <w:rPr>
          <w:rFonts w:ascii="Arial" w:hAnsi="Arial" w:eastAsia="等线" w:cs="Arial"/>
          <w:sz w:val="21"/>
          <w:szCs w:val="21"/>
        </w:rPr>
        <w:t>Chen X, Li Y, Zhang H, et al. Integrative spatial analysis reveals tumor heterogeneity and immune colony niche related to clinical outcomes in small cell lung cancer[J]. Cancer Cell, 2025,43(3):456‑472.e8.</w:t>
      </w:r>
      <w:bookmarkEnd w:id="34"/>
    </w:p>
    <w:p w14:paraId="454A6F09">
      <w:pPr>
        <w:numPr>
          <w:ilvl w:val="0"/>
          <w:numId w:val="1"/>
        </w:numPr>
        <w:spacing w:before="120" w:after="120" w:line="288" w:lineRule="auto"/>
        <w:ind w:left="425" w:leftChars="0" w:hanging="425" w:firstLineChars="0"/>
        <w:jc w:val="both"/>
        <w:rPr>
          <w:sz w:val="21"/>
          <w:szCs w:val="21"/>
        </w:rPr>
      </w:pPr>
      <w:bookmarkStart w:id="35" w:name="_Ref728538507"/>
      <w:r>
        <w:rPr>
          <w:rFonts w:ascii="Arial" w:hAnsi="Arial" w:eastAsia="等线" w:cs="Arial"/>
          <w:sz w:val="21"/>
          <w:szCs w:val="21"/>
        </w:rPr>
        <w:t>Chen Y, He M, Dai Z, et al. Clinical and molecular profiling of EGFR‑mutant lung adenocarcinoma transformation to SCLC during TKI treatment[J]. Front Oncol, 2023, 13: 1124567.</w:t>
      </w:r>
      <w:bookmarkEnd w:id="35"/>
    </w:p>
    <w:p w14:paraId="6833F7D6">
      <w:pPr>
        <w:numPr>
          <w:ilvl w:val="0"/>
          <w:numId w:val="1"/>
        </w:numPr>
        <w:spacing w:before="120" w:after="120" w:line="288" w:lineRule="auto"/>
        <w:ind w:left="425" w:leftChars="0" w:hanging="425" w:firstLineChars="0"/>
        <w:jc w:val="both"/>
        <w:rPr>
          <w:sz w:val="21"/>
          <w:szCs w:val="21"/>
        </w:rPr>
      </w:pPr>
      <w:bookmarkStart w:id="36" w:name="_Ref728975489"/>
      <w:r>
        <w:rPr>
          <w:rFonts w:ascii="Arial" w:hAnsi="Arial" w:eastAsia="等线" w:cs="Arial"/>
          <w:sz w:val="21"/>
          <w:szCs w:val="21"/>
        </w:rPr>
        <w:t>Offin M, Chan J M, Tenet C, et al. Concurrent RB1 and TP53 alterations define a subset of EGFR‑mutant lung cancers at risk of histologic transformation[J]. J Thorac Oncol, 2023,18(4):567‑576.</w:t>
      </w:r>
      <w:bookmarkEnd w:id="36"/>
    </w:p>
    <w:p w14:paraId="4EFC72CF">
      <w:pPr>
        <w:numPr>
          <w:ilvl w:val="0"/>
          <w:numId w:val="1"/>
        </w:numPr>
        <w:spacing w:before="120" w:after="120" w:line="288" w:lineRule="auto"/>
        <w:ind w:left="425" w:leftChars="0" w:hanging="425" w:firstLineChars="0"/>
        <w:jc w:val="both"/>
        <w:rPr>
          <w:sz w:val="21"/>
          <w:szCs w:val="21"/>
        </w:rPr>
      </w:pPr>
      <w:bookmarkStart w:id="37" w:name="_Ref728992296"/>
      <w:r>
        <w:rPr>
          <w:rFonts w:ascii="Arial" w:hAnsi="Arial" w:eastAsia="等线" w:cs="Arial"/>
          <w:sz w:val="21"/>
          <w:szCs w:val="21"/>
        </w:rPr>
        <w:t>Mohan S, Foy V, Leong H, et al. Liquid biopsy in small cell lung cancer[J]. ESMO Open, 2025,10(1):100892.</w:t>
      </w:r>
      <w:bookmarkEnd w:id="37"/>
    </w:p>
    <w:p w14:paraId="6F511430">
      <w:pPr>
        <w:numPr>
          <w:ilvl w:val="0"/>
          <w:numId w:val="1"/>
        </w:numPr>
        <w:spacing w:before="120" w:after="120" w:line="288" w:lineRule="auto"/>
        <w:ind w:left="425" w:leftChars="0" w:hanging="425" w:firstLineChars="0"/>
        <w:jc w:val="both"/>
        <w:rPr>
          <w:sz w:val="21"/>
          <w:szCs w:val="21"/>
        </w:rPr>
      </w:pPr>
      <w:bookmarkStart w:id="38" w:name="_Ref730034330"/>
      <w:r>
        <w:rPr>
          <w:rFonts w:ascii="Arial" w:hAnsi="Arial" w:eastAsia="等线" w:cs="Arial"/>
          <w:sz w:val="21"/>
          <w:szCs w:val="21"/>
        </w:rPr>
        <w:t>陈威，谭敏华，黄文彦，等.CDK4、Cyclin D1、P16 在肺小细胞癌中的表达及意义 [J]. 黑龙江医学，2020，44 (11):1519‑1521.</w:t>
      </w:r>
      <w:r>
        <w:rPr>
          <w:rFonts w:ascii="Arial" w:hAnsi="Arial" w:eastAsia="等线" w:cs="Arial"/>
          <w:sz w:val="21"/>
          <w:szCs w:val="21"/>
        </w:rPr>
        <w:br w:type="textWrapping"/>
      </w:r>
      <w:r>
        <w:rPr>
          <w:rFonts w:ascii="Arial" w:hAnsi="Arial" w:eastAsia="等线" w:cs="Arial"/>
          <w:sz w:val="21"/>
          <w:szCs w:val="21"/>
        </w:rPr>
        <w:t>Chen W, Tan M H, Huang W Y, et al. Expression and significance of CDK4, Cyclin D1 and P16 in small cell lung cancer [J]. Heilongjiang Med J, 2020,44 (11):1519‑1521.</w:t>
      </w:r>
      <w:bookmarkEnd w:id="38"/>
    </w:p>
    <w:p w14:paraId="6187F04E">
      <w:pPr>
        <w:numPr>
          <w:ilvl w:val="0"/>
          <w:numId w:val="1"/>
        </w:numPr>
        <w:spacing w:before="120" w:after="120" w:line="288" w:lineRule="auto"/>
        <w:ind w:left="425" w:leftChars="0" w:hanging="425" w:firstLineChars="0"/>
        <w:jc w:val="both"/>
        <w:rPr>
          <w:sz w:val="21"/>
          <w:szCs w:val="21"/>
        </w:rPr>
      </w:pPr>
      <w:bookmarkStart w:id="39" w:name="_Ref733933554"/>
      <w:r>
        <w:rPr>
          <w:rFonts w:ascii="Arial" w:hAnsi="Arial" w:eastAsia="等线" w:cs="Arial"/>
          <w:sz w:val="21"/>
          <w:szCs w:val="21"/>
        </w:rPr>
        <w:t>Papaxoinis G, Bille A, McLean E, et al. Comparative study of Rb1, cyclin D1 and p16 immunohistochemistry expression to distinguish lung small‑cell carcinoma and large‑cell neuroendocrine carcinoma[J]. Histopathology, 2022, 81(2):205‑214.</w:t>
      </w:r>
      <w:bookmarkEnd w:id="39"/>
    </w:p>
    <w:p w14:paraId="2475218D">
      <w:pPr>
        <w:numPr>
          <w:ilvl w:val="0"/>
          <w:numId w:val="1"/>
        </w:numPr>
        <w:spacing w:before="120" w:after="120" w:line="288" w:lineRule="auto"/>
        <w:ind w:left="425" w:leftChars="0" w:hanging="425" w:firstLineChars="0"/>
        <w:jc w:val="both"/>
        <w:rPr>
          <w:sz w:val="21"/>
          <w:szCs w:val="21"/>
        </w:rPr>
      </w:pPr>
      <w:bookmarkStart w:id="40" w:name="_Ref733967168"/>
      <w:r>
        <w:rPr>
          <w:rFonts w:ascii="Arial" w:hAnsi="Arial" w:eastAsia="等线" w:cs="Arial"/>
          <w:sz w:val="21"/>
          <w:szCs w:val="21"/>
        </w:rPr>
        <w:t>王绿化，高禹舜，张莉，等。小细胞肺癌分子分型与精准治疗进展 [J]. 中华肿瘤杂志，2023，45 (6):417‑423.</w:t>
      </w:r>
      <w:r>
        <w:rPr>
          <w:rFonts w:ascii="Arial" w:hAnsi="Arial" w:eastAsia="等线" w:cs="Arial"/>
          <w:sz w:val="21"/>
          <w:szCs w:val="21"/>
        </w:rPr>
        <w:br w:type="textWrapping"/>
      </w:r>
      <w:r>
        <w:rPr>
          <w:rFonts w:ascii="Arial" w:hAnsi="Arial" w:eastAsia="等线" w:cs="Arial"/>
          <w:sz w:val="21"/>
          <w:szCs w:val="21"/>
        </w:rPr>
        <w:t>Wang L Y, Gao Y S, Zhang L, et al. Progress in molecular classification and precision therapy of small cell lung cancer [J]. Chin J Oncol, 2023,45 (6):417‑423.</w:t>
      </w:r>
      <w:bookmarkEnd w:id="40"/>
    </w:p>
    <w:p w14:paraId="2CD1DDBC">
      <w:pPr>
        <w:numPr>
          <w:ilvl w:val="0"/>
          <w:numId w:val="1"/>
        </w:numPr>
        <w:spacing w:before="120" w:after="120" w:line="288" w:lineRule="auto"/>
        <w:ind w:left="425" w:leftChars="0" w:hanging="425" w:firstLineChars="0"/>
        <w:jc w:val="both"/>
        <w:rPr>
          <w:sz w:val="21"/>
          <w:szCs w:val="21"/>
        </w:rPr>
      </w:pPr>
      <w:bookmarkStart w:id="41" w:name="_Ref734437764"/>
      <w:r>
        <w:rPr>
          <w:rFonts w:ascii="Arial" w:hAnsi="Arial" w:eastAsia="等线" w:cs="Arial"/>
          <w:sz w:val="21"/>
          <w:szCs w:val="21"/>
        </w:rPr>
        <w:t>全溪铷，陆舜.TP53 和 RB1 基因突变状态对广泛期小细胞肺癌免疫治疗疗效的预测价值 [J]. 肿瘤，2024，44 (6):683‑692.</w:t>
      </w:r>
      <w:r>
        <w:rPr>
          <w:rFonts w:ascii="Arial" w:hAnsi="Arial" w:eastAsia="等线" w:cs="Arial"/>
          <w:sz w:val="21"/>
          <w:szCs w:val="21"/>
        </w:rPr>
        <w:br w:type="textWrapping"/>
      </w:r>
      <w:r>
        <w:rPr>
          <w:rFonts w:ascii="Arial" w:hAnsi="Arial" w:eastAsia="等线" w:cs="Arial"/>
          <w:sz w:val="21"/>
          <w:szCs w:val="21"/>
        </w:rPr>
        <w:t>Quan X R, Lu S. Predictive value of TP53 and RB1 gene mutation status for immunotherapy efficacy in extensive‑stage small cell lung cancer [J]. Tumor, 2024,44 (6):683‑692.</w:t>
      </w:r>
      <w:bookmarkEnd w:id="41"/>
    </w:p>
    <w:p w14:paraId="7DE87C7A">
      <w:pPr>
        <w:numPr>
          <w:ilvl w:val="0"/>
          <w:numId w:val="1"/>
        </w:numPr>
        <w:spacing w:before="120" w:after="120" w:line="288" w:lineRule="auto"/>
        <w:ind w:left="425" w:leftChars="0" w:hanging="425" w:firstLineChars="0"/>
        <w:jc w:val="both"/>
        <w:rPr>
          <w:sz w:val="21"/>
          <w:szCs w:val="21"/>
        </w:rPr>
      </w:pPr>
      <w:bookmarkStart w:id="42" w:name="_Ref734471378"/>
      <w:r>
        <w:rPr>
          <w:rFonts w:ascii="Arial" w:hAnsi="Arial" w:eastAsia="等线" w:cs="Arial"/>
          <w:sz w:val="21"/>
          <w:szCs w:val="21"/>
        </w:rPr>
        <w:t>Herbreteau G, Langlais A, Greillier L, et al. Circulating tumor DNA as prognostic determinant in SCLC receiving atezolizumab[J]. J Clin Med, 2020,9(12):3861.</w:t>
      </w:r>
      <w:bookmarkEnd w:id="42"/>
    </w:p>
    <w:p w14:paraId="631DE30C">
      <w:pPr>
        <w:numPr>
          <w:ilvl w:val="0"/>
          <w:numId w:val="1"/>
        </w:numPr>
        <w:spacing w:before="120" w:after="120" w:line="288" w:lineRule="auto"/>
        <w:ind w:left="425" w:leftChars="0" w:hanging="425" w:firstLineChars="0"/>
        <w:jc w:val="both"/>
        <w:rPr>
          <w:sz w:val="21"/>
          <w:szCs w:val="21"/>
        </w:rPr>
      </w:pPr>
      <w:bookmarkStart w:id="43" w:name="_Ref716050906"/>
      <w:r>
        <w:rPr>
          <w:rFonts w:ascii="Arial" w:hAnsi="Arial" w:eastAsia="等线" w:cs="Arial"/>
          <w:sz w:val="21"/>
          <w:szCs w:val="21"/>
        </w:rPr>
        <w:t>王悦，罗振，赵阳。双特异性抗体在小细胞肺癌治疗中的研究进展 [J]. 中国肺癌杂志，2024，27 (3):189‑196.</w:t>
      </w:r>
      <w:r>
        <w:rPr>
          <w:rFonts w:ascii="Arial" w:hAnsi="Arial" w:eastAsia="等线" w:cs="Arial"/>
          <w:sz w:val="21"/>
          <w:szCs w:val="21"/>
        </w:rPr>
        <w:br w:type="textWrapping"/>
      </w:r>
      <w:r>
        <w:rPr>
          <w:rFonts w:ascii="Arial" w:hAnsi="Arial" w:eastAsia="等线" w:cs="Arial"/>
          <w:sz w:val="21"/>
          <w:szCs w:val="21"/>
        </w:rPr>
        <w:t>Wang Y, Luo Z, Zhao Y. Research progress of bispecific antibodies in the treatment of small cell lung cancer [J]. Chin J Lung Cancer, 2024,27 (3):189‑196.</w:t>
      </w:r>
      <w:bookmarkEnd w:id="43"/>
    </w:p>
    <w:p w14:paraId="496A0BDA">
      <w:pPr>
        <w:numPr>
          <w:ilvl w:val="0"/>
          <w:numId w:val="1"/>
        </w:numPr>
        <w:spacing w:before="120" w:after="120" w:line="288" w:lineRule="auto"/>
        <w:ind w:left="425" w:leftChars="0" w:hanging="425" w:firstLineChars="0"/>
        <w:jc w:val="both"/>
        <w:rPr>
          <w:sz w:val="21"/>
          <w:szCs w:val="21"/>
        </w:rPr>
      </w:pPr>
      <w:bookmarkStart w:id="44" w:name="_Ref716084520"/>
      <w:r>
        <w:rPr>
          <w:rFonts w:ascii="Arial" w:hAnsi="Arial" w:eastAsia="等线" w:cs="Arial"/>
          <w:sz w:val="21"/>
          <w:szCs w:val="21"/>
        </w:rPr>
        <w:t>李娟，张艳，王健。抗体偶联药物治疗小细胞肺癌研究现状与展望 [J]. 肿瘤防治研究，2023，50 (8):785‑790.</w:t>
      </w:r>
      <w:r>
        <w:rPr>
          <w:rFonts w:ascii="Arial" w:hAnsi="Arial" w:eastAsia="等线" w:cs="Arial"/>
          <w:sz w:val="21"/>
          <w:szCs w:val="21"/>
        </w:rPr>
        <w:br w:type="textWrapping"/>
      </w:r>
      <w:r>
        <w:rPr>
          <w:rFonts w:ascii="Arial" w:hAnsi="Arial" w:eastAsia="等线" w:cs="Arial"/>
          <w:sz w:val="21"/>
          <w:szCs w:val="21"/>
        </w:rPr>
        <w:t>Li J, Zhang Y, Wang J. Research status and prospect of antibody‑drug conjugates in small cell lung cancer [J]. Cancer Res Prev Treat, 2023,50 (8):785‑790.</w:t>
      </w:r>
      <w:bookmarkEnd w:id="44"/>
    </w:p>
    <w:p w14:paraId="130D0B6E">
      <w:pPr>
        <w:numPr>
          <w:ilvl w:val="0"/>
          <w:numId w:val="1"/>
        </w:numPr>
        <w:spacing w:before="120" w:after="120" w:line="288" w:lineRule="auto"/>
        <w:ind w:left="425" w:leftChars="0" w:hanging="425" w:firstLineChars="0"/>
        <w:jc w:val="both"/>
        <w:rPr>
          <w:sz w:val="21"/>
          <w:szCs w:val="21"/>
        </w:rPr>
      </w:pPr>
      <w:bookmarkStart w:id="45" w:name="_Ref737715129"/>
      <w:r>
        <w:rPr>
          <w:rFonts w:ascii="Arial" w:hAnsi="Arial" w:eastAsia="等线" w:cs="Arial"/>
          <w:sz w:val="21"/>
          <w:szCs w:val="21"/>
        </w:rPr>
        <w:t>齐燕君，李娟，刘敏。小细胞肺癌分子标志物临床应用研究 [J]. 中国现代医生，2023，61 (12):89‑92.</w:t>
      </w:r>
      <w:r>
        <w:rPr>
          <w:rFonts w:ascii="Arial" w:hAnsi="Arial" w:eastAsia="等线" w:cs="Arial"/>
          <w:sz w:val="21"/>
          <w:szCs w:val="21"/>
        </w:rPr>
        <w:br w:type="textWrapping"/>
      </w:r>
      <w:r>
        <w:rPr>
          <w:rFonts w:ascii="Arial" w:hAnsi="Arial" w:eastAsia="等线" w:cs="Arial"/>
          <w:sz w:val="21"/>
          <w:szCs w:val="21"/>
        </w:rPr>
        <w:t>Qi Y J, Li J, Liu M. Clinical application of molecular markers in small cell lung cancer [J]. China Mod Dr, 2023,61 (12):89‑92.</w:t>
      </w:r>
      <w:bookmarkEnd w:id="45"/>
    </w:p>
    <w:p w14:paraId="3A3E51DA">
      <w:pPr>
        <w:numPr>
          <w:ilvl w:val="0"/>
          <w:numId w:val="1"/>
        </w:numPr>
        <w:spacing w:before="120" w:after="120" w:line="288" w:lineRule="auto"/>
        <w:ind w:left="425" w:leftChars="0" w:hanging="425" w:firstLineChars="0"/>
        <w:jc w:val="both"/>
        <w:rPr>
          <w:sz w:val="21"/>
          <w:szCs w:val="21"/>
        </w:rPr>
      </w:pPr>
      <w:bookmarkStart w:id="46" w:name="_Ref737748743"/>
      <w:r>
        <w:rPr>
          <w:rFonts w:ascii="Arial" w:hAnsi="Arial" w:eastAsia="等线" w:cs="Arial"/>
          <w:sz w:val="21"/>
          <w:szCs w:val="21"/>
        </w:rPr>
        <w:t>中国医师协会肿瘤医师分会。中国小细胞肺癌精准诊疗专家共识 (2023 版)[J]. 中华肿瘤杂志，2023，45 (8):567‑574.</w:t>
      </w:r>
      <w:r>
        <w:rPr>
          <w:rFonts w:ascii="Arial" w:hAnsi="Arial" w:eastAsia="等线" w:cs="Arial"/>
          <w:sz w:val="21"/>
          <w:szCs w:val="21"/>
        </w:rPr>
        <w:br w:type="textWrapping"/>
      </w:r>
      <w:r>
        <w:rPr>
          <w:rFonts w:ascii="Arial" w:hAnsi="Arial" w:eastAsia="等线" w:cs="Arial"/>
          <w:sz w:val="21"/>
          <w:szCs w:val="21"/>
        </w:rPr>
        <w:t>Chinese Medical Doctor Association Oncologist Branch. Chinese expert consensus on precise diagnosis and treatment of small cell lung cancer (2023 edition)[J]. Chin J Oncol, 2023,45 (8):567‑574.</w:t>
      </w:r>
      <w:bookmarkEnd w:id="46"/>
    </w:p>
    <w:p w14:paraId="488655E1">
      <w:pPr>
        <w:numPr>
          <w:ilvl w:val="0"/>
          <w:numId w:val="1"/>
        </w:numPr>
        <w:spacing w:before="120" w:after="120" w:line="288" w:lineRule="auto"/>
        <w:ind w:left="425" w:leftChars="0" w:hanging="425" w:firstLineChars="0"/>
        <w:jc w:val="both"/>
        <w:rPr>
          <w:sz w:val="21"/>
          <w:szCs w:val="21"/>
        </w:rPr>
      </w:pPr>
      <w:bookmarkStart w:id="47" w:name="_Ref738286567"/>
      <w:r>
        <w:rPr>
          <w:rFonts w:ascii="Arial" w:hAnsi="Arial" w:eastAsia="等线" w:cs="Arial"/>
          <w:sz w:val="21"/>
          <w:szCs w:val="21"/>
        </w:rPr>
        <w:t>Sato T, Hamamoto J, Emoto K, et al. Epigenomic profiling identifies distinct neuroendocrine subtypes in lung cancer[J]. Cancer Res, 2022, 82(12 Suppl): 5715.</w:t>
      </w:r>
      <w:bookmarkEnd w:id="47"/>
    </w:p>
    <w:p w14:paraId="16898F37">
      <w:pPr>
        <w:numPr>
          <w:ilvl w:val="0"/>
          <w:numId w:val="1"/>
        </w:numPr>
        <w:spacing w:before="120" w:after="120" w:line="288" w:lineRule="auto"/>
        <w:ind w:left="425" w:leftChars="0" w:hanging="425" w:firstLineChars="0"/>
        <w:jc w:val="both"/>
        <w:rPr>
          <w:sz w:val="21"/>
          <w:szCs w:val="21"/>
        </w:rPr>
      </w:pPr>
      <w:bookmarkStart w:id="48" w:name="_Ref740084916"/>
      <w:r>
        <w:rPr>
          <w:rFonts w:ascii="Arial" w:hAnsi="Arial" w:eastAsia="等线" w:cs="Arial"/>
          <w:sz w:val="21"/>
          <w:szCs w:val="21"/>
        </w:rPr>
        <w:t>陈龙云。肺小细胞肺癌临床病理及分子特征研究 [D]. 北京：北京协和医学院，2022.</w:t>
      </w:r>
      <w:r>
        <w:rPr>
          <w:rFonts w:ascii="Arial" w:hAnsi="Arial" w:eastAsia="等线" w:cs="Arial"/>
          <w:sz w:val="21"/>
          <w:szCs w:val="21"/>
        </w:rPr>
        <w:br w:type="textWrapping"/>
      </w:r>
      <w:r>
        <w:rPr>
          <w:rFonts w:ascii="Arial" w:hAnsi="Arial" w:eastAsia="等线" w:cs="Arial"/>
          <w:sz w:val="21"/>
          <w:szCs w:val="21"/>
        </w:rPr>
        <w:t>Chen L Y. Study on clinicopathological and molecular characteristics of small cell lung cancer [D]. Beijing: Peking Union Medical College, 2022.</w:t>
      </w:r>
      <w:bookmarkEnd w:id="48"/>
    </w:p>
    <w:p w14:paraId="69FFE2AA">
      <w:pPr>
        <w:numPr>
          <w:ilvl w:val="0"/>
          <w:numId w:val="0"/>
        </w:numPr>
        <w:spacing w:before="120" w:after="120" w:line="288" w:lineRule="auto"/>
        <w:ind w:leftChars="0" w:firstLineChars="0"/>
        <w:jc w:val="both"/>
        <w:rPr>
          <w:rFonts w:hint="eastAsia" w:asciiTheme="majorEastAsia" w:hAnsiTheme="majorEastAsia" w:eastAsiaTheme="majorEastAsia" w:cstheme="majorEastAsia"/>
          <w:sz w:val="21"/>
          <w:szCs w:val="21"/>
        </w:rPr>
      </w:pPr>
    </w:p>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Times New Roman Regular">
    <w:panose1 w:val="02020503050405090304"/>
    <w:charset w:val="00"/>
    <w:family w:val="auto"/>
    <w:pitch w:val="default"/>
    <w:sig w:usb0="E0000AFF" w:usb1="00007843" w:usb2="00000001" w:usb3="00000000" w:csb0="400001BF" w:csb1="DFF70000"/>
  </w:font>
  <w:font w:name="Arial Unicode MS">
    <w:panose1 w:val="020B0604020202020204"/>
    <w:charset w:val="86"/>
    <w:family w:val="auto"/>
    <w:pitch w:val="default"/>
    <w:sig w:usb0="FFFFFFFF" w:usb1="E9FFFFFF" w:usb2="0000003F" w:usb3="00000000" w:csb0="603F01FF" w:csb1="FFFF0000"/>
  </w:font>
  <w:font w:name="宋体-简">
    <w:panose1 w:val="02010800040101010101"/>
    <w:charset w:val="86"/>
    <w:family w:val="auto"/>
    <w:pitch w:val="default"/>
    <w:sig w:usb0="00000001" w:usb1="080F0000" w:usb2="00000000" w:usb3="00000000" w:csb0="00040000"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Arial Italic">
    <w:panose1 w:val="020B06040202020902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A07B6"/>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2AC8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7E6C0E"/>
    <w:multiLevelType w:val="singleLevel"/>
    <w:tmpl w:val="ED7E6C0E"/>
    <w:lvl w:ilvl="0" w:tentative="0">
      <w:start w:val="1"/>
      <w:numFmt w:val="decimal"/>
      <w:lvlText w:val="[%1]"/>
      <w:lvlJc w:val="left"/>
      <w:pPr>
        <w:tabs>
          <w:tab w:val="left" w:pos="420"/>
        </w:tabs>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4"/>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7FAE38"/>
    <w:rsid w:val="5E5F8198"/>
    <w:rsid w:val="6C9FDED8"/>
    <w:rsid w:val="6FDEBE9D"/>
    <w:rsid w:val="71BF5E3E"/>
    <w:rsid w:val="73EC0F2C"/>
    <w:rsid w:val="75EEF51C"/>
    <w:rsid w:val="7BFFE2DC"/>
    <w:rsid w:val="7DFF4AFD"/>
    <w:rsid w:val="7F7D007E"/>
    <w:rsid w:val="7FBCA549"/>
    <w:rsid w:val="7FFFC962"/>
    <w:rsid w:val="AFEF62E5"/>
    <w:rsid w:val="B6FF3FE8"/>
    <w:rsid w:val="BD6FDD99"/>
    <w:rsid w:val="BEFD0ED1"/>
    <w:rsid w:val="CDC6208C"/>
    <w:rsid w:val="DC976EA0"/>
    <w:rsid w:val="DCF2BC81"/>
    <w:rsid w:val="E17D0BB0"/>
    <w:rsid w:val="F3E661BD"/>
    <w:rsid w:val="F3EAFF19"/>
    <w:rsid w:val="F7774FF1"/>
    <w:rsid w:val="F94CB6DA"/>
    <w:rsid w:val="FDFC643F"/>
    <w:rsid w:val="FFDE0A40"/>
    <w:rsid w:val="FFFA9D05"/>
    <w:rsid w:val="FFFC4D9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10</Pages>
  <TotalTime>40</TotalTime>
  <ScaleCrop>false</ScaleCrop>
  <LinksUpToDate>false</LinksUpToDate>
  <Application>WPS Office_12.1.25869.25869_F1E327BC-269C-435d-A152-05C5408002CA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2026-09-05T21:49:00Z</dcterms:created>
  <dc:creator>Apache POI</dc:creator>
  <cp:lastModifiedBy>Merry Christmas木辛习习</cp:lastModifiedBy>
  <dcterms:modified xsi:type="dcterms:W3CDTF">2026-09-02T22:01:48Z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{"Label":"1","ContentProducer":"001191110102MACQD9K64010000","ProduceID":"7680563494311316438","ReservedCode1":"","ContentPropagator":"","PropagateID":"","ReservedCode2":""}</vt:lpwstr>
  </property>
  <property fmtid="{D5CDD505-2E9C-101B-9397-08002B2CF9AE}" pid="3" name="KSOProductBuildVer">
    <vt:lpwstr>2052-12.1.25869.25869</vt:lpwstr>
  </property>
  <property fmtid="{D5CDD505-2E9C-101B-9397-08002B2CF9AE}" pid="4" name="ICV">
    <vt:lpwstr>8FEF7B071FE805D74C2C986AB963F68F_43</vt:lpwstr>
  </property>
</Properties>
</file>