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364C2C">
      <w:pPr>
        <w:spacing w:line="360" w:lineRule="auto"/>
        <w:jc w:val="center"/>
        <w:rPr>
          <w:rFonts w:ascii="Times New Roman" w:hAnsi="Times New Roman" w:cs="Times New Roman"/>
          <w:b/>
          <w:bCs/>
          <w:sz w:val="36"/>
          <w:szCs w:val="44"/>
          <w:highlight w:val="none"/>
        </w:rPr>
      </w:pPr>
      <w:bookmarkStart w:id="0" w:name="OLE_LINK8"/>
      <w:r>
        <w:rPr>
          <w:rFonts w:hint="eastAsia" w:ascii="Times New Roman" w:hAnsi="Times New Roman" w:cs="Times New Roman"/>
          <w:b/>
          <w:bCs/>
          <w:sz w:val="36"/>
          <w:szCs w:val="44"/>
          <w:highlight w:val="none"/>
          <w:lang w:eastAsia="zh-CN"/>
        </w:rPr>
        <w:t>2018—2023</w:t>
      </w:r>
      <w:r>
        <w:rPr>
          <w:rFonts w:hint="eastAsia" w:ascii="Times New Roman" w:hAnsi="Times New Roman" w:cs="Times New Roman"/>
          <w:b/>
          <w:bCs/>
          <w:sz w:val="36"/>
          <w:szCs w:val="44"/>
          <w:highlight w:val="none"/>
        </w:rPr>
        <w:t>四川省遂宁市恶性肿瘤流行特征及变化趋势分析</w:t>
      </w:r>
    </w:p>
    <w:p w14:paraId="7CA32620">
      <w:pPr>
        <w:spacing w:line="360" w:lineRule="auto"/>
        <w:jc w:val="center"/>
        <w:rPr>
          <w:rFonts w:ascii="Times New Roman" w:hAnsi="Times New Roman" w:cs="Times New Roman"/>
          <w:sz w:val="28"/>
          <w:szCs w:val="36"/>
          <w:highlight w:val="none"/>
          <w:vertAlign w:val="superscript"/>
        </w:rPr>
      </w:pPr>
      <w:r>
        <w:rPr>
          <w:rFonts w:hint="eastAsia" w:ascii="Times New Roman" w:hAnsi="Times New Roman" w:cs="Times New Roman"/>
          <w:sz w:val="28"/>
          <w:szCs w:val="36"/>
          <w:highlight w:val="none"/>
        </w:rPr>
        <w:t>张 松</w:t>
      </w:r>
      <w:r>
        <w:rPr>
          <w:rFonts w:hint="eastAsia" w:ascii="Times New Roman" w:hAnsi="Times New Roman" w:cs="Times New Roman"/>
          <w:sz w:val="28"/>
          <w:szCs w:val="36"/>
          <w:highlight w:val="none"/>
          <w:vertAlign w:val="superscript"/>
        </w:rPr>
        <w:t>1</w:t>
      </w:r>
      <w:r>
        <w:rPr>
          <w:rFonts w:hint="eastAsia" w:ascii="Times New Roman" w:hAnsi="Times New Roman" w:cs="Times New Roman"/>
          <w:sz w:val="28"/>
          <w:szCs w:val="36"/>
          <w:highlight w:val="none"/>
        </w:rPr>
        <w:t>，梁玉君</w:t>
      </w:r>
      <w:r>
        <w:rPr>
          <w:rFonts w:hint="eastAsia" w:ascii="Times New Roman" w:hAnsi="Times New Roman" w:cs="Times New Roman"/>
          <w:sz w:val="28"/>
          <w:szCs w:val="36"/>
          <w:highlight w:val="none"/>
          <w:vertAlign w:val="superscript"/>
        </w:rPr>
        <w:t>2</w:t>
      </w:r>
      <w:r>
        <w:rPr>
          <w:rFonts w:hint="eastAsia" w:ascii="Times New Roman" w:hAnsi="Times New Roman" w:cs="Times New Roman"/>
          <w:sz w:val="28"/>
          <w:szCs w:val="36"/>
          <w:highlight w:val="none"/>
        </w:rPr>
        <w:t>，杜</w:t>
      </w:r>
      <w:r>
        <w:rPr>
          <w:rFonts w:hint="eastAsia" w:ascii="Times New Roman" w:hAnsi="Times New Roman" w:cs="Times New Roman"/>
          <w:sz w:val="28"/>
          <w:szCs w:val="36"/>
          <w:highlight w:val="none"/>
          <w:lang w:val="en-US" w:eastAsia="zh-CN"/>
        </w:rPr>
        <w:t xml:space="preserve"> </w:t>
      </w:r>
      <w:r>
        <w:rPr>
          <w:rFonts w:hint="eastAsia" w:ascii="Times New Roman" w:hAnsi="Times New Roman" w:cs="Times New Roman"/>
          <w:sz w:val="28"/>
          <w:szCs w:val="36"/>
          <w:highlight w:val="none"/>
        </w:rPr>
        <w:t>恒</w:t>
      </w:r>
      <w:r>
        <w:rPr>
          <w:rFonts w:hint="eastAsia" w:ascii="Times New Roman" w:hAnsi="Times New Roman" w:cs="Times New Roman"/>
          <w:sz w:val="28"/>
          <w:szCs w:val="36"/>
          <w:highlight w:val="none"/>
          <w:vertAlign w:val="superscript"/>
        </w:rPr>
        <w:t>1</w:t>
      </w:r>
      <w:r>
        <w:rPr>
          <w:rFonts w:hint="eastAsia" w:ascii="Times New Roman" w:hAnsi="Times New Roman" w:cs="Times New Roman"/>
          <w:sz w:val="28"/>
          <w:szCs w:val="36"/>
          <w:highlight w:val="none"/>
          <w:lang w:eastAsia="zh-CN"/>
        </w:rPr>
        <w:t>，</w:t>
      </w:r>
      <w:r>
        <w:rPr>
          <w:rFonts w:hint="eastAsia" w:ascii="Times New Roman" w:hAnsi="Times New Roman" w:cs="Times New Roman"/>
          <w:sz w:val="28"/>
          <w:szCs w:val="36"/>
          <w:highlight w:val="none"/>
        </w:rPr>
        <w:t>杨继红</w:t>
      </w:r>
      <w:r>
        <w:rPr>
          <w:rFonts w:hint="eastAsia" w:ascii="Times New Roman" w:hAnsi="Times New Roman" w:cs="Times New Roman"/>
          <w:sz w:val="28"/>
          <w:szCs w:val="36"/>
          <w:highlight w:val="none"/>
          <w:vertAlign w:val="superscript"/>
        </w:rPr>
        <w:t>2</w:t>
      </w:r>
      <w:r>
        <w:rPr>
          <w:rFonts w:hint="eastAsia" w:ascii="Times New Roman" w:hAnsi="Times New Roman" w:cs="Times New Roman"/>
          <w:sz w:val="28"/>
          <w:szCs w:val="36"/>
          <w:highlight w:val="none"/>
        </w:rPr>
        <w:t>，卢</w:t>
      </w:r>
      <w:r>
        <w:rPr>
          <w:rFonts w:hint="eastAsia" w:ascii="Times New Roman" w:hAnsi="Times New Roman" w:cs="Times New Roman"/>
          <w:sz w:val="28"/>
          <w:szCs w:val="36"/>
          <w:highlight w:val="none"/>
          <w:lang w:val="en-US" w:eastAsia="zh-CN"/>
        </w:rPr>
        <w:t xml:space="preserve"> </w:t>
      </w:r>
      <w:r>
        <w:rPr>
          <w:rFonts w:hint="eastAsia" w:ascii="Times New Roman" w:hAnsi="Times New Roman" w:cs="Times New Roman"/>
          <w:sz w:val="28"/>
          <w:szCs w:val="36"/>
          <w:highlight w:val="none"/>
        </w:rPr>
        <w:t>婷</w:t>
      </w:r>
      <w:r>
        <w:rPr>
          <w:rFonts w:hint="eastAsia" w:ascii="Times New Roman" w:hAnsi="Times New Roman" w:cs="Times New Roman"/>
          <w:sz w:val="28"/>
          <w:szCs w:val="36"/>
          <w:highlight w:val="none"/>
          <w:vertAlign w:val="superscript"/>
        </w:rPr>
        <w:t>1</w:t>
      </w:r>
      <w:r>
        <w:rPr>
          <w:rFonts w:hint="eastAsia" w:ascii="Times New Roman" w:hAnsi="Times New Roman" w:cs="Times New Roman"/>
          <w:sz w:val="28"/>
          <w:szCs w:val="36"/>
          <w:highlight w:val="none"/>
          <w:lang w:eastAsia="zh-CN"/>
        </w:rPr>
        <w:t>，</w:t>
      </w:r>
      <w:r>
        <w:rPr>
          <w:rFonts w:hint="eastAsia" w:ascii="Times New Roman" w:hAnsi="Times New Roman" w:cs="Times New Roman"/>
          <w:sz w:val="28"/>
          <w:szCs w:val="36"/>
          <w:highlight w:val="none"/>
          <w:lang w:val="en-US" w:eastAsia="zh-CN"/>
        </w:rPr>
        <w:t>危 婷</w:t>
      </w:r>
      <w:r>
        <w:rPr>
          <w:rFonts w:hint="eastAsia" w:ascii="Times New Roman" w:hAnsi="Times New Roman" w:cs="Times New Roman"/>
          <w:sz w:val="28"/>
          <w:szCs w:val="36"/>
          <w:highlight w:val="none"/>
          <w:vertAlign w:val="superscript"/>
        </w:rPr>
        <w:t>1</w:t>
      </w:r>
      <w:r>
        <w:rPr>
          <w:rFonts w:hint="eastAsia" w:ascii="Times New Roman" w:hAnsi="Times New Roman" w:cs="Times New Roman"/>
          <w:sz w:val="28"/>
          <w:szCs w:val="36"/>
          <w:highlight w:val="none"/>
          <w:lang w:val="en-US" w:eastAsia="zh-CN"/>
        </w:rPr>
        <w:t>，</w:t>
      </w:r>
      <w:r>
        <w:rPr>
          <w:rFonts w:hint="eastAsia" w:ascii="Times New Roman" w:hAnsi="Times New Roman" w:cs="Times New Roman"/>
          <w:sz w:val="28"/>
          <w:szCs w:val="36"/>
          <w:highlight w:val="none"/>
        </w:rPr>
        <w:t>朱小凤</w:t>
      </w:r>
      <w:r>
        <w:rPr>
          <w:rFonts w:hint="eastAsia" w:ascii="Times New Roman" w:hAnsi="Times New Roman" w:cs="Times New Roman"/>
          <w:sz w:val="28"/>
          <w:szCs w:val="36"/>
          <w:highlight w:val="none"/>
          <w:vertAlign w:val="superscript"/>
        </w:rPr>
        <w:t>1</w:t>
      </w:r>
    </w:p>
    <w:p w14:paraId="6BDBD2FE">
      <w:pPr>
        <w:spacing w:line="360" w:lineRule="auto"/>
        <w:jc w:val="center"/>
        <w:rPr>
          <w:rFonts w:hint="eastAsia" w:ascii="Times New Roman" w:hAnsi="Times New Roman" w:cs="Times New Roman"/>
          <w:sz w:val="28"/>
          <w:szCs w:val="36"/>
          <w:highlight w:val="none"/>
        </w:rPr>
      </w:pPr>
      <w:r>
        <w:rPr>
          <w:rFonts w:hint="eastAsia" w:ascii="Times New Roman" w:hAnsi="Times New Roman" w:cs="Times New Roman"/>
          <w:sz w:val="28"/>
          <w:szCs w:val="36"/>
          <w:highlight w:val="none"/>
        </w:rPr>
        <w:t>（1.</w:t>
      </w:r>
      <w:r>
        <w:rPr>
          <w:rFonts w:ascii="Times New Roman" w:hAnsi="Times New Roman" w:cs="Times New Roman"/>
          <w:sz w:val="28"/>
          <w:szCs w:val="36"/>
          <w:highlight w:val="none"/>
          <w:vertAlign w:val="superscript"/>
        </w:rPr>
        <w:t xml:space="preserve"> </w:t>
      </w:r>
      <w:r>
        <w:rPr>
          <w:rFonts w:ascii="Times New Roman" w:hAnsi="Times New Roman" w:cs="Times New Roman"/>
          <w:sz w:val="28"/>
          <w:szCs w:val="36"/>
          <w:highlight w:val="none"/>
        </w:rPr>
        <w:t>遂宁市中心医院，四川 遂宁 6290</w:t>
      </w:r>
      <w:r>
        <w:rPr>
          <w:rFonts w:hint="eastAsia" w:ascii="Times New Roman" w:hAnsi="Times New Roman" w:cs="Times New Roman"/>
          <w:sz w:val="28"/>
          <w:szCs w:val="36"/>
          <w:highlight w:val="none"/>
          <w:lang w:val="en-US" w:eastAsia="zh-CN"/>
        </w:rPr>
        <w:t>00</w:t>
      </w:r>
      <w:r>
        <w:rPr>
          <w:rFonts w:hint="eastAsia" w:ascii="Times New Roman" w:hAnsi="Times New Roman" w:cs="Times New Roman"/>
          <w:sz w:val="28"/>
          <w:szCs w:val="36"/>
          <w:highlight w:val="none"/>
        </w:rPr>
        <w:t>；2.遂宁市疾病预防控制中心，</w:t>
      </w:r>
      <w:r>
        <w:rPr>
          <w:rFonts w:ascii="Times New Roman" w:hAnsi="Times New Roman" w:cs="Times New Roman"/>
          <w:sz w:val="28"/>
          <w:szCs w:val="36"/>
          <w:highlight w:val="none"/>
        </w:rPr>
        <w:t>四川 遂宁 6290</w:t>
      </w:r>
      <w:r>
        <w:rPr>
          <w:rFonts w:hint="eastAsia" w:ascii="Times New Roman" w:hAnsi="Times New Roman" w:cs="Times New Roman"/>
          <w:sz w:val="28"/>
          <w:szCs w:val="36"/>
          <w:highlight w:val="none"/>
          <w:lang w:val="en-US" w:eastAsia="zh-CN"/>
        </w:rPr>
        <w:t>00</w:t>
      </w:r>
      <w:r>
        <w:rPr>
          <w:rFonts w:hint="eastAsia" w:ascii="Times New Roman" w:hAnsi="Times New Roman" w:cs="Times New Roman"/>
          <w:sz w:val="28"/>
          <w:szCs w:val="36"/>
          <w:highlight w:val="none"/>
        </w:rPr>
        <w:t>）</w:t>
      </w:r>
    </w:p>
    <w:p w14:paraId="207B0714">
      <w:pPr>
        <w:spacing w:line="360" w:lineRule="auto"/>
        <w:rPr>
          <w:rFonts w:hint="eastAsia" w:ascii="Times New Roman" w:hAnsi="Times New Roman" w:cs="Times New Roman"/>
          <w:sz w:val="28"/>
          <w:szCs w:val="28"/>
          <w:highlight w:val="none"/>
          <w:lang w:eastAsia="zh-CN"/>
        </w:rPr>
      </w:pPr>
      <w:bookmarkStart w:id="1" w:name="OLE_LINK11"/>
      <w:r>
        <w:rPr>
          <w:rFonts w:hint="eastAsia" w:ascii="Times New Roman" w:hAnsi="Times New Roman" w:cs="Times New Roman"/>
          <w:b/>
          <w:bCs/>
          <w:sz w:val="28"/>
          <w:szCs w:val="28"/>
          <w:highlight w:val="none"/>
        </w:rPr>
        <w:t>摘 要：</w:t>
      </w:r>
      <w:bookmarkEnd w:id="1"/>
      <w:bookmarkStart w:id="2" w:name="OLE_LINK13"/>
      <w:r>
        <w:rPr>
          <w:rFonts w:hint="eastAsia" w:ascii="Times New Roman" w:hAnsi="Times New Roman" w:cs="Times New Roman"/>
          <w:sz w:val="28"/>
          <w:szCs w:val="28"/>
          <w:highlight w:val="none"/>
        </w:rPr>
        <w:t>［目的］ 分析</w:t>
      </w:r>
      <w:r>
        <w:rPr>
          <w:rFonts w:hint="eastAsia" w:ascii="Times New Roman" w:hAnsi="Times New Roman" w:cs="Times New Roman"/>
          <w:sz w:val="28"/>
          <w:szCs w:val="28"/>
          <w:highlight w:val="none"/>
          <w:lang w:eastAsia="zh-CN"/>
        </w:rPr>
        <w:t>2018—2023</w:t>
      </w:r>
      <w:r>
        <w:rPr>
          <w:rFonts w:hint="eastAsia" w:ascii="Times New Roman" w:hAnsi="Times New Roman" w:cs="Times New Roman"/>
          <w:sz w:val="28"/>
          <w:szCs w:val="28"/>
          <w:highlight w:val="none"/>
        </w:rPr>
        <w:t>年四川省遂宁市恶性肿瘤的发病、死亡情况及变化趋势，为制定区域肿瘤防控策略提供科学依据。［方法］ 收集</w:t>
      </w:r>
      <w:r>
        <w:rPr>
          <w:rFonts w:hint="eastAsia" w:ascii="Times New Roman" w:hAnsi="Times New Roman" w:cs="Times New Roman"/>
          <w:sz w:val="28"/>
          <w:szCs w:val="28"/>
          <w:highlight w:val="none"/>
          <w:lang w:eastAsia="zh-CN"/>
        </w:rPr>
        <w:t>2018—2023</w:t>
      </w:r>
      <w:r>
        <w:rPr>
          <w:rFonts w:hint="eastAsia" w:ascii="Times New Roman" w:hAnsi="Times New Roman" w:cs="Times New Roman"/>
          <w:sz w:val="28"/>
          <w:szCs w:val="28"/>
          <w:highlight w:val="none"/>
        </w:rPr>
        <w:t xml:space="preserve">年遂宁市肿瘤登记数据，计算粗发病率、粗死亡率、中国人口标化率、世界人口标化率等指标。采用Joinpoint回归模型计算平均年度变化百分比（average annual percentage change, AAPC），分析时间变化趋势。［结果］ </w:t>
      </w:r>
      <w:r>
        <w:rPr>
          <w:rFonts w:hint="eastAsia" w:ascii="Times New Roman" w:hAnsi="Times New Roman" w:cs="Times New Roman"/>
          <w:sz w:val="28"/>
          <w:szCs w:val="28"/>
          <w:highlight w:val="none"/>
          <w:lang w:eastAsia="zh-CN"/>
        </w:rPr>
        <w:t>2018—2023</w:t>
      </w:r>
      <w:r>
        <w:rPr>
          <w:rFonts w:hint="eastAsia" w:ascii="Times New Roman" w:hAnsi="Times New Roman" w:cs="Times New Roman"/>
          <w:sz w:val="28"/>
          <w:szCs w:val="28"/>
          <w:highlight w:val="none"/>
        </w:rPr>
        <w:t>年，遂宁市恶性肿瘤粗发病率为293.39/10万，中标发病率为155.84/10万，世标发病率为152.98/10万；粗死亡率为194.95/10万，中标死亡率为94.08/10万，世标死亡率为93.53/10万。全人群中标死亡率（AAPC=</w:t>
      </w:r>
      <w:r>
        <w:rPr>
          <w:rFonts w:hint="eastAsia" w:ascii="Times New Roman" w:hAnsi="Times New Roman" w:cs="Times New Roman"/>
          <w:sz w:val="28"/>
          <w:szCs w:val="28"/>
          <w:highlight w:val="none"/>
          <w:lang w:val="en-US" w:eastAsia="zh-CN"/>
        </w:rPr>
        <w:t xml:space="preserve"> </w:t>
      </w:r>
      <w:r>
        <w:rPr>
          <w:rFonts w:hint="eastAsia" w:ascii="Times New Roman" w:hAnsi="Times New Roman" w:cs="Times New Roman"/>
          <w:sz w:val="28"/>
          <w:szCs w:val="28"/>
          <w:highlight w:val="none"/>
        </w:rPr>
        <w:t>-2.12%，</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rPr>
        <w:t>=0.003）、男性中标发病率（AAPC=</w:t>
      </w:r>
      <w:r>
        <w:rPr>
          <w:rFonts w:hint="eastAsia" w:ascii="Times New Roman" w:hAnsi="Times New Roman" w:cs="Times New Roman"/>
          <w:sz w:val="28"/>
          <w:szCs w:val="28"/>
          <w:highlight w:val="none"/>
          <w:lang w:val="en-US" w:eastAsia="zh-CN"/>
        </w:rPr>
        <w:t xml:space="preserve"> -</w:t>
      </w:r>
      <w:r>
        <w:rPr>
          <w:rFonts w:hint="eastAsia" w:ascii="Times New Roman" w:hAnsi="Times New Roman" w:cs="Times New Roman"/>
          <w:sz w:val="28"/>
          <w:szCs w:val="28"/>
          <w:highlight w:val="none"/>
        </w:rPr>
        <w:t>2.95%，</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rPr>
        <w:t>=0.025）和中标死亡率（AAPC=</w:t>
      </w:r>
      <w:r>
        <w:rPr>
          <w:rFonts w:hint="eastAsia" w:ascii="Times New Roman" w:hAnsi="Times New Roman" w:cs="Times New Roman"/>
          <w:sz w:val="28"/>
          <w:szCs w:val="28"/>
          <w:highlight w:val="none"/>
          <w:lang w:val="en-US" w:eastAsia="zh-CN"/>
        </w:rPr>
        <w:t xml:space="preserve"> </w:t>
      </w:r>
      <w:r>
        <w:rPr>
          <w:rFonts w:hint="eastAsia" w:ascii="Times New Roman" w:hAnsi="Times New Roman" w:cs="Times New Roman"/>
          <w:sz w:val="28"/>
          <w:szCs w:val="28"/>
          <w:highlight w:val="none"/>
        </w:rPr>
        <w:t>-1.57%，</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rPr>
        <w:t>=0.012）、女性中标死亡率（AAPC=</w:t>
      </w:r>
      <w:r>
        <w:rPr>
          <w:rFonts w:hint="eastAsia" w:ascii="Times New Roman" w:hAnsi="Times New Roman" w:cs="Times New Roman"/>
          <w:sz w:val="28"/>
          <w:szCs w:val="28"/>
          <w:highlight w:val="none"/>
          <w:lang w:val="en-US" w:eastAsia="zh-CN"/>
        </w:rPr>
        <w:t xml:space="preserve"> </w:t>
      </w:r>
      <w:r>
        <w:rPr>
          <w:rFonts w:hint="eastAsia" w:ascii="Times New Roman" w:hAnsi="Times New Roman" w:cs="Times New Roman"/>
          <w:sz w:val="28"/>
          <w:szCs w:val="28"/>
          <w:highlight w:val="none"/>
        </w:rPr>
        <w:t>-3.24%，</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rPr>
        <w:t>=0.039）均呈下降趋势。粗发病率和粗死亡率均在55岁后快速上升，80~84岁达峰值。发病前5位肿瘤分别为肺癌、胃癌、肝癌、食管癌、乳腺癌，死亡前5位分别为肺癌、肝癌、胃癌、食管癌、结直肠癌。男性前列腺癌（AAPC=13.70%，</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rPr>
        <w:t>&lt;0.001）、膀胱癌（AAPC=3.88%，</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rPr>
        <w:t>&lt;0.001）和女性肺癌（AAPC=5.78%，</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rPr>
        <w:t>=0.010）粗发病率均呈上升趋势；男性结直肠癌（AAPC=6.46%，</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rPr>
        <w:t>=0.001）、胰腺癌（AAPC=7.43%，</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rPr>
        <w:t>=0.035）、前列腺癌（AAPC=23.44%，</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rPr>
        <w:t>&lt;0.001）和女性宫颈癌（AAPC=7.94%，</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rPr>
        <w:t>&lt;0.001）、胰腺癌（AAPC=16.10%，</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rPr>
        <w:t>&lt;0.001）</w:t>
      </w:r>
      <w:r>
        <w:rPr>
          <w:rFonts w:hint="eastAsia" w:ascii="Times New Roman" w:hAnsi="Times New Roman" w:cs="Times New Roman"/>
          <w:sz w:val="28"/>
          <w:szCs w:val="28"/>
          <w:highlight w:val="none"/>
          <w:lang w:val="en-US" w:eastAsia="zh-CN"/>
        </w:rPr>
        <w:t>粗死亡率</w:t>
      </w:r>
      <w:r>
        <w:rPr>
          <w:rFonts w:hint="eastAsia" w:ascii="Times New Roman" w:hAnsi="Times New Roman" w:cs="Times New Roman"/>
          <w:sz w:val="28"/>
          <w:szCs w:val="28"/>
          <w:highlight w:val="none"/>
        </w:rPr>
        <w:t>均呈上升趋势</w:t>
      </w:r>
      <w:r>
        <w:rPr>
          <w:rFonts w:ascii="Times New Roman" w:hAnsi="Times New Roman" w:cs="Times New Roman"/>
          <w:sz w:val="28"/>
          <w:szCs w:val="28"/>
          <w:highlight w:val="none"/>
        </w:rPr>
        <w:t>。</w:t>
      </w:r>
      <w:bookmarkEnd w:id="2"/>
      <w:bookmarkStart w:id="3" w:name="OLE_LINK14"/>
      <w:r>
        <w:rPr>
          <w:rFonts w:hint="eastAsia" w:ascii="Times New Roman" w:hAnsi="Times New Roman" w:cs="Times New Roman"/>
          <w:sz w:val="28"/>
          <w:szCs w:val="28"/>
          <w:highlight w:val="none"/>
        </w:rPr>
        <w:t xml:space="preserve">［结论］ </w:t>
      </w:r>
      <w:bookmarkEnd w:id="0"/>
      <w:bookmarkEnd w:id="3"/>
      <w:r>
        <w:rPr>
          <w:rFonts w:hint="eastAsia" w:ascii="Times New Roman" w:hAnsi="Times New Roman" w:cs="Times New Roman"/>
          <w:sz w:val="28"/>
          <w:szCs w:val="28"/>
          <w:highlight w:val="none"/>
          <w:lang w:eastAsia="zh-CN"/>
        </w:rPr>
        <w:t>2018—2023年遂宁市恶性肿瘤中标死亡率呈下降趋势，男性前列腺癌、膀胱癌、结直肠癌、胰腺癌</w:t>
      </w:r>
      <w:r>
        <w:rPr>
          <w:rFonts w:hint="eastAsia" w:ascii="Times New Roman" w:hAnsi="Times New Roman" w:cs="Times New Roman"/>
          <w:sz w:val="28"/>
          <w:szCs w:val="28"/>
          <w:highlight w:val="none"/>
          <w:lang w:val="en-US" w:eastAsia="zh-CN"/>
        </w:rPr>
        <w:t>和</w:t>
      </w:r>
      <w:r>
        <w:rPr>
          <w:rFonts w:hint="eastAsia" w:ascii="Times New Roman" w:hAnsi="Times New Roman" w:cs="Times New Roman"/>
          <w:sz w:val="28"/>
          <w:szCs w:val="28"/>
          <w:highlight w:val="none"/>
          <w:lang w:eastAsia="zh-CN"/>
        </w:rPr>
        <w:t>女性肺癌、宫颈癌、胰腺癌</w:t>
      </w:r>
      <w:r>
        <w:rPr>
          <w:rFonts w:hint="eastAsia" w:ascii="Times New Roman" w:hAnsi="Times New Roman" w:cs="Times New Roman"/>
          <w:sz w:val="28"/>
          <w:szCs w:val="28"/>
          <w:highlight w:val="none"/>
          <w:lang w:val="en-US" w:eastAsia="zh-CN"/>
        </w:rPr>
        <w:t>疾病负担上升，应作为重点防控的癌种</w:t>
      </w:r>
      <w:r>
        <w:rPr>
          <w:rFonts w:hint="eastAsia" w:ascii="Times New Roman" w:hAnsi="Times New Roman" w:cs="Times New Roman"/>
          <w:sz w:val="28"/>
          <w:szCs w:val="28"/>
          <w:highlight w:val="none"/>
          <w:lang w:eastAsia="zh-CN"/>
        </w:rPr>
        <w:t>。</w:t>
      </w:r>
    </w:p>
    <w:p w14:paraId="33FBBDAA">
      <w:pPr>
        <w:spacing w:line="360" w:lineRule="auto"/>
        <w:rPr>
          <w:rFonts w:ascii="Times New Roman" w:hAnsi="Times New Roman" w:cs="Times New Roman"/>
          <w:sz w:val="28"/>
          <w:szCs w:val="28"/>
          <w:highlight w:val="none"/>
        </w:rPr>
      </w:pPr>
      <w:r>
        <w:rPr>
          <w:rFonts w:hint="eastAsia" w:ascii="Times New Roman" w:hAnsi="Times New Roman" w:cs="Times New Roman"/>
          <w:b/>
          <w:bCs/>
          <w:sz w:val="28"/>
          <w:szCs w:val="28"/>
          <w:highlight w:val="none"/>
        </w:rPr>
        <w:t>关键词：</w:t>
      </w:r>
      <w:r>
        <w:rPr>
          <w:rFonts w:hint="eastAsia" w:ascii="Times New Roman" w:hAnsi="Times New Roman" w:cs="Times New Roman"/>
          <w:sz w:val="28"/>
          <w:szCs w:val="28"/>
          <w:highlight w:val="none"/>
        </w:rPr>
        <w:t>恶性肿瘤；发病率；死亡率；趋势分析；遂宁市</w:t>
      </w:r>
    </w:p>
    <w:p w14:paraId="21C7BABC">
      <w:pPr>
        <w:spacing w:line="360" w:lineRule="auto"/>
        <w:ind w:firstLine="723" w:firstLineChars="200"/>
        <w:jc w:val="center"/>
        <w:rPr>
          <w:rFonts w:ascii="Times New Roman" w:hAnsi="Times New Roman" w:cs="Times New Roman"/>
          <w:b/>
          <w:bCs/>
          <w:sz w:val="36"/>
          <w:szCs w:val="36"/>
          <w:highlight w:val="none"/>
        </w:rPr>
      </w:pPr>
      <w:r>
        <w:rPr>
          <w:rFonts w:ascii="Times New Roman" w:hAnsi="Times New Roman" w:cs="Times New Roman"/>
          <w:b/>
          <w:bCs/>
          <w:sz w:val="36"/>
          <w:szCs w:val="36"/>
          <w:highlight w:val="none"/>
        </w:rPr>
        <w:t>Analysis of Epidemiological Characteristics and Trends of Cancer in Suining City of Sichuan Province from 2018 to 2023</w:t>
      </w:r>
    </w:p>
    <w:p w14:paraId="0B058ABF">
      <w:pPr>
        <w:spacing w:line="360" w:lineRule="auto"/>
        <w:ind w:firstLine="560" w:firstLineChars="200"/>
        <w:jc w:val="center"/>
        <w:rPr>
          <w:rFonts w:ascii="Times New Roman" w:hAnsi="Times New Roman" w:cs="Times New Roman"/>
          <w:sz w:val="28"/>
          <w:szCs w:val="28"/>
          <w:highlight w:val="none"/>
          <w:vertAlign w:val="superscript"/>
        </w:rPr>
      </w:pPr>
      <w:r>
        <w:rPr>
          <w:rFonts w:hint="eastAsia" w:ascii="Times New Roman" w:hAnsi="Times New Roman" w:cs="Times New Roman"/>
          <w:sz w:val="28"/>
          <w:szCs w:val="28"/>
          <w:highlight w:val="none"/>
        </w:rPr>
        <w:t>ZHANG Song</w:t>
      </w:r>
      <w:r>
        <w:rPr>
          <w:rFonts w:hint="eastAsia" w:ascii="Times New Roman" w:hAnsi="Times New Roman" w:cs="Times New Roman"/>
          <w:sz w:val="28"/>
          <w:szCs w:val="28"/>
          <w:highlight w:val="none"/>
          <w:vertAlign w:val="superscript"/>
        </w:rPr>
        <w:t>1</w:t>
      </w:r>
      <w:r>
        <w:rPr>
          <w:rFonts w:hint="eastAsia" w:ascii="Times New Roman" w:hAnsi="Times New Roman" w:cs="Times New Roman"/>
          <w:sz w:val="28"/>
          <w:szCs w:val="28"/>
          <w:highlight w:val="none"/>
          <w:lang w:val="en-US" w:eastAsia="zh-CN"/>
        </w:rPr>
        <w:t xml:space="preserve">, </w:t>
      </w:r>
      <w:r>
        <w:rPr>
          <w:rFonts w:hint="eastAsia" w:ascii="Times New Roman" w:hAnsi="Times New Roman" w:cs="Times New Roman"/>
          <w:sz w:val="28"/>
          <w:szCs w:val="28"/>
          <w:highlight w:val="none"/>
        </w:rPr>
        <w:t>LIANG Yujun</w:t>
      </w:r>
      <w:r>
        <w:rPr>
          <w:rFonts w:hint="eastAsia" w:ascii="Times New Roman" w:hAnsi="Times New Roman" w:cs="Times New Roman"/>
          <w:sz w:val="28"/>
          <w:szCs w:val="28"/>
          <w:highlight w:val="none"/>
          <w:vertAlign w:val="superscript"/>
        </w:rPr>
        <w:t>2</w:t>
      </w:r>
      <w:r>
        <w:rPr>
          <w:rFonts w:hint="eastAsia" w:ascii="Times New Roman" w:hAnsi="Times New Roman" w:cs="Times New Roman"/>
          <w:sz w:val="28"/>
          <w:szCs w:val="28"/>
          <w:highlight w:val="none"/>
          <w:lang w:val="en-US" w:eastAsia="zh-CN"/>
        </w:rPr>
        <w:t>, DU Heng</w:t>
      </w:r>
      <w:r>
        <w:rPr>
          <w:rFonts w:hint="eastAsia" w:ascii="Times New Roman" w:hAnsi="Times New Roman" w:cs="Times New Roman"/>
          <w:sz w:val="28"/>
          <w:szCs w:val="28"/>
          <w:highlight w:val="none"/>
          <w:vertAlign w:val="superscript"/>
        </w:rPr>
        <w:t>1</w:t>
      </w:r>
      <w:r>
        <w:rPr>
          <w:rFonts w:hint="eastAsia" w:ascii="Times New Roman" w:hAnsi="Times New Roman" w:cs="Times New Roman"/>
          <w:sz w:val="28"/>
          <w:szCs w:val="28"/>
          <w:highlight w:val="none"/>
          <w:lang w:val="en-US" w:eastAsia="zh-CN"/>
        </w:rPr>
        <w:t xml:space="preserve">, </w:t>
      </w:r>
      <w:r>
        <w:rPr>
          <w:rFonts w:hint="eastAsia" w:ascii="Times New Roman" w:hAnsi="Times New Roman" w:cs="Times New Roman"/>
          <w:sz w:val="28"/>
          <w:szCs w:val="28"/>
          <w:highlight w:val="none"/>
        </w:rPr>
        <w:t>YANG Jihong</w:t>
      </w:r>
      <w:r>
        <w:rPr>
          <w:rFonts w:hint="eastAsia" w:ascii="Times New Roman" w:hAnsi="Times New Roman" w:cs="Times New Roman"/>
          <w:sz w:val="28"/>
          <w:szCs w:val="28"/>
          <w:highlight w:val="none"/>
          <w:vertAlign w:val="superscript"/>
        </w:rPr>
        <w:t>2</w:t>
      </w:r>
      <w:r>
        <w:rPr>
          <w:rFonts w:hint="eastAsia" w:ascii="Times New Roman" w:hAnsi="Times New Roman" w:cs="Times New Roman"/>
          <w:sz w:val="28"/>
          <w:szCs w:val="28"/>
          <w:highlight w:val="none"/>
          <w:lang w:val="en-US" w:eastAsia="zh-CN"/>
        </w:rPr>
        <w:t>, LU Ting</w:t>
      </w:r>
      <w:r>
        <w:rPr>
          <w:rFonts w:hint="eastAsia" w:ascii="Times New Roman" w:hAnsi="Times New Roman" w:cs="Times New Roman"/>
          <w:sz w:val="28"/>
          <w:szCs w:val="28"/>
          <w:highlight w:val="none"/>
          <w:vertAlign w:val="superscript"/>
        </w:rPr>
        <w:t>1</w:t>
      </w:r>
      <w:r>
        <w:rPr>
          <w:rFonts w:hint="eastAsia" w:ascii="Times New Roman" w:hAnsi="Times New Roman" w:cs="Times New Roman"/>
          <w:sz w:val="28"/>
          <w:szCs w:val="28"/>
          <w:highlight w:val="none"/>
          <w:lang w:val="en-US" w:eastAsia="zh-CN"/>
        </w:rPr>
        <w:t>, WEI Ting</w:t>
      </w:r>
      <w:r>
        <w:rPr>
          <w:rFonts w:hint="eastAsia" w:ascii="Times New Roman" w:hAnsi="Times New Roman" w:cs="Times New Roman"/>
          <w:sz w:val="28"/>
          <w:szCs w:val="28"/>
          <w:highlight w:val="none"/>
          <w:vertAlign w:val="superscript"/>
        </w:rPr>
        <w:t>1</w:t>
      </w:r>
      <w:r>
        <w:rPr>
          <w:rFonts w:hint="eastAsia" w:ascii="Times New Roman" w:hAnsi="Times New Roman" w:cs="Times New Roman"/>
          <w:sz w:val="28"/>
          <w:szCs w:val="28"/>
          <w:highlight w:val="none"/>
          <w:lang w:val="en-US" w:eastAsia="zh-CN"/>
        </w:rPr>
        <w:t xml:space="preserve">, </w:t>
      </w:r>
      <w:r>
        <w:rPr>
          <w:rFonts w:hint="eastAsia" w:ascii="Times New Roman" w:hAnsi="Times New Roman" w:cs="Times New Roman"/>
          <w:sz w:val="28"/>
          <w:szCs w:val="28"/>
          <w:highlight w:val="none"/>
        </w:rPr>
        <w:t>ZHU Xiaofeng</w:t>
      </w:r>
      <w:r>
        <w:rPr>
          <w:rFonts w:hint="eastAsia" w:ascii="Times New Roman" w:hAnsi="Times New Roman" w:cs="Times New Roman"/>
          <w:sz w:val="28"/>
          <w:szCs w:val="28"/>
          <w:highlight w:val="none"/>
          <w:vertAlign w:val="superscript"/>
        </w:rPr>
        <w:t xml:space="preserve"> 1</w:t>
      </w:r>
    </w:p>
    <w:p w14:paraId="601AB58C">
      <w:pPr>
        <w:spacing w:line="360" w:lineRule="auto"/>
        <w:ind w:firstLine="560" w:firstLineChars="200"/>
        <w:jc w:val="center"/>
        <w:rPr>
          <w:rFonts w:hint="eastAsia" w:ascii="Times New Roman" w:hAnsi="Times New Roman" w:cs="Times New Roman"/>
          <w:sz w:val="28"/>
          <w:szCs w:val="28"/>
          <w:highlight w:val="none"/>
        </w:rPr>
      </w:pPr>
      <w:r>
        <w:rPr>
          <w:rFonts w:ascii="Times New Roman" w:hAnsi="Times New Roman" w:cs="Times New Roman"/>
          <w:sz w:val="28"/>
          <w:szCs w:val="28"/>
          <w:highlight w:val="none"/>
        </w:rPr>
        <w:t xml:space="preserve">(1. Suining Central Hospital, Suining, Sichuan </w:t>
      </w:r>
      <w:r>
        <w:rPr>
          <w:rFonts w:ascii="Times New Roman" w:hAnsi="Times New Roman" w:cs="Times New Roman"/>
          <w:sz w:val="28"/>
          <w:szCs w:val="36"/>
          <w:highlight w:val="none"/>
        </w:rPr>
        <w:t>6290</w:t>
      </w:r>
      <w:r>
        <w:rPr>
          <w:rFonts w:hint="eastAsia" w:ascii="Times New Roman" w:hAnsi="Times New Roman" w:cs="Times New Roman"/>
          <w:sz w:val="28"/>
          <w:szCs w:val="36"/>
          <w:highlight w:val="none"/>
          <w:lang w:val="en-US" w:eastAsia="zh-CN"/>
        </w:rPr>
        <w:t>00</w:t>
      </w:r>
      <w:r>
        <w:rPr>
          <w:rFonts w:ascii="Times New Roman" w:hAnsi="Times New Roman" w:cs="Times New Roman"/>
          <w:sz w:val="28"/>
          <w:szCs w:val="28"/>
          <w:highlight w:val="none"/>
        </w:rPr>
        <w:t xml:space="preserve">, China; 2. Suining Center for Disease Control and Prevention, Suining, Sichuan </w:t>
      </w:r>
      <w:r>
        <w:rPr>
          <w:rFonts w:ascii="Times New Roman" w:hAnsi="Times New Roman" w:cs="Times New Roman"/>
          <w:sz w:val="28"/>
          <w:szCs w:val="36"/>
          <w:highlight w:val="none"/>
        </w:rPr>
        <w:t>6290</w:t>
      </w:r>
      <w:r>
        <w:rPr>
          <w:rFonts w:hint="eastAsia" w:ascii="Times New Roman" w:hAnsi="Times New Roman" w:cs="Times New Roman"/>
          <w:sz w:val="28"/>
          <w:szCs w:val="36"/>
          <w:highlight w:val="none"/>
          <w:lang w:val="en-US" w:eastAsia="zh-CN"/>
        </w:rPr>
        <w:t>00</w:t>
      </w:r>
      <w:r>
        <w:rPr>
          <w:rFonts w:ascii="Times New Roman" w:hAnsi="Times New Roman" w:cs="Times New Roman"/>
          <w:sz w:val="28"/>
          <w:szCs w:val="28"/>
          <w:highlight w:val="none"/>
        </w:rPr>
        <w:t>, China)</w:t>
      </w:r>
    </w:p>
    <w:p w14:paraId="0DDD5250">
      <w:pPr>
        <w:spacing w:line="360" w:lineRule="auto"/>
        <w:rPr>
          <w:rFonts w:hint="eastAsia" w:ascii="Times New Roman" w:hAnsi="Times New Roman" w:cs="Times New Roman"/>
          <w:sz w:val="28"/>
          <w:szCs w:val="28"/>
          <w:highlight w:val="none"/>
        </w:rPr>
      </w:pPr>
      <w:r>
        <w:rPr>
          <w:rFonts w:ascii="Times New Roman" w:hAnsi="Times New Roman" w:cs="Times New Roman"/>
          <w:b/>
          <w:bCs/>
          <w:sz w:val="28"/>
          <w:szCs w:val="28"/>
          <w:highlight w:val="none"/>
        </w:rPr>
        <w:t>Abstract:</w:t>
      </w:r>
      <w:r>
        <w:rPr>
          <w:rFonts w:ascii="Times New Roman" w:hAnsi="Times New Roman" w:cs="Times New Roman"/>
          <w:sz w:val="28"/>
          <w:szCs w:val="28"/>
          <w:highlight w:val="none"/>
        </w:rPr>
        <w:t xml:space="preserve"> </w:t>
      </w:r>
      <w:r>
        <w:rPr>
          <w:rFonts w:hint="eastAsia" w:ascii="Times New Roman" w:hAnsi="Times New Roman" w:cs="Times New Roman"/>
          <w:sz w:val="28"/>
          <w:szCs w:val="28"/>
          <w:highlight w:val="none"/>
        </w:rPr>
        <w:t>［Objective］</w:t>
      </w:r>
      <w:r>
        <w:rPr>
          <w:rFonts w:ascii="Times New Roman" w:hAnsi="Times New Roman" w:cs="Times New Roman"/>
          <w:sz w:val="28"/>
          <w:szCs w:val="28"/>
          <w:highlight w:val="none"/>
        </w:rPr>
        <w:t xml:space="preserve"> </w:t>
      </w:r>
      <w:r>
        <w:rPr>
          <w:rFonts w:hint="eastAsia" w:ascii="Times New Roman" w:hAnsi="Times New Roman" w:cs="Times New Roman"/>
          <w:sz w:val="28"/>
          <w:szCs w:val="28"/>
          <w:highlight w:val="none"/>
        </w:rPr>
        <w:t>To analyze the incidence, mortality and temporal trends of malignant neoplasms in Suining, Sichuan Province from 2018 to 2023, and to provide scientific evidence for the formulation of regional cancer prevention and control strategies.</w:t>
      </w:r>
      <w:r>
        <w:rPr>
          <w:rFonts w:ascii="Times New Roman" w:hAnsi="Times New Roman" w:cs="Times New Roman"/>
          <w:sz w:val="28"/>
          <w:szCs w:val="28"/>
          <w:highlight w:val="none"/>
        </w:rPr>
        <w:t xml:space="preserve"> </w:t>
      </w:r>
      <w:r>
        <w:rPr>
          <w:rFonts w:hint="eastAsia" w:ascii="Times New Roman" w:hAnsi="Times New Roman" w:cs="Times New Roman"/>
          <w:sz w:val="28"/>
          <w:szCs w:val="28"/>
          <w:highlight w:val="none"/>
        </w:rPr>
        <w:t>［Methods］Data were collected from the cancer registry system of Suining from 2018 to 2023. Crude incidence rate, crude mortality rate, age</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standardized rate by Chinese standard population (ASRC), and age</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standardized rate by world standard population (ASRW) were calculated. The Joinpoint regression model was used to estimate the average annual percentage change (AAPC) for temporal trend analysis.</w:t>
      </w:r>
      <w:r>
        <w:rPr>
          <w:rFonts w:ascii="Times New Roman" w:hAnsi="Times New Roman" w:cs="Times New Roman"/>
          <w:sz w:val="28"/>
          <w:szCs w:val="28"/>
          <w:highlight w:val="none"/>
        </w:rPr>
        <w:t xml:space="preserve"> </w:t>
      </w:r>
      <w:r>
        <w:rPr>
          <w:rFonts w:hint="eastAsia" w:ascii="Times New Roman" w:hAnsi="Times New Roman" w:cs="Times New Roman"/>
          <w:sz w:val="28"/>
          <w:szCs w:val="28"/>
          <w:highlight w:val="none"/>
        </w:rPr>
        <w:t>［Results］ From 2018 to 2023, the crude incidence rate of malignant neoplasms in Suining was 293.39</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1</w:t>
      </w:r>
      <w:r>
        <w:rPr>
          <w:rFonts w:hint="eastAsia" w:ascii="Times New Roman" w:hAnsi="Times New Roman" w:cs="Times New Roman"/>
          <w:sz w:val="28"/>
          <w:szCs w:val="28"/>
          <w:highlight w:val="none"/>
          <w:lang w:val="en-US" w:eastAsia="zh-CN"/>
        </w:rPr>
        <w:t>0</w:t>
      </w:r>
      <w:r>
        <w:rPr>
          <w:rFonts w:hint="eastAsia" w:ascii="Times New Roman" w:hAnsi="Times New Roman" w:cs="Times New Roman"/>
          <w:sz w:val="28"/>
          <w:szCs w:val="28"/>
          <w:highlight w:val="none"/>
          <w:vertAlign w:val="superscript"/>
          <w:lang w:val="en-US" w:eastAsia="zh-CN"/>
        </w:rPr>
        <w:t>5</w:t>
      </w:r>
      <w:r>
        <w:rPr>
          <w:rFonts w:hint="eastAsia" w:ascii="Times New Roman" w:hAnsi="Times New Roman" w:cs="Times New Roman"/>
          <w:sz w:val="28"/>
          <w:szCs w:val="28"/>
          <w:highlight w:val="none"/>
        </w:rPr>
        <w:t>, with an ASRC of 155.84</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1</w:t>
      </w:r>
      <w:r>
        <w:rPr>
          <w:rFonts w:hint="eastAsia" w:ascii="Times New Roman" w:hAnsi="Times New Roman" w:cs="Times New Roman"/>
          <w:sz w:val="28"/>
          <w:szCs w:val="28"/>
          <w:highlight w:val="none"/>
          <w:lang w:val="en-US" w:eastAsia="zh-CN"/>
        </w:rPr>
        <w:t>0</w:t>
      </w:r>
      <w:r>
        <w:rPr>
          <w:rFonts w:hint="eastAsia" w:ascii="Times New Roman" w:hAnsi="Times New Roman" w:cs="Times New Roman"/>
          <w:sz w:val="28"/>
          <w:szCs w:val="28"/>
          <w:highlight w:val="none"/>
          <w:vertAlign w:val="superscript"/>
          <w:lang w:val="en-US" w:eastAsia="zh-CN"/>
        </w:rPr>
        <w:t>5</w:t>
      </w:r>
      <w:r>
        <w:rPr>
          <w:rFonts w:hint="eastAsia" w:ascii="Times New Roman" w:hAnsi="Times New Roman" w:cs="Times New Roman"/>
          <w:sz w:val="28"/>
          <w:szCs w:val="28"/>
          <w:highlight w:val="none"/>
        </w:rPr>
        <w:t xml:space="preserve"> and an ASRW of 152.98</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1</w:t>
      </w:r>
      <w:r>
        <w:rPr>
          <w:rFonts w:hint="eastAsia" w:ascii="Times New Roman" w:hAnsi="Times New Roman" w:cs="Times New Roman"/>
          <w:sz w:val="28"/>
          <w:szCs w:val="28"/>
          <w:highlight w:val="none"/>
          <w:lang w:val="en-US" w:eastAsia="zh-CN"/>
        </w:rPr>
        <w:t>0</w:t>
      </w:r>
      <w:r>
        <w:rPr>
          <w:rFonts w:hint="eastAsia" w:ascii="Times New Roman" w:hAnsi="Times New Roman" w:cs="Times New Roman"/>
          <w:sz w:val="28"/>
          <w:szCs w:val="28"/>
          <w:highlight w:val="none"/>
          <w:vertAlign w:val="superscript"/>
          <w:lang w:val="en-US" w:eastAsia="zh-CN"/>
        </w:rPr>
        <w:t>5</w:t>
      </w:r>
      <w:r>
        <w:rPr>
          <w:rFonts w:hint="eastAsia" w:ascii="Times New Roman" w:hAnsi="Times New Roman" w:cs="Times New Roman"/>
          <w:sz w:val="28"/>
          <w:szCs w:val="28"/>
          <w:highlight w:val="none"/>
        </w:rPr>
        <w:t>. The crude mortality rate was 194.95</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1</w:t>
      </w:r>
      <w:r>
        <w:rPr>
          <w:rFonts w:hint="eastAsia" w:ascii="Times New Roman" w:hAnsi="Times New Roman" w:cs="Times New Roman"/>
          <w:sz w:val="28"/>
          <w:szCs w:val="28"/>
          <w:highlight w:val="none"/>
          <w:lang w:val="en-US" w:eastAsia="zh-CN"/>
        </w:rPr>
        <w:t>0</w:t>
      </w:r>
      <w:r>
        <w:rPr>
          <w:rFonts w:hint="eastAsia" w:ascii="Times New Roman" w:hAnsi="Times New Roman" w:cs="Times New Roman"/>
          <w:sz w:val="28"/>
          <w:szCs w:val="28"/>
          <w:highlight w:val="none"/>
          <w:vertAlign w:val="superscript"/>
          <w:lang w:val="en-US" w:eastAsia="zh-CN"/>
        </w:rPr>
        <w:t>5</w:t>
      </w:r>
      <w:r>
        <w:rPr>
          <w:rFonts w:hint="eastAsia" w:ascii="Times New Roman" w:hAnsi="Times New Roman" w:cs="Times New Roman"/>
          <w:sz w:val="28"/>
          <w:szCs w:val="28"/>
          <w:highlight w:val="none"/>
        </w:rPr>
        <w:t>, with an ASRC of 94.08</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1</w:t>
      </w:r>
      <w:r>
        <w:rPr>
          <w:rFonts w:hint="eastAsia" w:ascii="Times New Roman" w:hAnsi="Times New Roman" w:cs="Times New Roman"/>
          <w:sz w:val="28"/>
          <w:szCs w:val="28"/>
          <w:highlight w:val="none"/>
          <w:lang w:val="en-US" w:eastAsia="zh-CN"/>
        </w:rPr>
        <w:t>0</w:t>
      </w:r>
      <w:r>
        <w:rPr>
          <w:rFonts w:hint="eastAsia" w:ascii="Times New Roman" w:hAnsi="Times New Roman" w:cs="Times New Roman"/>
          <w:sz w:val="28"/>
          <w:szCs w:val="28"/>
          <w:highlight w:val="none"/>
          <w:vertAlign w:val="superscript"/>
          <w:lang w:val="en-US" w:eastAsia="zh-CN"/>
        </w:rPr>
        <w:t>5</w:t>
      </w:r>
      <w:r>
        <w:rPr>
          <w:rFonts w:hint="eastAsia" w:ascii="Times New Roman" w:hAnsi="Times New Roman" w:cs="Times New Roman"/>
          <w:sz w:val="28"/>
          <w:szCs w:val="28"/>
          <w:highlight w:val="none"/>
        </w:rPr>
        <w:t xml:space="preserve"> and an ASRW of 93.53</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1</w:t>
      </w:r>
      <w:r>
        <w:rPr>
          <w:rFonts w:hint="eastAsia" w:ascii="Times New Roman" w:hAnsi="Times New Roman" w:cs="Times New Roman"/>
          <w:sz w:val="28"/>
          <w:szCs w:val="28"/>
          <w:highlight w:val="none"/>
          <w:lang w:val="en-US" w:eastAsia="zh-CN"/>
        </w:rPr>
        <w:t>0</w:t>
      </w:r>
      <w:r>
        <w:rPr>
          <w:rFonts w:hint="eastAsia" w:ascii="Times New Roman" w:hAnsi="Times New Roman" w:cs="Times New Roman"/>
          <w:sz w:val="28"/>
          <w:szCs w:val="28"/>
          <w:highlight w:val="none"/>
          <w:vertAlign w:val="superscript"/>
          <w:lang w:val="en-US" w:eastAsia="zh-CN"/>
        </w:rPr>
        <w:t>5</w:t>
      </w:r>
      <w:r>
        <w:rPr>
          <w:rFonts w:hint="eastAsia" w:ascii="Times New Roman" w:hAnsi="Times New Roman" w:cs="Times New Roman"/>
          <w:sz w:val="28"/>
          <w:szCs w:val="28"/>
          <w:highlight w:val="none"/>
        </w:rPr>
        <w:t>. Significant decreasing trends were observed in the ASRC of mortality for the overall population (AAPC=</w:t>
      </w:r>
      <w:r>
        <w:rPr>
          <w:rFonts w:hint="eastAsia" w:ascii="Times New Roman" w:hAnsi="Times New Roman" w:cs="Times New Roman"/>
          <w:sz w:val="28"/>
          <w:szCs w:val="28"/>
          <w:highlight w:val="none"/>
          <w:lang w:val="en-US" w:eastAsia="zh-CN"/>
        </w:rPr>
        <w:t xml:space="preserve"> -</w:t>
      </w:r>
      <w:r>
        <w:rPr>
          <w:rFonts w:hint="eastAsia" w:ascii="Times New Roman" w:hAnsi="Times New Roman" w:cs="Times New Roman"/>
          <w:sz w:val="28"/>
          <w:szCs w:val="28"/>
          <w:highlight w:val="none"/>
        </w:rPr>
        <w:t xml:space="preserve">2.12%, </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0.003), the ASRC of incidence (AAPC=</w:t>
      </w:r>
      <w:r>
        <w:rPr>
          <w:rFonts w:hint="eastAsia" w:ascii="Times New Roman" w:hAnsi="Times New Roman" w:cs="Times New Roman"/>
          <w:sz w:val="28"/>
          <w:szCs w:val="28"/>
          <w:highlight w:val="none"/>
          <w:lang w:val="en-US" w:eastAsia="zh-CN"/>
        </w:rPr>
        <w:t xml:space="preserve"> -</w:t>
      </w:r>
      <w:r>
        <w:rPr>
          <w:rFonts w:hint="eastAsia" w:ascii="Times New Roman" w:hAnsi="Times New Roman" w:cs="Times New Roman"/>
          <w:sz w:val="28"/>
          <w:szCs w:val="28"/>
          <w:highlight w:val="none"/>
        </w:rPr>
        <w:t xml:space="preserve">2.95%, </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0.025) and mortality (AAPC</w:t>
      </w:r>
      <w:r>
        <w:rPr>
          <w:rFonts w:hint="eastAsia" w:ascii="Times New Roman" w:hAnsi="Times New Roman" w:cs="Times New Roman"/>
          <w:sz w:val="28"/>
          <w:szCs w:val="28"/>
          <w:highlight w:val="none"/>
          <w:lang w:val="en-US" w:eastAsia="zh-CN"/>
        </w:rPr>
        <w:t>= -</w:t>
      </w:r>
      <w:r>
        <w:rPr>
          <w:rFonts w:hint="eastAsia" w:ascii="Times New Roman" w:hAnsi="Times New Roman" w:cs="Times New Roman"/>
          <w:sz w:val="28"/>
          <w:szCs w:val="28"/>
          <w:highlight w:val="none"/>
        </w:rPr>
        <w:t xml:space="preserve">1.57%, </w:t>
      </w:r>
      <w:r>
        <w:rPr>
          <w:rFonts w:hint="eastAsia" w:ascii="Times New Roman" w:hAnsi="Times New Roman" w:cs="Times New Roman"/>
          <w:i/>
          <w:iCs/>
          <w:sz w:val="28"/>
          <w:szCs w:val="28"/>
          <w:highlight w:val="none"/>
        </w:rPr>
        <w:t>P</w:t>
      </w:r>
      <w:r>
        <w:rPr>
          <w:rFonts w:hint="eastAsia" w:ascii="Times New Roman" w:hAnsi="Times New Roman" w:cs="Times New Roman"/>
          <w:i/>
          <w:iCs/>
          <w:sz w:val="28"/>
          <w:szCs w:val="28"/>
          <w:highlight w:val="none"/>
          <w:lang w:val="en-US" w:eastAsia="zh-CN"/>
        </w:rPr>
        <w:t>=</w:t>
      </w:r>
      <w:r>
        <w:rPr>
          <w:rFonts w:hint="eastAsia" w:ascii="Times New Roman" w:hAnsi="Times New Roman" w:cs="Times New Roman"/>
          <w:sz w:val="28"/>
          <w:szCs w:val="28"/>
          <w:highlight w:val="none"/>
        </w:rPr>
        <w:t>0.012) for males, and the ASRC of mortality for females (AAPC</w:t>
      </w:r>
      <w:r>
        <w:rPr>
          <w:rFonts w:hint="eastAsia" w:ascii="Times New Roman" w:hAnsi="Times New Roman" w:cs="Times New Roman"/>
          <w:sz w:val="28"/>
          <w:szCs w:val="28"/>
          <w:highlight w:val="none"/>
          <w:lang w:val="en-US" w:eastAsia="zh-CN"/>
        </w:rPr>
        <w:t>= -</w:t>
      </w:r>
      <w:r>
        <w:rPr>
          <w:rFonts w:hint="eastAsia" w:ascii="Times New Roman" w:hAnsi="Times New Roman" w:cs="Times New Roman"/>
          <w:sz w:val="28"/>
          <w:szCs w:val="28"/>
          <w:highlight w:val="none"/>
        </w:rPr>
        <w:t xml:space="preserve">3.24%, </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0.039). Both crude incidence and mortality rates increased rapidly after age 55 and peaked at age 80</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84 years. The top five incidence sites were lung, stomach, liver, esophagus, and breast, while the top five mortality sites were lung, liver, stomach, esophagus, and colorectum. Increasing trends in crude incidence were observed for prostate cancer (AAPC</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 xml:space="preserve">13.70%, </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lang w:val="en-US" w:eastAsia="zh-CN"/>
        </w:rPr>
        <w:t>&lt;</w:t>
      </w:r>
      <w:r>
        <w:rPr>
          <w:rFonts w:hint="eastAsia" w:ascii="Times New Roman" w:hAnsi="Times New Roman" w:cs="Times New Roman"/>
          <w:sz w:val="28"/>
          <w:szCs w:val="28"/>
          <w:highlight w:val="none"/>
        </w:rPr>
        <w:t>0.001) and bladder cancer (AAPC</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 xml:space="preserve">3.88%, </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lang w:val="en-US" w:eastAsia="zh-CN"/>
        </w:rPr>
        <w:t>&lt;</w:t>
      </w:r>
      <w:r>
        <w:rPr>
          <w:rFonts w:hint="eastAsia" w:ascii="Times New Roman" w:hAnsi="Times New Roman" w:cs="Times New Roman"/>
          <w:sz w:val="28"/>
          <w:szCs w:val="28"/>
          <w:highlight w:val="none"/>
        </w:rPr>
        <w:t>0.001) in males, and for lung cancer in females (AAPC</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 xml:space="preserve">5.78%, </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 xml:space="preserve">0.010). Increasing trends in crude mortality were observed for </w:t>
      </w:r>
      <w:r>
        <w:rPr>
          <w:rFonts w:hint="eastAsia" w:ascii="Times New Roman" w:hAnsi="Times New Roman" w:cs="Times New Roman"/>
          <w:sz w:val="28"/>
          <w:szCs w:val="28"/>
          <w:highlight w:val="none"/>
          <w:lang w:eastAsia="zh-CN"/>
        </w:rPr>
        <w:t>colorectum</w:t>
      </w:r>
      <w:r>
        <w:rPr>
          <w:rFonts w:hint="eastAsia" w:ascii="Times New Roman" w:hAnsi="Times New Roman" w:cs="Times New Roman"/>
          <w:sz w:val="28"/>
          <w:szCs w:val="28"/>
          <w:highlight w:val="none"/>
        </w:rPr>
        <w:t xml:space="preserve"> cancer (AAPC</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 xml:space="preserve">6.46%, </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 xml:space="preserve">0.001), </w:t>
      </w:r>
      <w:r>
        <w:rPr>
          <w:rFonts w:hint="eastAsia" w:ascii="Times New Roman" w:hAnsi="Times New Roman" w:cs="Times New Roman"/>
          <w:sz w:val="28"/>
          <w:szCs w:val="28"/>
          <w:highlight w:val="none"/>
          <w:lang w:val="en-US" w:eastAsia="zh-CN"/>
        </w:rPr>
        <w:t>p</w:t>
      </w:r>
      <w:r>
        <w:rPr>
          <w:rFonts w:hint="eastAsia" w:ascii="Times New Roman" w:hAnsi="Times New Roman" w:cs="Times New Roman"/>
          <w:sz w:val="28"/>
          <w:szCs w:val="28"/>
          <w:highlight w:val="none"/>
        </w:rPr>
        <w:t>ancreas cancer (AAPC</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 xml:space="preserve">7.43%, </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0.035), and prostate cancer (AAPC</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 xml:space="preserve">23.44%, </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lang w:val="en-US" w:eastAsia="zh-CN"/>
        </w:rPr>
        <w:t>&lt;</w:t>
      </w:r>
      <w:r>
        <w:rPr>
          <w:rFonts w:hint="eastAsia" w:ascii="Times New Roman" w:hAnsi="Times New Roman" w:cs="Times New Roman"/>
          <w:sz w:val="28"/>
          <w:szCs w:val="28"/>
          <w:highlight w:val="none"/>
        </w:rPr>
        <w:t>0.001) in males, and for cervical cancer (AAPC</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 xml:space="preserve">7.94%, </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lang w:val="en-US" w:eastAsia="zh-CN"/>
        </w:rPr>
        <w:t>&lt;</w:t>
      </w:r>
      <w:r>
        <w:rPr>
          <w:rFonts w:hint="eastAsia" w:ascii="Times New Roman" w:hAnsi="Times New Roman" w:cs="Times New Roman"/>
          <w:sz w:val="28"/>
          <w:szCs w:val="28"/>
          <w:highlight w:val="none"/>
        </w:rPr>
        <w:t>0.001) and pancreatic cancer (AAPC</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 xml:space="preserve">16.10%, </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lang w:val="en-US" w:eastAsia="zh-CN"/>
        </w:rPr>
        <w:t>&lt;</w:t>
      </w:r>
      <w:r>
        <w:rPr>
          <w:rFonts w:hint="eastAsia" w:ascii="Times New Roman" w:hAnsi="Times New Roman" w:cs="Times New Roman"/>
          <w:sz w:val="28"/>
          <w:szCs w:val="28"/>
          <w:highlight w:val="none"/>
        </w:rPr>
        <w:t>0.001) in females.［Conclusion］</w:t>
      </w:r>
      <w:r>
        <w:rPr>
          <w:rFonts w:ascii="Times New Roman" w:hAnsi="Times New Roman" w:cs="Times New Roman"/>
          <w:sz w:val="28"/>
          <w:szCs w:val="28"/>
          <w:highlight w:val="none"/>
        </w:rPr>
        <w:t xml:space="preserve"> </w:t>
      </w:r>
      <w:r>
        <w:rPr>
          <w:rFonts w:hint="eastAsia" w:ascii="Times New Roman" w:hAnsi="Times New Roman" w:cs="Times New Roman"/>
          <w:sz w:val="28"/>
          <w:szCs w:val="28"/>
          <w:highlight w:val="none"/>
        </w:rPr>
        <w:t>From 2018 to 2023, the age</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 xml:space="preserve">standardized mortality rate of malignant neoplasms in Suining showed a decreasing trend. However, the disease burden of prostate cancer, bladder cancer, </w:t>
      </w:r>
      <w:r>
        <w:rPr>
          <w:rFonts w:hint="eastAsia" w:ascii="Times New Roman" w:hAnsi="Times New Roman" w:cs="Times New Roman"/>
          <w:sz w:val="28"/>
          <w:szCs w:val="28"/>
          <w:highlight w:val="none"/>
          <w:lang w:eastAsia="zh-CN"/>
        </w:rPr>
        <w:t>colorectum</w:t>
      </w:r>
      <w:r>
        <w:rPr>
          <w:rFonts w:hint="eastAsia" w:ascii="Times New Roman" w:hAnsi="Times New Roman" w:cs="Times New Roman"/>
          <w:sz w:val="28"/>
          <w:szCs w:val="28"/>
          <w:highlight w:val="none"/>
        </w:rPr>
        <w:t xml:space="preserve"> cancer, and </w:t>
      </w:r>
      <w:r>
        <w:rPr>
          <w:rFonts w:hint="eastAsia" w:ascii="Times New Roman" w:hAnsi="Times New Roman" w:cs="Times New Roman"/>
          <w:sz w:val="28"/>
          <w:szCs w:val="28"/>
          <w:highlight w:val="none"/>
          <w:lang w:val="en-US" w:eastAsia="zh-CN"/>
        </w:rPr>
        <w:t>p</w:t>
      </w:r>
      <w:r>
        <w:rPr>
          <w:rFonts w:hint="eastAsia" w:ascii="Times New Roman" w:hAnsi="Times New Roman" w:cs="Times New Roman"/>
          <w:sz w:val="28"/>
          <w:szCs w:val="28"/>
          <w:highlight w:val="none"/>
        </w:rPr>
        <w:t>ancreas cancer in males, as well as lung cancer, cervical cancer, and pancreatic cancer in females, has been increasing. These cancers should be prioritized for targeted prevention and control efforts.</w:t>
      </w:r>
    </w:p>
    <w:p w14:paraId="3A7C8DD2">
      <w:pPr>
        <w:spacing w:line="360" w:lineRule="auto"/>
        <w:rPr>
          <w:rFonts w:ascii="Times New Roman" w:hAnsi="Times New Roman" w:cs="Times New Roman"/>
          <w:sz w:val="28"/>
          <w:szCs w:val="28"/>
          <w:highlight w:val="none"/>
        </w:rPr>
      </w:pPr>
      <w:bookmarkStart w:id="48" w:name="_GoBack"/>
      <w:bookmarkEnd w:id="48"/>
      <w:r>
        <w:rPr>
          <w:rFonts w:hint="eastAsia" w:ascii="Times New Roman" w:hAnsi="Times New Roman" w:cs="Times New Roman"/>
          <w:b/>
          <w:bCs/>
          <w:sz w:val="28"/>
          <w:szCs w:val="28"/>
          <w:highlight w:val="none"/>
        </w:rPr>
        <w:t>Subject</w:t>
      </w:r>
      <w:r>
        <w:rPr>
          <w:rFonts w:hint="eastAsia" w:ascii="Times New Roman" w:hAnsi="Times New Roman" w:cs="Times New Roman"/>
          <w:b/>
          <w:bCs/>
          <w:sz w:val="28"/>
          <w:szCs w:val="28"/>
          <w:highlight w:val="none"/>
          <w:lang w:val="en-US" w:eastAsia="zh-CN"/>
        </w:rPr>
        <w:t xml:space="preserve"> </w:t>
      </w:r>
      <w:r>
        <w:rPr>
          <w:rFonts w:ascii="Times New Roman" w:hAnsi="Times New Roman" w:cs="Times New Roman"/>
          <w:b/>
          <w:bCs/>
          <w:sz w:val="28"/>
          <w:szCs w:val="28"/>
          <w:highlight w:val="none"/>
        </w:rPr>
        <w:t>words:</w:t>
      </w:r>
      <w:r>
        <w:rPr>
          <w:rFonts w:ascii="Times New Roman" w:hAnsi="Times New Roman" w:cs="Times New Roman"/>
          <w:sz w:val="28"/>
          <w:szCs w:val="28"/>
          <w:highlight w:val="none"/>
        </w:rPr>
        <w:t xml:space="preserve"> Cancer; Incidence; Mortality; Trend; Suining</w:t>
      </w:r>
    </w:p>
    <w:p w14:paraId="5BA7FB3F">
      <w:pPr>
        <w:spacing w:line="360" w:lineRule="auto"/>
        <w:ind w:firstLine="560" w:firstLineChars="200"/>
        <w:rPr>
          <w:rFonts w:ascii="Times New Roman" w:hAnsi="Times New Roman" w:cs="Times New Roman"/>
          <w:sz w:val="28"/>
          <w:szCs w:val="28"/>
          <w:highlight w:val="none"/>
        </w:rPr>
      </w:pPr>
      <w:r>
        <w:rPr>
          <w:rFonts w:hint="eastAsia" w:ascii="Times New Roman" w:hAnsi="Times New Roman" w:cs="Times New Roman"/>
          <w:sz w:val="28"/>
          <w:szCs w:val="28"/>
          <w:highlight w:val="none"/>
          <w:lang w:val="en-US" w:eastAsia="zh-CN"/>
        </w:rPr>
        <w:t>恶性肿瘤</w:t>
      </w:r>
      <w:r>
        <w:rPr>
          <w:rFonts w:ascii="Times New Roman" w:hAnsi="Times New Roman" w:cs="Times New Roman"/>
          <w:sz w:val="28"/>
          <w:szCs w:val="28"/>
          <w:highlight w:val="none"/>
        </w:rPr>
        <w:t>是全球一项重大的公共卫生问题。2023年全球恶性肿瘤（不包括非黑色素瘤皮肤癌）新发与死亡病例分别高达约1850万例和1040万例</w:t>
      </w:r>
      <w:r>
        <w:rPr>
          <w:rFonts w:hint="eastAsia" w:ascii="Times New Roman" w:hAnsi="Times New Roman" w:cs="Times New Roman" w:eastAsiaTheme="minorEastAsia"/>
          <w:kern w:val="2"/>
          <w:sz w:val="28"/>
          <w:szCs w:val="28"/>
          <w:highlight w:val="none"/>
          <w:vertAlign w:val="superscript"/>
          <w:lang w:val="en-US" w:eastAsia="zh-CN" w:bidi="ar-SA"/>
        </w:rPr>
        <w:t>[1]</w:t>
      </w:r>
      <w:r>
        <w:rPr>
          <w:rFonts w:ascii="Times New Roman" w:hAnsi="Times New Roman" w:cs="Times New Roman"/>
          <w:sz w:val="28"/>
          <w:szCs w:val="28"/>
          <w:highlight w:val="none"/>
        </w:rPr>
        <w:t>。随着我国人均预期寿命的提高与人口老年化的加重，恶性肿瘤已成为居民死亡的主要原因之一</w:t>
      </w:r>
      <w:r>
        <w:rPr>
          <w:rFonts w:hint="eastAsia" w:ascii="Times New Roman" w:hAnsi="Times New Roman" w:cs="Times New Roman" w:eastAsiaTheme="minorEastAsia"/>
          <w:kern w:val="2"/>
          <w:sz w:val="28"/>
          <w:szCs w:val="28"/>
          <w:highlight w:val="none"/>
          <w:vertAlign w:val="superscript"/>
          <w:lang w:val="en-US" w:eastAsia="zh-CN" w:bidi="ar-SA"/>
        </w:rPr>
        <w:t>[2,3]</w:t>
      </w:r>
      <w:r>
        <w:rPr>
          <w:rFonts w:ascii="Times New Roman" w:hAnsi="Times New Roman" w:cs="Times New Roman"/>
          <w:sz w:val="28"/>
          <w:szCs w:val="28"/>
          <w:highlight w:val="none"/>
        </w:rPr>
        <w:t>。恶性肿瘤</w:t>
      </w:r>
      <w:r>
        <w:rPr>
          <w:rFonts w:hint="eastAsia" w:ascii="Times New Roman" w:hAnsi="Times New Roman" w:cs="Times New Roman"/>
          <w:sz w:val="28"/>
          <w:szCs w:val="28"/>
          <w:highlight w:val="none"/>
        </w:rPr>
        <w:t>导</w:t>
      </w:r>
      <w:r>
        <w:rPr>
          <w:rFonts w:ascii="Times New Roman" w:hAnsi="Times New Roman" w:cs="Times New Roman"/>
          <w:sz w:val="28"/>
          <w:szCs w:val="28"/>
          <w:highlight w:val="none"/>
        </w:rPr>
        <w:t>致的沉重疾病负担不仅严重损害居民的生活质量，而且对社会与经济发展构成显著制约</w:t>
      </w:r>
      <w:r>
        <w:rPr>
          <w:rFonts w:hint="eastAsia" w:ascii="Times New Roman" w:hAnsi="Times New Roman" w:cs="Times New Roman" w:eastAsiaTheme="minorEastAsia"/>
          <w:kern w:val="2"/>
          <w:sz w:val="28"/>
          <w:szCs w:val="28"/>
          <w:highlight w:val="none"/>
          <w:vertAlign w:val="superscript"/>
          <w:lang w:val="en-US" w:eastAsia="zh-CN" w:bidi="ar-SA"/>
        </w:rPr>
        <w:t>[4]</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rPr>
        <w:t>因此，恶性肿瘤防控已刻不容缓，精准施策需以全面把握其流行特征与趋势为前提。202</w:t>
      </w:r>
      <w:r>
        <w:rPr>
          <w:rFonts w:hint="eastAsia" w:ascii="Times New Roman" w:hAnsi="Times New Roman" w:cs="Times New Roman"/>
          <w:sz w:val="28"/>
          <w:szCs w:val="28"/>
          <w:highlight w:val="none"/>
          <w:lang w:val="en-US" w:eastAsia="zh-CN"/>
        </w:rPr>
        <w:t>1</w:t>
      </w:r>
      <w:r>
        <w:rPr>
          <w:rFonts w:hint="eastAsia" w:ascii="Times New Roman" w:hAnsi="Times New Roman" w:cs="Times New Roman"/>
          <w:sz w:val="28"/>
          <w:szCs w:val="28"/>
          <w:highlight w:val="none"/>
        </w:rPr>
        <w:t>年</w:t>
      </w:r>
      <w:r>
        <w:rPr>
          <w:rFonts w:hint="eastAsia" w:ascii="Times New Roman" w:hAnsi="Times New Roman" w:cs="Times New Roman"/>
          <w:sz w:val="28"/>
          <w:szCs w:val="28"/>
          <w:highlight w:val="none"/>
          <w:lang w:val="en-US" w:eastAsia="zh-CN"/>
        </w:rPr>
        <w:t>四川</w:t>
      </w:r>
      <w:r>
        <w:rPr>
          <w:rFonts w:hint="eastAsia" w:ascii="Times New Roman" w:hAnsi="Times New Roman" w:cs="Times New Roman"/>
          <w:sz w:val="28"/>
          <w:szCs w:val="28"/>
          <w:highlight w:val="none"/>
        </w:rPr>
        <w:t>省恶性肿瘤</w:t>
      </w:r>
      <w:r>
        <w:rPr>
          <w:rFonts w:hint="eastAsia" w:ascii="Times New Roman" w:hAnsi="Times New Roman" w:cs="Times New Roman"/>
          <w:sz w:val="28"/>
          <w:szCs w:val="28"/>
          <w:highlight w:val="none"/>
          <w:lang w:val="en-US" w:eastAsia="zh-CN"/>
        </w:rPr>
        <w:t>粗</w:t>
      </w:r>
      <w:r>
        <w:rPr>
          <w:rFonts w:hint="eastAsia" w:ascii="Times New Roman" w:hAnsi="Times New Roman" w:cs="Times New Roman"/>
          <w:sz w:val="28"/>
          <w:szCs w:val="28"/>
          <w:highlight w:val="none"/>
        </w:rPr>
        <w:t>发病率为296.37/10万，</w:t>
      </w:r>
      <w:r>
        <w:rPr>
          <w:rFonts w:hint="eastAsia" w:ascii="Times New Roman" w:hAnsi="Times New Roman" w:cs="Times New Roman"/>
          <w:sz w:val="28"/>
          <w:szCs w:val="28"/>
          <w:highlight w:val="none"/>
          <w:lang w:val="en-US" w:eastAsia="zh-CN"/>
        </w:rPr>
        <w:t>粗</w:t>
      </w:r>
      <w:r>
        <w:rPr>
          <w:rFonts w:hint="eastAsia" w:ascii="Times New Roman" w:hAnsi="Times New Roman" w:cs="Times New Roman"/>
          <w:sz w:val="28"/>
          <w:szCs w:val="28"/>
          <w:highlight w:val="none"/>
        </w:rPr>
        <w:t>死亡率为189.16/10万</w:t>
      </w:r>
      <w:r>
        <w:rPr>
          <w:rFonts w:hint="eastAsia" w:ascii="Times New Roman" w:hAnsi="Times New Roman" w:cs="Times New Roman" w:eastAsiaTheme="minorEastAsia"/>
          <w:kern w:val="2"/>
          <w:sz w:val="28"/>
          <w:szCs w:val="28"/>
          <w:highlight w:val="none"/>
          <w:vertAlign w:val="superscript"/>
          <w:lang w:val="en-US" w:eastAsia="zh-CN" w:bidi="ar-SA"/>
        </w:rPr>
        <w:t>[5]</w:t>
      </w:r>
      <w:r>
        <w:rPr>
          <w:rFonts w:hint="eastAsia"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且</w:t>
      </w:r>
      <w:r>
        <w:rPr>
          <w:rFonts w:hint="eastAsia" w:ascii="Times New Roman" w:hAnsi="Times New Roman" w:cs="Times New Roman"/>
          <w:sz w:val="28"/>
          <w:szCs w:val="28"/>
          <w:highlight w:val="none"/>
        </w:rPr>
        <w:t>居民恶性肿瘤死亡率呈持续增长趋势</w:t>
      </w:r>
      <w:r>
        <w:rPr>
          <w:rFonts w:hint="eastAsia" w:ascii="Times New Roman" w:hAnsi="Times New Roman" w:cs="Times New Roman" w:eastAsiaTheme="minorEastAsia"/>
          <w:kern w:val="2"/>
          <w:sz w:val="28"/>
          <w:szCs w:val="28"/>
          <w:highlight w:val="none"/>
          <w:vertAlign w:val="superscript"/>
          <w:lang w:val="en-US" w:eastAsia="zh-CN" w:bidi="ar-SA"/>
        </w:rPr>
        <w:t>[6]</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遂宁市恶性肿瘤的流行病学研究仅覆盖2017—2019年</w:t>
      </w:r>
      <w:r>
        <w:rPr>
          <w:rFonts w:hint="eastAsia" w:ascii="Times New Roman" w:hAnsi="Times New Roman" w:cs="Times New Roman" w:eastAsiaTheme="minorEastAsia"/>
          <w:kern w:val="2"/>
          <w:sz w:val="28"/>
          <w:szCs w:val="28"/>
          <w:highlight w:val="none"/>
          <w:vertAlign w:val="superscript"/>
          <w:lang w:val="en-US" w:eastAsia="zh-CN" w:bidi="ar-SA"/>
        </w:rPr>
        <w:t>[7]</w:t>
      </w:r>
      <w:r>
        <w:rPr>
          <w:rFonts w:hint="eastAsia" w:ascii="Times New Roman" w:hAnsi="Times New Roman" w:cs="Times New Roman"/>
          <w:sz w:val="28"/>
          <w:szCs w:val="28"/>
          <w:highlight w:val="none"/>
          <w:lang w:val="en-US" w:eastAsia="zh-CN"/>
        </w:rPr>
        <w:t>，尚无最新数据的系统分析和趋势评估</w:t>
      </w:r>
      <w:r>
        <w:rPr>
          <w:rFonts w:hint="eastAsia" w:ascii="Times New Roman" w:hAnsi="Times New Roman" w:cs="Times New Roman"/>
          <w:sz w:val="28"/>
          <w:szCs w:val="28"/>
          <w:highlight w:val="none"/>
        </w:rPr>
        <w:t>。</w:t>
      </w:r>
      <w:r>
        <w:rPr>
          <w:rFonts w:ascii="Times New Roman" w:hAnsi="Times New Roman" w:cs="Times New Roman"/>
          <w:sz w:val="28"/>
          <w:szCs w:val="28"/>
          <w:highlight w:val="none"/>
        </w:rPr>
        <w:t>本研究通过分析四川省遂宁市</w:t>
      </w:r>
      <w:r>
        <w:rPr>
          <w:rFonts w:hint="eastAsia" w:ascii="Times New Roman" w:hAnsi="Times New Roman" w:cs="Times New Roman"/>
          <w:sz w:val="28"/>
          <w:szCs w:val="28"/>
          <w:highlight w:val="none"/>
          <w:lang w:eastAsia="zh-CN"/>
        </w:rPr>
        <w:t>2018—2023</w:t>
      </w:r>
      <w:r>
        <w:rPr>
          <w:rFonts w:hint="eastAsia" w:ascii="Times New Roman" w:hAnsi="Times New Roman" w:cs="Times New Roman"/>
          <w:sz w:val="28"/>
          <w:szCs w:val="28"/>
          <w:highlight w:val="none"/>
          <w:lang w:val="en-US" w:eastAsia="zh-CN"/>
        </w:rPr>
        <w:t>年</w:t>
      </w:r>
      <w:r>
        <w:rPr>
          <w:rFonts w:ascii="Times New Roman" w:hAnsi="Times New Roman" w:cs="Times New Roman"/>
          <w:sz w:val="28"/>
          <w:szCs w:val="28"/>
          <w:highlight w:val="none"/>
        </w:rPr>
        <w:t>恶性肿瘤的流行特征及变化趋势，旨在为该地区制定针对性肿瘤防治策略提供科学依据。</w:t>
      </w:r>
    </w:p>
    <w:p w14:paraId="565E8D95">
      <w:pPr>
        <w:spacing w:line="360" w:lineRule="auto"/>
        <w:rPr>
          <w:rFonts w:ascii="Times New Roman" w:hAnsi="Times New Roman" w:cs="Times New Roman"/>
          <w:b/>
          <w:bCs/>
          <w:sz w:val="28"/>
          <w:szCs w:val="28"/>
          <w:highlight w:val="none"/>
        </w:rPr>
      </w:pPr>
      <w:r>
        <w:rPr>
          <w:rFonts w:ascii="Times New Roman" w:hAnsi="Times New Roman" w:cs="Times New Roman"/>
          <w:b/>
          <w:bCs/>
          <w:sz w:val="28"/>
          <w:szCs w:val="28"/>
          <w:highlight w:val="none"/>
        </w:rPr>
        <w:t>1 资料与方法</w:t>
      </w:r>
    </w:p>
    <w:p w14:paraId="046A63FA">
      <w:pPr>
        <w:spacing w:line="360" w:lineRule="auto"/>
        <w:rPr>
          <w:rFonts w:ascii="Times New Roman" w:hAnsi="Times New Roman" w:cs="Times New Roman"/>
          <w:b/>
          <w:bCs/>
          <w:sz w:val="28"/>
          <w:szCs w:val="28"/>
          <w:highlight w:val="none"/>
        </w:rPr>
      </w:pPr>
      <w:r>
        <w:rPr>
          <w:rFonts w:ascii="Times New Roman" w:hAnsi="Times New Roman" w:cs="Times New Roman"/>
          <w:b/>
          <w:bCs/>
          <w:sz w:val="28"/>
          <w:szCs w:val="28"/>
          <w:highlight w:val="none"/>
        </w:rPr>
        <w:t>1.1数据来源</w:t>
      </w:r>
    </w:p>
    <w:p w14:paraId="008A0EF1">
      <w:pPr>
        <w:spacing w:line="360" w:lineRule="auto"/>
        <w:ind w:firstLine="560" w:firstLineChars="200"/>
        <w:rPr>
          <w:rFonts w:ascii="Times New Roman" w:hAnsi="Times New Roman" w:cs="Times New Roman"/>
          <w:sz w:val="28"/>
          <w:szCs w:val="28"/>
          <w:highlight w:val="none"/>
        </w:rPr>
      </w:pPr>
      <w:r>
        <w:rPr>
          <w:rFonts w:hint="eastAsia" w:ascii="Times New Roman" w:hAnsi="Times New Roman" w:cs="Times New Roman"/>
          <w:sz w:val="28"/>
          <w:szCs w:val="28"/>
          <w:highlight w:val="none"/>
        </w:rPr>
        <w:t>发病和死亡数据来源于中国肿瘤登记平台，提取2018—2023年户籍地址为四川省遂宁市的所有恶性肿瘤发病和死亡</w:t>
      </w:r>
      <w:r>
        <w:rPr>
          <w:rFonts w:hint="eastAsia" w:ascii="Times New Roman" w:hAnsi="Times New Roman" w:cs="Times New Roman"/>
          <w:sz w:val="28"/>
          <w:szCs w:val="28"/>
          <w:highlight w:val="none"/>
          <w:lang w:val="en-US" w:eastAsia="zh-CN"/>
        </w:rPr>
        <w:t>数据</w:t>
      </w:r>
      <w:r>
        <w:rPr>
          <w:rFonts w:hint="eastAsia" w:ascii="Times New Roman" w:hAnsi="Times New Roman" w:cs="Times New Roman"/>
          <w:sz w:val="28"/>
          <w:szCs w:val="28"/>
          <w:highlight w:val="none"/>
        </w:rPr>
        <w:t>，覆盖全市所有区县（船山区、安居区、蓬溪县、射洪市、大英县）。户籍人口数据来源于四川省疾病预防控制中心向省公安厅收集后下发。本研究已通过遂宁市中心医院医学科研伦理委员会审查批准（批件号：KYLLKS20250243）。</w:t>
      </w:r>
    </w:p>
    <w:p w14:paraId="4B6BF1F7">
      <w:pPr>
        <w:spacing w:line="360" w:lineRule="auto"/>
        <w:rPr>
          <w:rFonts w:ascii="Times New Roman" w:hAnsi="Times New Roman" w:cs="Times New Roman"/>
          <w:b/>
          <w:bCs/>
          <w:sz w:val="28"/>
          <w:szCs w:val="28"/>
          <w:highlight w:val="none"/>
        </w:rPr>
      </w:pPr>
      <w:r>
        <w:rPr>
          <w:rFonts w:ascii="Times New Roman" w:hAnsi="Times New Roman" w:cs="Times New Roman"/>
          <w:b/>
          <w:bCs/>
          <w:sz w:val="28"/>
          <w:szCs w:val="28"/>
          <w:highlight w:val="none"/>
        </w:rPr>
        <w:t>1.2质量控制</w:t>
      </w:r>
    </w:p>
    <w:p w14:paraId="072E7657">
      <w:pPr>
        <w:spacing w:line="360" w:lineRule="auto"/>
        <w:ind w:firstLine="560" w:firstLineChars="200"/>
        <w:rPr>
          <w:rFonts w:ascii="Times New Roman" w:hAnsi="Times New Roman" w:cs="Times New Roman"/>
          <w:sz w:val="28"/>
          <w:szCs w:val="28"/>
          <w:highlight w:val="none"/>
        </w:rPr>
      </w:pPr>
      <w:r>
        <w:rPr>
          <w:rFonts w:ascii="Times New Roman" w:hAnsi="Times New Roman" w:cs="Times New Roman"/>
          <w:sz w:val="28"/>
          <w:szCs w:val="28"/>
          <w:highlight w:val="none"/>
        </w:rPr>
        <w:t>本研究依据《中国肿瘤登记工作指导手册（2016）》的质量控制要求，对肿瘤数据的完整性和有效性进行评价</w:t>
      </w:r>
      <w:r>
        <w:rPr>
          <w:rFonts w:hint="eastAsia" w:ascii="Times New Roman" w:hAnsi="Times New Roman" w:cs="Times New Roman" w:eastAsiaTheme="minorEastAsia"/>
          <w:kern w:val="2"/>
          <w:sz w:val="28"/>
          <w:szCs w:val="28"/>
          <w:highlight w:val="none"/>
          <w:vertAlign w:val="superscript"/>
          <w:lang w:val="en-US" w:eastAsia="zh-CN" w:bidi="ar-SA"/>
        </w:rPr>
        <w:t>[8,9]</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rPr>
        <w:t xml:space="preserve"> 2018—2023年遂宁市恶性肿瘤数据显示，死亡发病比（mortality to incidence ratio，M/I）为0.66，病理学诊断比例（percentage of morphological verification，MV%）为75.31%，仅有死亡医学证明书比例（percentage of death certification only，DCO%）为0.25%，依据全国肿瘤登记中心质量控制标准（M/I</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rPr>
        <w:t>0.6~0.8</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rPr>
        <w:t>MV%&gt;66%、DCO%&lt;15%）</w:t>
      </w:r>
      <w:r>
        <w:rPr>
          <w:rFonts w:hint="eastAsia" w:ascii="Times New Roman" w:hAnsi="Times New Roman" w:cs="Times New Roman" w:eastAsiaTheme="minorEastAsia"/>
          <w:kern w:val="2"/>
          <w:sz w:val="28"/>
          <w:szCs w:val="28"/>
          <w:highlight w:val="none"/>
          <w:vertAlign w:val="superscript"/>
          <w:lang w:val="en-US" w:eastAsia="zh-CN" w:bidi="ar-SA"/>
        </w:rPr>
        <w:t>[10]</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rPr>
        <w:t>各项指标均符合质量控制要求，数据质量可靠</w:t>
      </w:r>
      <w:r>
        <w:rPr>
          <w:rFonts w:ascii="Times New Roman" w:hAnsi="Times New Roman" w:cs="Times New Roman"/>
          <w:sz w:val="28"/>
          <w:szCs w:val="28"/>
          <w:highlight w:val="none"/>
        </w:rPr>
        <w:t>。</w:t>
      </w:r>
    </w:p>
    <w:p w14:paraId="1C7E8BE0">
      <w:pPr>
        <w:spacing w:line="360" w:lineRule="auto"/>
        <w:ind w:firstLine="480" w:firstLineChars="200"/>
        <w:jc w:val="center"/>
        <w:rPr>
          <w:rFonts w:ascii="Times New Roman" w:hAnsi="Times New Roman" w:cs="Times New Roman"/>
          <w:sz w:val="24"/>
          <w:highlight w:val="none"/>
        </w:rPr>
      </w:pPr>
      <w:r>
        <w:rPr>
          <w:rFonts w:ascii="Times New Roman" w:hAnsi="Times New Roman" w:cs="Times New Roman"/>
          <w:sz w:val="24"/>
          <w:highlight w:val="none"/>
        </w:rPr>
        <w:t>Table 1 The quality indices of cancer registries in Suining from 2018 to 2023</w:t>
      </w:r>
    </w:p>
    <w:tbl>
      <w:tblPr>
        <w:tblStyle w:val="7"/>
        <w:tblW w:w="4999" w:type="pct"/>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129"/>
        <w:gridCol w:w="2130"/>
        <w:gridCol w:w="2130"/>
        <w:gridCol w:w="2131"/>
      </w:tblGrid>
      <w:tr w14:paraId="0CA3E57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9" w:type="pct"/>
            <w:tcBorders>
              <w:bottom w:val="single" w:color="auto" w:sz="6" w:space="0"/>
              <w:tl2br w:val="nil"/>
              <w:tr2bl w:val="nil"/>
            </w:tcBorders>
            <w:noWrap/>
            <w:vAlign w:val="center"/>
          </w:tcPr>
          <w:p w14:paraId="3DC8C08E">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Year</w:t>
            </w:r>
          </w:p>
        </w:tc>
        <w:tc>
          <w:tcPr>
            <w:tcW w:w="1249" w:type="pct"/>
            <w:tcBorders>
              <w:bottom w:val="single" w:color="auto" w:sz="6" w:space="0"/>
              <w:tl2br w:val="nil"/>
              <w:tr2bl w:val="nil"/>
            </w:tcBorders>
            <w:noWrap/>
            <w:vAlign w:val="center"/>
          </w:tcPr>
          <w:p w14:paraId="598FD98E">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M/I</w:t>
            </w:r>
          </w:p>
        </w:tc>
        <w:tc>
          <w:tcPr>
            <w:tcW w:w="1249" w:type="pct"/>
            <w:tcBorders>
              <w:bottom w:val="single" w:color="auto" w:sz="6" w:space="0"/>
              <w:tl2br w:val="nil"/>
              <w:tr2bl w:val="nil"/>
            </w:tcBorders>
            <w:noWrap/>
            <w:vAlign w:val="center"/>
          </w:tcPr>
          <w:p w14:paraId="7E9A11D8">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MV%</w:t>
            </w:r>
          </w:p>
        </w:tc>
        <w:tc>
          <w:tcPr>
            <w:tcW w:w="1250" w:type="pct"/>
            <w:tcBorders>
              <w:bottom w:val="single" w:color="auto" w:sz="6" w:space="0"/>
              <w:tl2br w:val="nil"/>
              <w:tr2bl w:val="nil"/>
            </w:tcBorders>
            <w:noWrap/>
            <w:vAlign w:val="center"/>
          </w:tcPr>
          <w:p w14:paraId="77AB95EF">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DCO%</w:t>
            </w:r>
          </w:p>
        </w:tc>
      </w:tr>
      <w:tr w14:paraId="4227189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 w:hRule="atLeast"/>
        </w:trPr>
        <w:tc>
          <w:tcPr>
            <w:tcW w:w="1249" w:type="pct"/>
            <w:tcBorders>
              <w:top w:val="single" w:color="auto" w:sz="6" w:space="0"/>
            </w:tcBorders>
            <w:noWrap/>
            <w:vAlign w:val="center"/>
          </w:tcPr>
          <w:p w14:paraId="06A5DE05">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2018</w:t>
            </w:r>
          </w:p>
        </w:tc>
        <w:tc>
          <w:tcPr>
            <w:tcW w:w="1249" w:type="pct"/>
            <w:tcBorders>
              <w:top w:val="single" w:color="auto" w:sz="6" w:space="0"/>
            </w:tcBorders>
            <w:noWrap/>
            <w:vAlign w:val="center"/>
          </w:tcPr>
          <w:p w14:paraId="2443219C">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0.66 </w:t>
            </w:r>
          </w:p>
        </w:tc>
        <w:tc>
          <w:tcPr>
            <w:tcW w:w="1249" w:type="pct"/>
            <w:tcBorders>
              <w:top w:val="single" w:color="auto" w:sz="6" w:space="0"/>
            </w:tcBorders>
            <w:noWrap/>
            <w:vAlign w:val="center"/>
          </w:tcPr>
          <w:p w14:paraId="3E6D3590">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75.50 </w:t>
            </w:r>
          </w:p>
        </w:tc>
        <w:tc>
          <w:tcPr>
            <w:tcW w:w="1250" w:type="pct"/>
            <w:tcBorders>
              <w:top w:val="single" w:color="auto" w:sz="6" w:space="0"/>
            </w:tcBorders>
            <w:noWrap/>
            <w:vAlign w:val="center"/>
          </w:tcPr>
          <w:p w14:paraId="7EACB19F">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0.31 </w:t>
            </w:r>
          </w:p>
        </w:tc>
      </w:tr>
      <w:tr w14:paraId="2D1D437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9" w:type="pct"/>
            <w:noWrap/>
            <w:vAlign w:val="center"/>
          </w:tcPr>
          <w:p w14:paraId="70E683F6">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2019</w:t>
            </w:r>
          </w:p>
        </w:tc>
        <w:tc>
          <w:tcPr>
            <w:tcW w:w="1249" w:type="pct"/>
            <w:noWrap/>
            <w:vAlign w:val="center"/>
          </w:tcPr>
          <w:p w14:paraId="566155EC">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0.64 </w:t>
            </w:r>
          </w:p>
        </w:tc>
        <w:tc>
          <w:tcPr>
            <w:tcW w:w="1249" w:type="pct"/>
            <w:noWrap/>
            <w:vAlign w:val="center"/>
          </w:tcPr>
          <w:p w14:paraId="6F2A2BC1">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74.54 </w:t>
            </w:r>
          </w:p>
        </w:tc>
        <w:tc>
          <w:tcPr>
            <w:tcW w:w="1250" w:type="pct"/>
            <w:noWrap/>
            <w:vAlign w:val="center"/>
          </w:tcPr>
          <w:p w14:paraId="3FDD6FF8">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0.20 </w:t>
            </w:r>
          </w:p>
        </w:tc>
      </w:tr>
      <w:tr w14:paraId="6AF3009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9" w:type="pct"/>
            <w:tcBorders>
              <w:tl2br w:val="nil"/>
              <w:tr2bl w:val="nil"/>
            </w:tcBorders>
            <w:noWrap/>
            <w:vAlign w:val="center"/>
          </w:tcPr>
          <w:p w14:paraId="56B1821F">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2020</w:t>
            </w:r>
          </w:p>
        </w:tc>
        <w:tc>
          <w:tcPr>
            <w:tcW w:w="1249" w:type="pct"/>
            <w:tcBorders>
              <w:tl2br w:val="nil"/>
              <w:tr2bl w:val="nil"/>
            </w:tcBorders>
            <w:noWrap/>
            <w:vAlign w:val="center"/>
          </w:tcPr>
          <w:p w14:paraId="72D9B5F3">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0.64 </w:t>
            </w:r>
          </w:p>
        </w:tc>
        <w:tc>
          <w:tcPr>
            <w:tcW w:w="1249" w:type="pct"/>
            <w:tcBorders>
              <w:tl2br w:val="nil"/>
              <w:tr2bl w:val="nil"/>
            </w:tcBorders>
            <w:noWrap/>
            <w:vAlign w:val="center"/>
          </w:tcPr>
          <w:p w14:paraId="2526318D">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75.75 </w:t>
            </w:r>
          </w:p>
        </w:tc>
        <w:tc>
          <w:tcPr>
            <w:tcW w:w="1250" w:type="pct"/>
            <w:tcBorders>
              <w:tl2br w:val="nil"/>
              <w:tr2bl w:val="nil"/>
            </w:tcBorders>
            <w:noWrap/>
            <w:vAlign w:val="center"/>
          </w:tcPr>
          <w:p w14:paraId="4547B4E1">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0.17 </w:t>
            </w:r>
          </w:p>
        </w:tc>
      </w:tr>
      <w:tr w14:paraId="613EBA8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9" w:type="pct"/>
            <w:tcBorders>
              <w:tl2br w:val="nil"/>
              <w:tr2bl w:val="nil"/>
            </w:tcBorders>
            <w:noWrap/>
            <w:vAlign w:val="center"/>
          </w:tcPr>
          <w:p w14:paraId="076A8D6E">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2021</w:t>
            </w:r>
          </w:p>
        </w:tc>
        <w:tc>
          <w:tcPr>
            <w:tcW w:w="1249" w:type="pct"/>
            <w:tcBorders>
              <w:tl2br w:val="nil"/>
              <w:tr2bl w:val="nil"/>
            </w:tcBorders>
            <w:noWrap/>
            <w:vAlign w:val="center"/>
          </w:tcPr>
          <w:p w14:paraId="1DC07015">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0.67 </w:t>
            </w:r>
          </w:p>
        </w:tc>
        <w:tc>
          <w:tcPr>
            <w:tcW w:w="1249" w:type="pct"/>
            <w:tcBorders>
              <w:tl2br w:val="nil"/>
              <w:tr2bl w:val="nil"/>
            </w:tcBorders>
            <w:noWrap/>
            <w:vAlign w:val="center"/>
          </w:tcPr>
          <w:p w14:paraId="7A98952A">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74.13 </w:t>
            </w:r>
          </w:p>
        </w:tc>
        <w:tc>
          <w:tcPr>
            <w:tcW w:w="1250" w:type="pct"/>
            <w:tcBorders>
              <w:tl2br w:val="nil"/>
              <w:tr2bl w:val="nil"/>
            </w:tcBorders>
            <w:noWrap/>
            <w:vAlign w:val="center"/>
          </w:tcPr>
          <w:p w14:paraId="4A9F6DA9">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0.45 </w:t>
            </w:r>
          </w:p>
        </w:tc>
      </w:tr>
      <w:tr w14:paraId="5884C53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9" w:type="pct"/>
            <w:tcBorders>
              <w:tl2br w:val="nil"/>
              <w:tr2bl w:val="nil"/>
            </w:tcBorders>
            <w:noWrap/>
            <w:vAlign w:val="center"/>
          </w:tcPr>
          <w:p w14:paraId="3E8751A5">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2022</w:t>
            </w:r>
          </w:p>
        </w:tc>
        <w:tc>
          <w:tcPr>
            <w:tcW w:w="1249" w:type="pct"/>
            <w:tcBorders>
              <w:tl2br w:val="nil"/>
              <w:tr2bl w:val="nil"/>
            </w:tcBorders>
            <w:noWrap/>
            <w:vAlign w:val="center"/>
          </w:tcPr>
          <w:p w14:paraId="6853F70A">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0.68 </w:t>
            </w:r>
          </w:p>
        </w:tc>
        <w:tc>
          <w:tcPr>
            <w:tcW w:w="1249" w:type="pct"/>
            <w:tcBorders>
              <w:tl2br w:val="nil"/>
              <w:tr2bl w:val="nil"/>
            </w:tcBorders>
            <w:noWrap/>
            <w:vAlign w:val="center"/>
          </w:tcPr>
          <w:p w14:paraId="78391B23">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74.86 </w:t>
            </w:r>
          </w:p>
        </w:tc>
        <w:tc>
          <w:tcPr>
            <w:tcW w:w="1250" w:type="pct"/>
            <w:tcBorders>
              <w:tl2br w:val="nil"/>
              <w:tr2bl w:val="nil"/>
            </w:tcBorders>
            <w:noWrap/>
            <w:vAlign w:val="center"/>
          </w:tcPr>
          <w:p w14:paraId="41D30C1E">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0.25 </w:t>
            </w:r>
          </w:p>
        </w:tc>
      </w:tr>
      <w:tr w14:paraId="408FFD4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9" w:type="pct"/>
            <w:tcBorders>
              <w:tl2br w:val="nil"/>
              <w:tr2bl w:val="nil"/>
            </w:tcBorders>
            <w:noWrap/>
            <w:vAlign w:val="center"/>
          </w:tcPr>
          <w:p w14:paraId="788EEBE1">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2023</w:t>
            </w:r>
          </w:p>
        </w:tc>
        <w:tc>
          <w:tcPr>
            <w:tcW w:w="1249" w:type="pct"/>
            <w:tcBorders>
              <w:tl2br w:val="nil"/>
              <w:tr2bl w:val="nil"/>
            </w:tcBorders>
            <w:noWrap/>
            <w:vAlign w:val="center"/>
          </w:tcPr>
          <w:p w14:paraId="1DFBFE37">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0.70 </w:t>
            </w:r>
          </w:p>
        </w:tc>
        <w:tc>
          <w:tcPr>
            <w:tcW w:w="1249" w:type="pct"/>
            <w:tcBorders>
              <w:tl2br w:val="nil"/>
              <w:tr2bl w:val="nil"/>
            </w:tcBorders>
            <w:noWrap/>
            <w:vAlign w:val="center"/>
          </w:tcPr>
          <w:p w14:paraId="675457F9">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77.12 </w:t>
            </w:r>
          </w:p>
        </w:tc>
        <w:tc>
          <w:tcPr>
            <w:tcW w:w="1250" w:type="pct"/>
            <w:tcBorders>
              <w:tl2br w:val="nil"/>
              <w:tr2bl w:val="nil"/>
            </w:tcBorders>
            <w:noWrap/>
            <w:vAlign w:val="center"/>
          </w:tcPr>
          <w:p w14:paraId="29BFDD0D">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0.10 </w:t>
            </w:r>
          </w:p>
        </w:tc>
      </w:tr>
      <w:tr w14:paraId="774F678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49" w:type="pct"/>
            <w:tcBorders>
              <w:tl2br w:val="nil"/>
              <w:tr2bl w:val="nil"/>
            </w:tcBorders>
            <w:noWrap/>
            <w:vAlign w:val="center"/>
          </w:tcPr>
          <w:p w14:paraId="6EF4B0E2">
            <w:pPr>
              <w:widowControl/>
              <w:jc w:val="center"/>
              <w:textAlignment w:val="center"/>
              <w:rPr>
                <w:rFonts w:ascii="Times New Roman" w:hAnsi="Times New Roman" w:eastAsia="宋体" w:cs="Times New Roman"/>
                <w:color w:val="000000"/>
                <w:kern w:val="0"/>
                <w:sz w:val="22"/>
                <w:szCs w:val="22"/>
                <w:highlight w:val="none"/>
                <w:lang w:bidi="ar"/>
              </w:rPr>
            </w:pPr>
            <w:r>
              <w:rPr>
                <w:rFonts w:hint="eastAsia" w:ascii="Times New Roman" w:hAnsi="Times New Roman" w:eastAsia="宋体" w:cs="Times New Roman"/>
                <w:color w:val="000000"/>
                <w:kern w:val="0"/>
                <w:sz w:val="22"/>
                <w:szCs w:val="22"/>
                <w:highlight w:val="none"/>
                <w:lang w:bidi="ar"/>
              </w:rPr>
              <w:t>T</w:t>
            </w:r>
            <w:r>
              <w:rPr>
                <w:rFonts w:ascii="Times New Roman" w:hAnsi="Times New Roman" w:eastAsia="宋体" w:cs="Times New Roman"/>
                <w:color w:val="000000"/>
                <w:kern w:val="0"/>
                <w:sz w:val="22"/>
                <w:szCs w:val="22"/>
                <w:highlight w:val="none"/>
                <w:lang w:bidi="ar"/>
              </w:rPr>
              <w:t>otal</w:t>
            </w:r>
          </w:p>
        </w:tc>
        <w:tc>
          <w:tcPr>
            <w:tcW w:w="1249" w:type="pct"/>
            <w:tcBorders>
              <w:tl2br w:val="nil"/>
              <w:tr2bl w:val="nil"/>
            </w:tcBorders>
            <w:noWrap/>
            <w:vAlign w:val="center"/>
          </w:tcPr>
          <w:p w14:paraId="3C32C65D">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0.66 </w:t>
            </w:r>
          </w:p>
        </w:tc>
        <w:tc>
          <w:tcPr>
            <w:tcW w:w="1249" w:type="pct"/>
            <w:tcBorders>
              <w:tl2br w:val="nil"/>
              <w:tr2bl w:val="nil"/>
            </w:tcBorders>
            <w:noWrap/>
            <w:vAlign w:val="center"/>
          </w:tcPr>
          <w:p w14:paraId="02F0A5CC">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75.31 </w:t>
            </w:r>
          </w:p>
        </w:tc>
        <w:tc>
          <w:tcPr>
            <w:tcW w:w="1250" w:type="pct"/>
            <w:tcBorders>
              <w:tl2br w:val="nil"/>
              <w:tr2bl w:val="nil"/>
            </w:tcBorders>
            <w:noWrap/>
            <w:vAlign w:val="center"/>
          </w:tcPr>
          <w:p w14:paraId="65152593">
            <w:pPr>
              <w:widowControl/>
              <w:jc w:val="center"/>
              <w:textAlignment w:val="center"/>
              <w:rPr>
                <w:rFonts w:ascii="Times New Roman" w:hAnsi="Times New Roman" w:eastAsia="宋体" w:cs="Times New Roman"/>
                <w:color w:val="000000"/>
                <w:kern w:val="0"/>
                <w:sz w:val="22"/>
                <w:szCs w:val="22"/>
                <w:highlight w:val="none"/>
                <w:lang w:bidi="ar"/>
              </w:rPr>
            </w:pPr>
            <w:r>
              <w:rPr>
                <w:rFonts w:ascii="Times New Roman" w:hAnsi="Times New Roman" w:eastAsia="宋体" w:cs="Times New Roman"/>
                <w:color w:val="000000"/>
                <w:kern w:val="0"/>
                <w:sz w:val="22"/>
                <w:szCs w:val="22"/>
                <w:highlight w:val="none"/>
                <w:lang w:bidi="ar"/>
              </w:rPr>
              <w:t xml:space="preserve">0.25 </w:t>
            </w:r>
          </w:p>
        </w:tc>
      </w:tr>
    </w:tbl>
    <w:p w14:paraId="3C435878">
      <w:pPr>
        <w:spacing w:line="360" w:lineRule="auto"/>
        <w:rPr>
          <w:rFonts w:ascii="Times New Roman" w:hAnsi="Times New Roman" w:cs="Times New Roman"/>
          <w:b/>
          <w:bCs/>
          <w:sz w:val="28"/>
          <w:szCs w:val="28"/>
          <w:highlight w:val="none"/>
        </w:rPr>
      </w:pPr>
      <w:r>
        <w:rPr>
          <w:rFonts w:ascii="Times New Roman" w:hAnsi="Times New Roman" w:cs="Times New Roman"/>
          <w:b/>
          <w:bCs/>
          <w:sz w:val="28"/>
          <w:szCs w:val="28"/>
          <w:highlight w:val="none"/>
        </w:rPr>
        <w:t>1.3统计分析</w:t>
      </w:r>
    </w:p>
    <w:p w14:paraId="7EA5D6DF">
      <w:pPr>
        <w:spacing w:line="360" w:lineRule="auto"/>
        <w:ind w:firstLine="560" w:firstLineChars="200"/>
        <w:rPr>
          <w:rFonts w:ascii="Times New Roman" w:hAnsi="Times New Roman" w:cs="Times New Roman"/>
          <w:b/>
          <w:bCs/>
          <w:sz w:val="28"/>
          <w:szCs w:val="28"/>
          <w:highlight w:val="none"/>
        </w:rPr>
      </w:pPr>
      <w:r>
        <w:rPr>
          <w:rFonts w:ascii="Times New Roman" w:hAnsi="Times New Roman" w:cs="Times New Roman"/>
          <w:sz w:val="28"/>
          <w:szCs w:val="28"/>
          <w:highlight w:val="none"/>
        </w:rPr>
        <w:t>采用excel 2021、SAS 9.4、Joinpoint Regression Program 6.0.0.0软件进行数据整理与分析。分别计算恶性肿瘤粗发病率</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粗</w:t>
      </w:r>
      <w:r>
        <w:rPr>
          <w:rFonts w:ascii="Times New Roman" w:hAnsi="Times New Roman" w:cs="Times New Roman"/>
          <w:sz w:val="28"/>
          <w:szCs w:val="28"/>
          <w:highlight w:val="none"/>
        </w:rPr>
        <w:t>死亡率，中国人口标化发病率</w:t>
      </w:r>
      <w:r>
        <w:rPr>
          <w:rFonts w:hint="eastAsia" w:ascii="Times New Roman" w:hAnsi="Times New Roman" w:cs="Times New Roman"/>
          <w:sz w:val="28"/>
          <w:szCs w:val="28"/>
          <w:highlight w:val="none"/>
          <w:lang w:val="en-US" w:eastAsia="zh-CN"/>
        </w:rPr>
        <w:t>和</w:t>
      </w:r>
      <w:r>
        <w:rPr>
          <w:rFonts w:ascii="Times New Roman" w:hAnsi="Times New Roman" w:cs="Times New Roman"/>
          <w:sz w:val="28"/>
          <w:szCs w:val="28"/>
          <w:highlight w:val="none"/>
        </w:rPr>
        <w:t>死亡率（中标率）、世界人口标化发病率</w:t>
      </w:r>
      <w:r>
        <w:rPr>
          <w:rFonts w:hint="eastAsia" w:ascii="Times New Roman" w:hAnsi="Times New Roman" w:cs="Times New Roman"/>
          <w:sz w:val="28"/>
          <w:szCs w:val="28"/>
          <w:highlight w:val="none"/>
          <w:lang w:val="en-US" w:eastAsia="zh-CN"/>
        </w:rPr>
        <w:t>和</w:t>
      </w:r>
      <w:r>
        <w:rPr>
          <w:rFonts w:ascii="Times New Roman" w:hAnsi="Times New Roman" w:cs="Times New Roman"/>
          <w:sz w:val="28"/>
          <w:szCs w:val="28"/>
          <w:highlight w:val="none"/>
        </w:rPr>
        <w:t>死亡率（世标率）。中标率采用2000年全国普查标准人口年龄构成计算，世标率采用Segi世界标准人口年龄构成计算。运用Joinpoin回归计算平均年度变化百分比（average annual percentage change,</w:t>
      </w:r>
      <w:r>
        <w:rPr>
          <w:rFonts w:hint="eastAsia" w:ascii="Times New Roman" w:hAnsi="Times New Roman" w:cs="Times New Roman"/>
          <w:sz w:val="28"/>
          <w:szCs w:val="28"/>
          <w:highlight w:val="none"/>
        </w:rPr>
        <w:t xml:space="preserve"> </w:t>
      </w:r>
      <w:r>
        <w:rPr>
          <w:rFonts w:ascii="Times New Roman" w:hAnsi="Times New Roman" w:cs="Times New Roman"/>
          <w:sz w:val="28"/>
          <w:szCs w:val="28"/>
          <w:highlight w:val="none"/>
        </w:rPr>
        <w:t>AAPC），描述发病率</w:t>
      </w:r>
      <w:r>
        <w:rPr>
          <w:rFonts w:hint="eastAsia" w:ascii="Times New Roman" w:hAnsi="Times New Roman" w:cs="Times New Roman"/>
          <w:sz w:val="28"/>
          <w:szCs w:val="28"/>
          <w:highlight w:val="none"/>
          <w:lang w:val="en-US" w:eastAsia="zh-CN"/>
        </w:rPr>
        <w:t>和</w:t>
      </w:r>
      <w:r>
        <w:rPr>
          <w:rFonts w:ascii="Times New Roman" w:hAnsi="Times New Roman" w:cs="Times New Roman"/>
          <w:sz w:val="28"/>
          <w:szCs w:val="28"/>
          <w:highlight w:val="none"/>
        </w:rPr>
        <w:t>死亡率的变化趋势</w:t>
      </w:r>
      <w:r>
        <w:rPr>
          <w:rFonts w:hint="eastAsia" w:ascii="Times New Roman" w:hAnsi="Times New Roman" w:cs="Times New Roman" w:eastAsiaTheme="minorEastAsia"/>
          <w:kern w:val="2"/>
          <w:sz w:val="28"/>
          <w:szCs w:val="28"/>
          <w:highlight w:val="none"/>
          <w:vertAlign w:val="superscript"/>
          <w:lang w:val="en-US" w:eastAsia="zh-CN" w:bidi="ar-SA"/>
        </w:rPr>
        <w:t>[11]</w:t>
      </w:r>
      <w:r>
        <w:rPr>
          <w:rFonts w:ascii="Times New Roman" w:hAnsi="Times New Roman" w:cs="Times New Roman"/>
          <w:sz w:val="28"/>
          <w:szCs w:val="28"/>
          <w:highlight w:val="none"/>
        </w:rPr>
        <w:t>。检验水准α取0.05。</w:t>
      </w:r>
      <w:r>
        <w:rPr>
          <w:rFonts w:ascii="Times New Roman" w:hAnsi="Times New Roman" w:cs="Times New Roman"/>
          <w:b/>
          <w:bCs/>
          <w:sz w:val="28"/>
          <w:szCs w:val="28"/>
          <w:highlight w:val="none"/>
        </w:rPr>
        <w:t xml:space="preserve">  </w:t>
      </w:r>
    </w:p>
    <w:p w14:paraId="3B311CB4">
      <w:pPr>
        <w:spacing w:line="360" w:lineRule="auto"/>
        <w:rPr>
          <w:rFonts w:ascii="Times New Roman" w:hAnsi="Times New Roman" w:cs="Times New Roman"/>
          <w:b/>
          <w:bCs/>
          <w:sz w:val="28"/>
          <w:szCs w:val="28"/>
          <w:highlight w:val="none"/>
        </w:rPr>
      </w:pPr>
      <w:r>
        <w:rPr>
          <w:rFonts w:ascii="Times New Roman" w:hAnsi="Times New Roman" w:cs="Times New Roman"/>
          <w:b/>
          <w:bCs/>
          <w:sz w:val="28"/>
          <w:szCs w:val="28"/>
          <w:highlight w:val="none"/>
        </w:rPr>
        <w:t>2结果</w:t>
      </w:r>
    </w:p>
    <w:p w14:paraId="6626EA3F">
      <w:pPr>
        <w:spacing w:line="360" w:lineRule="auto"/>
        <w:rPr>
          <w:rFonts w:ascii="Times New Roman" w:hAnsi="Times New Roman" w:cs="Times New Roman"/>
          <w:b/>
          <w:bCs/>
          <w:sz w:val="28"/>
          <w:szCs w:val="28"/>
          <w:highlight w:val="none"/>
        </w:rPr>
      </w:pPr>
      <w:r>
        <w:rPr>
          <w:rFonts w:ascii="Times New Roman" w:hAnsi="Times New Roman" w:cs="Times New Roman"/>
          <w:b/>
          <w:bCs/>
          <w:sz w:val="28"/>
          <w:szCs w:val="28"/>
          <w:highlight w:val="none"/>
        </w:rPr>
        <w:t>2.1恶性肿瘤总体发病</w:t>
      </w:r>
      <w:r>
        <w:rPr>
          <w:rFonts w:hint="eastAsia" w:ascii="Times New Roman" w:hAnsi="Times New Roman" w:cs="Times New Roman"/>
          <w:b/>
          <w:bCs/>
          <w:sz w:val="28"/>
          <w:szCs w:val="28"/>
          <w:highlight w:val="none"/>
          <w:lang w:val="en-US" w:eastAsia="zh-CN"/>
        </w:rPr>
        <w:t>和</w:t>
      </w:r>
      <w:r>
        <w:rPr>
          <w:rFonts w:ascii="Times New Roman" w:hAnsi="Times New Roman" w:cs="Times New Roman"/>
          <w:b/>
          <w:bCs/>
          <w:sz w:val="28"/>
          <w:szCs w:val="28"/>
          <w:highlight w:val="none"/>
        </w:rPr>
        <w:t>死亡情况</w:t>
      </w:r>
    </w:p>
    <w:p w14:paraId="7DF57050">
      <w:pPr>
        <w:ind w:firstLine="560" w:firstLineChars="200"/>
        <w:rPr>
          <w:rFonts w:ascii="Times New Roman" w:hAnsi="Times New Roman" w:cs="Times New Roman"/>
          <w:sz w:val="28"/>
          <w:szCs w:val="28"/>
          <w:highlight w:val="none"/>
        </w:rPr>
      </w:pPr>
      <w:r>
        <w:rPr>
          <w:rFonts w:hint="eastAsia" w:ascii="Times New Roman" w:hAnsi="Times New Roman" w:cs="Times New Roman"/>
          <w:sz w:val="28"/>
          <w:szCs w:val="28"/>
          <w:highlight w:val="none"/>
          <w:lang w:eastAsia="zh-CN"/>
        </w:rPr>
        <w:t>2018—2023</w:t>
      </w:r>
      <w:r>
        <w:rPr>
          <w:rFonts w:ascii="Times New Roman" w:hAnsi="Times New Roman" w:cs="Times New Roman"/>
          <w:sz w:val="28"/>
          <w:szCs w:val="28"/>
          <w:highlight w:val="none"/>
        </w:rPr>
        <w:t>遂宁市全人群恶性肿瘤新发63137例，粗发病率为293.39/10万，中标发病率为155.84/10万，世标发病率为152.98/10万。其中男性38499例（60.98%），粗发病率为345.64/10万，中标发病率为180.46/10万，世标发病率为179.60/10万；女性24638例（39.02%），粗发病率为237.32/10万，中标发病率为131.35/10万，世标发病率为126.03/10万（Table 2）。</w:t>
      </w:r>
    </w:p>
    <w:p w14:paraId="4BE2AFD0">
      <w:pPr>
        <w:ind w:firstLine="560" w:firstLineChars="200"/>
        <w:rPr>
          <w:rFonts w:ascii="Times New Roman" w:hAnsi="Times New Roman" w:cs="Times New Roman"/>
          <w:sz w:val="28"/>
          <w:szCs w:val="28"/>
          <w:highlight w:val="none"/>
        </w:rPr>
      </w:pPr>
      <w:r>
        <w:rPr>
          <w:rFonts w:hint="eastAsia" w:ascii="Times New Roman" w:hAnsi="Times New Roman" w:cs="Times New Roman"/>
          <w:sz w:val="28"/>
          <w:szCs w:val="28"/>
          <w:highlight w:val="none"/>
          <w:lang w:eastAsia="zh-CN"/>
        </w:rPr>
        <w:t>2018—2023</w:t>
      </w:r>
      <w:r>
        <w:rPr>
          <w:rFonts w:ascii="Times New Roman" w:hAnsi="Times New Roman" w:cs="Times New Roman"/>
          <w:sz w:val="28"/>
          <w:szCs w:val="28"/>
          <w:highlight w:val="none"/>
        </w:rPr>
        <w:t>遂宁市全人群恶性肿瘤死亡41954例，粗死亡率为194.95/10万，中标死亡率为94.08/10万，世标死亡率为93.53/10万。其中男性28681例（68.36%），粗死亡率为257.50/10万，中标死亡率为128.75/10万，世标死亡率为128.31/10万；女性13273例（31.64%），粗死亡率为127.85/10万，中标死亡率为58.52/10万，世标死亡率为57.79/10万（Table 3）。</w:t>
      </w:r>
    </w:p>
    <w:p w14:paraId="527F970D">
      <w:pPr>
        <w:spacing w:line="360" w:lineRule="auto"/>
        <w:rPr>
          <w:rFonts w:ascii="Times New Roman" w:hAnsi="Times New Roman" w:eastAsia="ZLKHBM-18" w:cs="Times New Roman"/>
          <w:color w:val="231F20"/>
          <w:kern w:val="0"/>
          <w:sz w:val="20"/>
          <w:szCs w:val="20"/>
          <w:highlight w:val="none"/>
          <w:lang w:bidi="ar"/>
        </w:rPr>
      </w:pPr>
      <w:r>
        <w:rPr>
          <w:rFonts w:ascii="Times New Roman" w:hAnsi="Times New Roman" w:cs="Times New Roman"/>
          <w:b/>
          <w:bCs/>
          <w:sz w:val="28"/>
          <w:szCs w:val="28"/>
          <w:highlight w:val="none"/>
        </w:rPr>
        <w:t>2.2恶性肿瘤发病</w:t>
      </w:r>
      <w:r>
        <w:rPr>
          <w:rFonts w:hint="eastAsia" w:ascii="Times New Roman" w:hAnsi="Times New Roman" w:cs="Times New Roman"/>
          <w:b/>
          <w:bCs/>
          <w:sz w:val="28"/>
          <w:szCs w:val="28"/>
          <w:highlight w:val="none"/>
          <w:lang w:val="en-US" w:eastAsia="zh-CN"/>
        </w:rPr>
        <w:t>和</w:t>
      </w:r>
      <w:r>
        <w:rPr>
          <w:rFonts w:ascii="Times New Roman" w:hAnsi="Times New Roman" w:cs="Times New Roman"/>
          <w:b/>
          <w:bCs/>
          <w:sz w:val="28"/>
          <w:szCs w:val="28"/>
          <w:highlight w:val="none"/>
        </w:rPr>
        <w:t>死亡变化趋势</w:t>
      </w:r>
    </w:p>
    <w:p w14:paraId="03D2BB6C">
      <w:pPr>
        <w:ind w:firstLine="560" w:firstLineChars="200"/>
        <w:rPr>
          <w:rFonts w:ascii="Times New Roman" w:hAnsi="Times New Roman" w:cs="Times New Roman"/>
          <w:sz w:val="28"/>
          <w:szCs w:val="28"/>
          <w:highlight w:val="none"/>
        </w:rPr>
      </w:pPr>
      <w:r>
        <w:rPr>
          <w:rFonts w:hint="eastAsia" w:ascii="Times New Roman" w:hAnsi="Times New Roman" w:cs="Times New Roman"/>
          <w:sz w:val="28"/>
          <w:szCs w:val="28"/>
          <w:highlight w:val="none"/>
          <w:lang w:eastAsia="zh-CN"/>
        </w:rPr>
        <w:t>2018—2023</w:t>
      </w:r>
      <w:r>
        <w:rPr>
          <w:rFonts w:ascii="Times New Roman" w:hAnsi="Times New Roman" w:cs="Times New Roman"/>
          <w:sz w:val="28"/>
          <w:szCs w:val="28"/>
          <w:highlight w:val="none"/>
        </w:rPr>
        <w:t>遂宁市全人群恶性肿瘤粗发病率、中标发病率、世标发病率均无明显变化趋势（</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&gt;0.05）。男性粗发病率无明显变化趋势（</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&gt;0.05）；中标发病率、世标发病率呈下降趋势，AAPC分别为-2.95%（</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：-5.70~-0.24，</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=0.025）、-2.97%（</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：-5.95~-0.06，</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=0.047）。女性粗发病率、中标发病率、世标发病率均无明显变化趋势（</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&gt;0.05）（Table 2）。</w:t>
      </w:r>
    </w:p>
    <w:p w14:paraId="466CCEB7">
      <w:pPr>
        <w:ind w:firstLine="560" w:firstLineChars="200"/>
        <w:rPr>
          <w:rFonts w:ascii="Times New Roman" w:hAnsi="Times New Roman" w:cs="Times New Roman"/>
          <w:sz w:val="28"/>
          <w:szCs w:val="28"/>
          <w:highlight w:val="none"/>
        </w:rPr>
        <w:sectPr>
          <w:headerReference r:id="rId3" w:type="even"/>
          <w:footerReference r:id="rId4" w:type="even"/>
          <w:pgSz w:w="11906" w:h="16838"/>
          <w:pgMar w:top="1440" w:right="1800" w:bottom="1440" w:left="1800" w:header="851" w:footer="992" w:gutter="0"/>
          <w:cols w:space="425" w:num="1"/>
          <w:docGrid w:type="lines" w:linePitch="312" w:charSpace="0"/>
        </w:sectPr>
      </w:pPr>
      <w:r>
        <w:rPr>
          <w:rFonts w:hint="eastAsia" w:ascii="Times New Roman" w:hAnsi="Times New Roman" w:cs="Times New Roman"/>
          <w:sz w:val="28"/>
          <w:szCs w:val="28"/>
          <w:highlight w:val="none"/>
          <w:lang w:eastAsia="zh-CN"/>
        </w:rPr>
        <w:t>2018—2023</w:t>
      </w:r>
      <w:r>
        <w:rPr>
          <w:rFonts w:ascii="Times New Roman" w:hAnsi="Times New Roman" w:cs="Times New Roman"/>
          <w:sz w:val="28"/>
          <w:szCs w:val="28"/>
          <w:highlight w:val="none"/>
        </w:rPr>
        <w:t>遂宁市全人群恶性肿瘤粗死亡率无明显变化趋势（</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&gt;0.05）；中标死亡率、世标死亡率呈下降趋势，AAPC分别为-2.12%（</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：-3.56~-0.74，</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=0.003）、-2.17%（</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：-3.74~-0.64，</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=0.004）。男性粗死亡率呈上升趋势，AAPC为2.25%（</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：0.56~3.95，</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=0.008）、中标死亡率、世标死亡率呈下降趋势，AAPC分别为-1.57%（</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：-2.87~-0.32，</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=0.012）、-1.57%（</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：-2.86~-0.33，</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=0.013）；女性粗死亡率、世标发病率无明显变化趋势（</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&gt;0.05），中标死亡率呈下降趋势，AAPC为-3.24（</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：-6.25~-0.22，</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=0.039）（Table 3）。</w:t>
      </w:r>
    </w:p>
    <w:p w14:paraId="0521C5A5">
      <w:pPr>
        <w:spacing w:line="360" w:lineRule="auto"/>
        <w:jc w:val="center"/>
        <w:rPr>
          <w:rFonts w:ascii="Times New Roman" w:hAnsi="Times New Roman" w:cs="Times New Roman"/>
          <w:sz w:val="24"/>
          <w:highlight w:val="none"/>
        </w:rPr>
      </w:pPr>
      <w:r>
        <w:rPr>
          <w:rFonts w:ascii="Times New Roman" w:hAnsi="Times New Roman" w:cs="Times New Roman"/>
          <w:sz w:val="24"/>
          <w:highlight w:val="none"/>
        </w:rPr>
        <w:t>Table 2 Incidence rates of malignant tumors in Suining from 2018 to 2023</w:t>
      </w:r>
    </w:p>
    <w:tbl>
      <w:tblPr>
        <w:tblStyle w:val="7"/>
        <w:tblW w:w="0" w:type="auto"/>
        <w:tblInd w:w="-105" w:type="dxa"/>
        <w:tblLayout w:type="autofit"/>
        <w:tblCellMar>
          <w:top w:w="0" w:type="dxa"/>
          <w:left w:w="108" w:type="dxa"/>
          <w:bottom w:w="0" w:type="dxa"/>
          <w:right w:w="108" w:type="dxa"/>
        </w:tblCellMar>
      </w:tblPr>
      <w:tblGrid>
        <w:gridCol w:w="1203"/>
        <w:gridCol w:w="744"/>
        <w:gridCol w:w="1178"/>
        <w:gridCol w:w="1108"/>
        <w:gridCol w:w="1111"/>
        <w:gridCol w:w="240"/>
        <w:gridCol w:w="744"/>
        <w:gridCol w:w="1178"/>
        <w:gridCol w:w="1153"/>
        <w:gridCol w:w="1165"/>
        <w:gridCol w:w="222"/>
        <w:gridCol w:w="744"/>
        <w:gridCol w:w="1178"/>
        <w:gridCol w:w="1108"/>
        <w:gridCol w:w="1203"/>
      </w:tblGrid>
      <w:tr w14:paraId="57C86E27">
        <w:tblPrEx>
          <w:tblCellMar>
            <w:top w:w="0" w:type="dxa"/>
            <w:left w:w="108" w:type="dxa"/>
            <w:bottom w:w="0" w:type="dxa"/>
            <w:right w:w="108" w:type="dxa"/>
          </w:tblCellMar>
        </w:tblPrEx>
        <w:trPr>
          <w:trHeight w:val="330" w:hRule="atLeast"/>
        </w:trPr>
        <w:tc>
          <w:tcPr>
            <w:tcW w:w="1203" w:type="dxa"/>
            <w:vMerge w:val="restart"/>
            <w:tcBorders>
              <w:top w:val="single" w:color="000000" w:sz="12" w:space="0"/>
              <w:left w:val="nil"/>
              <w:bottom w:val="nil"/>
              <w:right w:val="nil"/>
            </w:tcBorders>
            <w:vAlign w:val="center"/>
          </w:tcPr>
          <w:p w14:paraId="7ABE106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Year</w:t>
            </w:r>
          </w:p>
        </w:tc>
        <w:tc>
          <w:tcPr>
            <w:tcW w:w="4120" w:type="dxa"/>
            <w:gridSpan w:val="4"/>
            <w:tcBorders>
              <w:top w:val="single" w:color="000000" w:sz="12" w:space="0"/>
              <w:left w:val="nil"/>
              <w:bottom w:val="single" w:color="000000" w:sz="8" w:space="0"/>
              <w:right w:val="nil"/>
            </w:tcBorders>
            <w:vAlign w:val="center"/>
          </w:tcPr>
          <w:p w14:paraId="79BFFAC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Both</w:t>
            </w:r>
          </w:p>
        </w:tc>
        <w:tc>
          <w:tcPr>
            <w:tcW w:w="240" w:type="dxa"/>
            <w:tcBorders>
              <w:top w:val="single" w:color="000000" w:sz="12" w:space="0"/>
              <w:left w:val="nil"/>
              <w:bottom w:val="nil"/>
              <w:right w:val="nil"/>
            </w:tcBorders>
            <w:vAlign w:val="center"/>
          </w:tcPr>
          <w:p w14:paraId="4D944BC5">
            <w:pPr>
              <w:jc w:val="center"/>
              <w:rPr>
                <w:rFonts w:ascii="Times New Roman" w:hAnsi="Times New Roman" w:eastAsia="宋体" w:cs="Times New Roman"/>
                <w:color w:val="231F20"/>
                <w:sz w:val="18"/>
                <w:szCs w:val="18"/>
                <w:highlight w:val="none"/>
              </w:rPr>
            </w:pPr>
          </w:p>
        </w:tc>
        <w:tc>
          <w:tcPr>
            <w:tcW w:w="0" w:type="auto"/>
            <w:gridSpan w:val="4"/>
            <w:tcBorders>
              <w:top w:val="single" w:color="000000" w:sz="12" w:space="0"/>
              <w:left w:val="nil"/>
              <w:bottom w:val="single" w:color="000000" w:sz="8" w:space="0"/>
              <w:right w:val="nil"/>
            </w:tcBorders>
            <w:vAlign w:val="center"/>
          </w:tcPr>
          <w:p w14:paraId="13739FCD">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Male</w:t>
            </w:r>
          </w:p>
        </w:tc>
        <w:tc>
          <w:tcPr>
            <w:tcW w:w="0" w:type="auto"/>
            <w:tcBorders>
              <w:top w:val="single" w:color="000000" w:sz="12" w:space="0"/>
              <w:left w:val="nil"/>
              <w:bottom w:val="nil"/>
              <w:right w:val="nil"/>
            </w:tcBorders>
            <w:vAlign w:val="center"/>
          </w:tcPr>
          <w:p w14:paraId="102C2A62">
            <w:pPr>
              <w:jc w:val="center"/>
              <w:rPr>
                <w:rFonts w:ascii="Times New Roman" w:hAnsi="Times New Roman" w:eastAsia="宋体" w:cs="Times New Roman"/>
                <w:color w:val="231F20"/>
                <w:sz w:val="18"/>
                <w:szCs w:val="18"/>
                <w:highlight w:val="none"/>
              </w:rPr>
            </w:pPr>
          </w:p>
        </w:tc>
        <w:tc>
          <w:tcPr>
            <w:tcW w:w="0" w:type="auto"/>
            <w:gridSpan w:val="4"/>
            <w:tcBorders>
              <w:top w:val="single" w:color="000000" w:sz="12" w:space="0"/>
              <w:left w:val="nil"/>
              <w:bottom w:val="single" w:color="000000" w:sz="8" w:space="0"/>
              <w:right w:val="nil"/>
            </w:tcBorders>
            <w:vAlign w:val="center"/>
          </w:tcPr>
          <w:p w14:paraId="204127D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Female</w:t>
            </w:r>
          </w:p>
        </w:tc>
      </w:tr>
      <w:tr w14:paraId="27341035">
        <w:tblPrEx>
          <w:tblCellMar>
            <w:top w:w="0" w:type="dxa"/>
            <w:left w:w="108" w:type="dxa"/>
            <w:bottom w:w="0" w:type="dxa"/>
            <w:right w:w="108" w:type="dxa"/>
          </w:tblCellMar>
        </w:tblPrEx>
        <w:trPr>
          <w:trHeight w:val="540" w:hRule="atLeast"/>
        </w:trPr>
        <w:tc>
          <w:tcPr>
            <w:tcW w:w="1203" w:type="dxa"/>
            <w:vMerge w:val="continue"/>
            <w:tcBorders>
              <w:top w:val="single" w:color="000000" w:sz="12" w:space="0"/>
              <w:left w:val="nil"/>
              <w:bottom w:val="nil"/>
              <w:right w:val="nil"/>
            </w:tcBorders>
            <w:vAlign w:val="center"/>
          </w:tcPr>
          <w:p w14:paraId="476DDAFE">
            <w:pPr>
              <w:jc w:val="center"/>
              <w:rPr>
                <w:rFonts w:ascii="Times New Roman" w:hAnsi="Times New Roman" w:eastAsia="宋体" w:cs="Times New Roman"/>
                <w:color w:val="231F20"/>
                <w:sz w:val="18"/>
                <w:szCs w:val="18"/>
                <w:highlight w:val="none"/>
              </w:rPr>
            </w:pPr>
          </w:p>
        </w:tc>
        <w:tc>
          <w:tcPr>
            <w:tcW w:w="0" w:type="auto"/>
            <w:tcBorders>
              <w:top w:val="nil"/>
              <w:left w:val="nil"/>
              <w:bottom w:val="single" w:color="000000" w:sz="8" w:space="0"/>
              <w:right w:val="nil"/>
            </w:tcBorders>
            <w:vAlign w:val="center"/>
          </w:tcPr>
          <w:p w14:paraId="56F384E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New cases</w:t>
            </w:r>
          </w:p>
        </w:tc>
        <w:tc>
          <w:tcPr>
            <w:tcW w:w="0" w:type="auto"/>
            <w:tcBorders>
              <w:top w:val="single" w:color="000000" w:sz="8" w:space="0"/>
              <w:left w:val="nil"/>
              <w:bottom w:val="single" w:color="000000" w:sz="8" w:space="0"/>
              <w:right w:val="nil"/>
            </w:tcBorders>
            <w:vAlign w:val="center"/>
          </w:tcPr>
          <w:p w14:paraId="2AA1181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Crude rate</w:t>
            </w:r>
            <w:r>
              <w:rPr>
                <w:rStyle w:val="12"/>
                <w:rFonts w:hint="default" w:ascii="Times New Roman" w:hAnsi="Times New Roman" w:cs="Times New Roman"/>
                <w:sz w:val="18"/>
                <w:szCs w:val="18"/>
                <w:highlight w:val="none"/>
                <w:lang w:bidi="ar"/>
              </w:rPr>
              <w:t>（</w:t>
            </w:r>
            <w:r>
              <w:rPr>
                <w:rFonts w:ascii="Times New Roman" w:hAnsi="Times New Roman" w:eastAsia="宋体" w:cs="Times New Roman"/>
                <w:color w:val="231F20"/>
                <w:kern w:val="0"/>
                <w:sz w:val="18"/>
                <w:szCs w:val="18"/>
                <w:highlight w:val="none"/>
                <w:lang w:bidi="ar"/>
              </w:rPr>
              <w:t>1/10</w:t>
            </w:r>
            <w:r>
              <w:rPr>
                <w:rStyle w:val="13"/>
                <w:rFonts w:eastAsia="宋体"/>
                <w:sz w:val="18"/>
                <w:szCs w:val="18"/>
                <w:highlight w:val="none"/>
                <w:lang w:bidi="ar"/>
              </w:rPr>
              <w:t>5</w:t>
            </w:r>
            <w:r>
              <w:rPr>
                <w:rStyle w:val="12"/>
                <w:rFonts w:hint="default" w:ascii="Times New Roman" w:hAnsi="Times New Roman" w:cs="Times New Roman"/>
                <w:sz w:val="18"/>
                <w:szCs w:val="18"/>
                <w:highlight w:val="none"/>
                <w:lang w:bidi="ar"/>
              </w:rPr>
              <w:t>）</w:t>
            </w:r>
          </w:p>
        </w:tc>
        <w:tc>
          <w:tcPr>
            <w:tcW w:w="0" w:type="auto"/>
            <w:tcBorders>
              <w:top w:val="nil"/>
              <w:left w:val="nil"/>
              <w:bottom w:val="single" w:color="000000" w:sz="8" w:space="0"/>
              <w:right w:val="nil"/>
            </w:tcBorders>
            <w:vAlign w:val="center"/>
          </w:tcPr>
          <w:p w14:paraId="451B610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ASRC</w:t>
            </w:r>
            <w:r>
              <w:rPr>
                <w:rStyle w:val="12"/>
                <w:rFonts w:hint="default" w:ascii="Times New Roman" w:hAnsi="Times New Roman" w:cs="Times New Roman"/>
                <w:sz w:val="18"/>
                <w:szCs w:val="18"/>
                <w:highlight w:val="none"/>
                <w:lang w:bidi="ar"/>
              </w:rPr>
              <w:t>（</w:t>
            </w:r>
            <w:r>
              <w:rPr>
                <w:rFonts w:ascii="Times New Roman" w:hAnsi="Times New Roman" w:eastAsia="宋体" w:cs="Times New Roman"/>
                <w:color w:val="231F20"/>
                <w:kern w:val="0"/>
                <w:sz w:val="18"/>
                <w:szCs w:val="18"/>
                <w:highlight w:val="none"/>
                <w:lang w:bidi="ar"/>
              </w:rPr>
              <w:t>1/10</w:t>
            </w:r>
            <w:r>
              <w:rPr>
                <w:rStyle w:val="13"/>
                <w:rFonts w:eastAsia="宋体"/>
                <w:sz w:val="18"/>
                <w:szCs w:val="18"/>
                <w:highlight w:val="none"/>
                <w:lang w:bidi="ar"/>
              </w:rPr>
              <w:t>5</w:t>
            </w:r>
            <w:r>
              <w:rPr>
                <w:rStyle w:val="12"/>
                <w:rFonts w:hint="default" w:ascii="Times New Roman" w:hAnsi="Times New Roman" w:cs="Times New Roman"/>
                <w:sz w:val="18"/>
                <w:szCs w:val="18"/>
                <w:highlight w:val="none"/>
                <w:lang w:bidi="ar"/>
              </w:rPr>
              <w:t>）</w:t>
            </w:r>
          </w:p>
        </w:tc>
        <w:tc>
          <w:tcPr>
            <w:tcW w:w="1112" w:type="dxa"/>
            <w:tcBorders>
              <w:top w:val="single" w:color="000000" w:sz="8" w:space="0"/>
              <w:left w:val="nil"/>
              <w:bottom w:val="single" w:color="000000" w:sz="8" w:space="0"/>
              <w:right w:val="nil"/>
            </w:tcBorders>
            <w:vAlign w:val="center"/>
          </w:tcPr>
          <w:p w14:paraId="2C3FF6A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ASRW</w:t>
            </w:r>
            <w:r>
              <w:rPr>
                <w:rStyle w:val="12"/>
                <w:rFonts w:hint="default" w:ascii="Times New Roman" w:hAnsi="Times New Roman" w:cs="Times New Roman"/>
                <w:sz w:val="18"/>
                <w:szCs w:val="18"/>
                <w:highlight w:val="none"/>
                <w:lang w:bidi="ar"/>
              </w:rPr>
              <w:t>（</w:t>
            </w:r>
            <w:r>
              <w:rPr>
                <w:rFonts w:ascii="Times New Roman" w:hAnsi="Times New Roman" w:eastAsia="宋体" w:cs="Times New Roman"/>
                <w:color w:val="231F20"/>
                <w:kern w:val="0"/>
                <w:sz w:val="18"/>
                <w:szCs w:val="18"/>
                <w:highlight w:val="none"/>
                <w:lang w:bidi="ar"/>
              </w:rPr>
              <w:t>1/10</w:t>
            </w:r>
            <w:r>
              <w:rPr>
                <w:rStyle w:val="13"/>
                <w:rFonts w:eastAsia="宋体"/>
                <w:sz w:val="18"/>
                <w:szCs w:val="18"/>
                <w:highlight w:val="none"/>
                <w:lang w:bidi="ar"/>
              </w:rPr>
              <w:t>5</w:t>
            </w:r>
            <w:r>
              <w:rPr>
                <w:rStyle w:val="12"/>
                <w:rFonts w:hint="default" w:ascii="Times New Roman" w:hAnsi="Times New Roman" w:cs="Times New Roman"/>
                <w:sz w:val="18"/>
                <w:szCs w:val="18"/>
                <w:highlight w:val="none"/>
                <w:lang w:bidi="ar"/>
              </w:rPr>
              <w:t>）</w:t>
            </w:r>
          </w:p>
        </w:tc>
        <w:tc>
          <w:tcPr>
            <w:tcW w:w="240" w:type="dxa"/>
            <w:tcBorders>
              <w:top w:val="nil"/>
              <w:left w:val="nil"/>
              <w:bottom w:val="single" w:color="000000" w:sz="8" w:space="0"/>
              <w:right w:val="nil"/>
            </w:tcBorders>
            <w:vAlign w:val="center"/>
          </w:tcPr>
          <w:p w14:paraId="567BBF05">
            <w:pPr>
              <w:jc w:val="center"/>
              <w:rPr>
                <w:rFonts w:ascii="Times New Roman" w:hAnsi="Times New Roman" w:eastAsia="宋体" w:cs="Times New Roman"/>
                <w:color w:val="231F20"/>
                <w:sz w:val="18"/>
                <w:szCs w:val="18"/>
                <w:highlight w:val="none"/>
              </w:rPr>
            </w:pPr>
          </w:p>
        </w:tc>
        <w:tc>
          <w:tcPr>
            <w:tcW w:w="0" w:type="auto"/>
            <w:tcBorders>
              <w:top w:val="single" w:color="000000" w:sz="8" w:space="0"/>
              <w:left w:val="nil"/>
              <w:bottom w:val="single" w:color="000000" w:sz="8" w:space="0"/>
              <w:right w:val="nil"/>
            </w:tcBorders>
            <w:vAlign w:val="center"/>
          </w:tcPr>
          <w:p w14:paraId="2A60F2B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New cases</w:t>
            </w:r>
          </w:p>
        </w:tc>
        <w:tc>
          <w:tcPr>
            <w:tcW w:w="0" w:type="auto"/>
            <w:tcBorders>
              <w:top w:val="single" w:color="000000" w:sz="8" w:space="0"/>
              <w:left w:val="nil"/>
              <w:bottom w:val="single" w:color="000000" w:sz="8" w:space="0"/>
              <w:right w:val="nil"/>
            </w:tcBorders>
            <w:vAlign w:val="center"/>
          </w:tcPr>
          <w:p w14:paraId="2F2C6A3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Crude rate</w:t>
            </w:r>
            <w:r>
              <w:rPr>
                <w:rStyle w:val="12"/>
                <w:rFonts w:hint="default" w:ascii="Times New Roman" w:hAnsi="Times New Roman" w:cs="Times New Roman"/>
                <w:sz w:val="18"/>
                <w:szCs w:val="18"/>
                <w:highlight w:val="none"/>
                <w:lang w:bidi="ar"/>
              </w:rPr>
              <w:t>（</w:t>
            </w:r>
            <w:r>
              <w:rPr>
                <w:rFonts w:ascii="Times New Roman" w:hAnsi="Times New Roman" w:eastAsia="宋体" w:cs="Times New Roman"/>
                <w:color w:val="231F20"/>
                <w:kern w:val="0"/>
                <w:sz w:val="18"/>
                <w:szCs w:val="18"/>
                <w:highlight w:val="none"/>
                <w:lang w:bidi="ar"/>
              </w:rPr>
              <w:t>1/10</w:t>
            </w:r>
            <w:r>
              <w:rPr>
                <w:rStyle w:val="13"/>
                <w:rFonts w:eastAsia="宋体"/>
                <w:sz w:val="18"/>
                <w:szCs w:val="18"/>
                <w:highlight w:val="none"/>
                <w:lang w:bidi="ar"/>
              </w:rPr>
              <w:t>5</w:t>
            </w:r>
            <w:r>
              <w:rPr>
                <w:rStyle w:val="12"/>
                <w:rFonts w:hint="default" w:ascii="Times New Roman" w:hAnsi="Times New Roman" w:cs="Times New Roman"/>
                <w:sz w:val="18"/>
                <w:szCs w:val="18"/>
                <w:highlight w:val="none"/>
                <w:lang w:bidi="ar"/>
              </w:rPr>
              <w:t>）</w:t>
            </w:r>
          </w:p>
        </w:tc>
        <w:tc>
          <w:tcPr>
            <w:tcW w:w="0" w:type="auto"/>
            <w:tcBorders>
              <w:top w:val="single" w:color="000000" w:sz="8" w:space="0"/>
              <w:left w:val="nil"/>
              <w:bottom w:val="single" w:color="000000" w:sz="8" w:space="0"/>
              <w:right w:val="nil"/>
            </w:tcBorders>
            <w:vAlign w:val="center"/>
          </w:tcPr>
          <w:p w14:paraId="06DEE30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ASRC</w:t>
            </w:r>
            <w:r>
              <w:rPr>
                <w:rStyle w:val="12"/>
                <w:rFonts w:hint="default" w:ascii="Times New Roman" w:hAnsi="Times New Roman" w:cs="Times New Roman"/>
                <w:sz w:val="18"/>
                <w:szCs w:val="18"/>
                <w:highlight w:val="none"/>
                <w:lang w:bidi="ar"/>
              </w:rPr>
              <w:t>（</w:t>
            </w:r>
            <w:r>
              <w:rPr>
                <w:rFonts w:ascii="Times New Roman" w:hAnsi="Times New Roman" w:eastAsia="宋体" w:cs="Times New Roman"/>
                <w:color w:val="231F20"/>
                <w:kern w:val="0"/>
                <w:sz w:val="18"/>
                <w:szCs w:val="18"/>
                <w:highlight w:val="none"/>
                <w:lang w:bidi="ar"/>
              </w:rPr>
              <w:t>1/10</w:t>
            </w:r>
            <w:r>
              <w:rPr>
                <w:rStyle w:val="13"/>
                <w:rFonts w:eastAsia="宋体"/>
                <w:sz w:val="18"/>
                <w:szCs w:val="18"/>
                <w:highlight w:val="none"/>
                <w:lang w:bidi="ar"/>
              </w:rPr>
              <w:t>5</w:t>
            </w:r>
            <w:r>
              <w:rPr>
                <w:rStyle w:val="12"/>
                <w:rFonts w:hint="default" w:ascii="Times New Roman" w:hAnsi="Times New Roman" w:cs="Times New Roman"/>
                <w:sz w:val="18"/>
                <w:szCs w:val="18"/>
                <w:highlight w:val="none"/>
                <w:lang w:bidi="ar"/>
              </w:rPr>
              <w:t>）</w:t>
            </w:r>
          </w:p>
        </w:tc>
        <w:tc>
          <w:tcPr>
            <w:tcW w:w="0" w:type="auto"/>
            <w:tcBorders>
              <w:top w:val="single" w:color="000000" w:sz="8" w:space="0"/>
              <w:left w:val="nil"/>
              <w:bottom w:val="single" w:color="000000" w:sz="8" w:space="0"/>
              <w:right w:val="nil"/>
            </w:tcBorders>
            <w:vAlign w:val="center"/>
          </w:tcPr>
          <w:p w14:paraId="0D91B50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ASRW</w:t>
            </w:r>
            <w:r>
              <w:rPr>
                <w:rStyle w:val="12"/>
                <w:rFonts w:hint="default" w:ascii="Times New Roman" w:hAnsi="Times New Roman" w:cs="Times New Roman"/>
                <w:sz w:val="18"/>
                <w:szCs w:val="18"/>
                <w:highlight w:val="none"/>
                <w:lang w:bidi="ar"/>
              </w:rPr>
              <w:t>（</w:t>
            </w:r>
            <w:r>
              <w:rPr>
                <w:rFonts w:ascii="Times New Roman" w:hAnsi="Times New Roman" w:eastAsia="宋体" w:cs="Times New Roman"/>
                <w:color w:val="231F20"/>
                <w:kern w:val="0"/>
                <w:sz w:val="18"/>
                <w:szCs w:val="18"/>
                <w:highlight w:val="none"/>
                <w:lang w:bidi="ar"/>
              </w:rPr>
              <w:t>1/10</w:t>
            </w:r>
            <w:r>
              <w:rPr>
                <w:rStyle w:val="13"/>
                <w:rFonts w:eastAsia="宋体"/>
                <w:sz w:val="18"/>
                <w:szCs w:val="18"/>
                <w:highlight w:val="none"/>
                <w:lang w:bidi="ar"/>
              </w:rPr>
              <w:t>5</w:t>
            </w:r>
            <w:r>
              <w:rPr>
                <w:rStyle w:val="12"/>
                <w:rFonts w:hint="default" w:ascii="Times New Roman" w:hAnsi="Times New Roman" w:cs="Times New Roman"/>
                <w:sz w:val="18"/>
                <w:szCs w:val="18"/>
                <w:highlight w:val="none"/>
                <w:lang w:bidi="ar"/>
              </w:rPr>
              <w:t>）</w:t>
            </w:r>
          </w:p>
        </w:tc>
        <w:tc>
          <w:tcPr>
            <w:tcW w:w="0" w:type="auto"/>
            <w:tcBorders>
              <w:top w:val="nil"/>
              <w:left w:val="nil"/>
              <w:bottom w:val="single" w:color="000000" w:sz="8" w:space="0"/>
              <w:right w:val="nil"/>
            </w:tcBorders>
            <w:vAlign w:val="center"/>
          </w:tcPr>
          <w:p w14:paraId="7227B6AA">
            <w:pPr>
              <w:jc w:val="center"/>
              <w:rPr>
                <w:rFonts w:ascii="Times New Roman" w:hAnsi="Times New Roman" w:eastAsia="宋体" w:cs="Times New Roman"/>
                <w:color w:val="231F20"/>
                <w:sz w:val="18"/>
                <w:szCs w:val="18"/>
                <w:highlight w:val="none"/>
              </w:rPr>
            </w:pPr>
          </w:p>
        </w:tc>
        <w:tc>
          <w:tcPr>
            <w:tcW w:w="0" w:type="auto"/>
            <w:tcBorders>
              <w:top w:val="single" w:color="000000" w:sz="8" w:space="0"/>
              <w:left w:val="nil"/>
              <w:bottom w:val="single" w:color="000000" w:sz="8" w:space="0"/>
              <w:right w:val="nil"/>
            </w:tcBorders>
            <w:vAlign w:val="center"/>
          </w:tcPr>
          <w:p w14:paraId="25987B0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New cases</w:t>
            </w:r>
          </w:p>
        </w:tc>
        <w:tc>
          <w:tcPr>
            <w:tcW w:w="0" w:type="auto"/>
            <w:tcBorders>
              <w:top w:val="single" w:color="000000" w:sz="8" w:space="0"/>
              <w:left w:val="nil"/>
              <w:bottom w:val="single" w:color="000000" w:sz="8" w:space="0"/>
              <w:right w:val="nil"/>
            </w:tcBorders>
            <w:vAlign w:val="center"/>
          </w:tcPr>
          <w:p w14:paraId="761C410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Crude rate</w:t>
            </w:r>
            <w:r>
              <w:rPr>
                <w:rStyle w:val="12"/>
                <w:rFonts w:hint="default" w:ascii="Times New Roman" w:hAnsi="Times New Roman" w:cs="Times New Roman"/>
                <w:sz w:val="18"/>
                <w:szCs w:val="18"/>
                <w:highlight w:val="none"/>
                <w:lang w:bidi="ar"/>
              </w:rPr>
              <w:t>（</w:t>
            </w:r>
            <w:r>
              <w:rPr>
                <w:rFonts w:ascii="Times New Roman" w:hAnsi="Times New Roman" w:eastAsia="宋体" w:cs="Times New Roman"/>
                <w:color w:val="231F20"/>
                <w:kern w:val="0"/>
                <w:sz w:val="18"/>
                <w:szCs w:val="18"/>
                <w:highlight w:val="none"/>
                <w:lang w:bidi="ar"/>
              </w:rPr>
              <w:t>1/10</w:t>
            </w:r>
            <w:r>
              <w:rPr>
                <w:rStyle w:val="13"/>
                <w:rFonts w:eastAsia="宋体"/>
                <w:sz w:val="18"/>
                <w:szCs w:val="18"/>
                <w:highlight w:val="none"/>
                <w:lang w:bidi="ar"/>
              </w:rPr>
              <w:t>5</w:t>
            </w:r>
            <w:r>
              <w:rPr>
                <w:rStyle w:val="12"/>
                <w:rFonts w:hint="default" w:ascii="Times New Roman" w:hAnsi="Times New Roman" w:cs="Times New Roman"/>
                <w:sz w:val="18"/>
                <w:szCs w:val="18"/>
                <w:highlight w:val="none"/>
                <w:lang w:bidi="ar"/>
              </w:rPr>
              <w:t>）</w:t>
            </w:r>
          </w:p>
        </w:tc>
        <w:tc>
          <w:tcPr>
            <w:tcW w:w="0" w:type="auto"/>
            <w:tcBorders>
              <w:top w:val="single" w:color="000000" w:sz="8" w:space="0"/>
              <w:left w:val="nil"/>
              <w:bottom w:val="single" w:color="000000" w:sz="8" w:space="0"/>
              <w:right w:val="nil"/>
            </w:tcBorders>
            <w:vAlign w:val="center"/>
          </w:tcPr>
          <w:p w14:paraId="40BA8B2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ASRC</w:t>
            </w:r>
            <w:r>
              <w:rPr>
                <w:rStyle w:val="12"/>
                <w:rFonts w:hint="default" w:ascii="Times New Roman" w:hAnsi="Times New Roman" w:cs="Times New Roman"/>
                <w:sz w:val="18"/>
                <w:szCs w:val="18"/>
                <w:highlight w:val="none"/>
                <w:lang w:bidi="ar"/>
              </w:rPr>
              <w:t>（</w:t>
            </w:r>
            <w:r>
              <w:rPr>
                <w:rFonts w:ascii="Times New Roman" w:hAnsi="Times New Roman" w:eastAsia="宋体" w:cs="Times New Roman"/>
                <w:color w:val="231F20"/>
                <w:kern w:val="0"/>
                <w:sz w:val="18"/>
                <w:szCs w:val="18"/>
                <w:highlight w:val="none"/>
                <w:lang w:bidi="ar"/>
              </w:rPr>
              <w:t>1/10</w:t>
            </w:r>
            <w:r>
              <w:rPr>
                <w:rStyle w:val="13"/>
                <w:rFonts w:eastAsia="宋体"/>
                <w:sz w:val="18"/>
                <w:szCs w:val="18"/>
                <w:highlight w:val="none"/>
                <w:lang w:bidi="ar"/>
              </w:rPr>
              <w:t>5</w:t>
            </w:r>
            <w:r>
              <w:rPr>
                <w:rStyle w:val="12"/>
                <w:rFonts w:hint="default" w:ascii="Times New Roman" w:hAnsi="Times New Roman" w:cs="Times New Roman"/>
                <w:sz w:val="18"/>
                <w:szCs w:val="18"/>
                <w:highlight w:val="none"/>
                <w:lang w:bidi="ar"/>
              </w:rPr>
              <w:t>）</w:t>
            </w:r>
          </w:p>
        </w:tc>
        <w:tc>
          <w:tcPr>
            <w:tcW w:w="0" w:type="auto"/>
            <w:tcBorders>
              <w:top w:val="single" w:color="000000" w:sz="8" w:space="0"/>
              <w:left w:val="nil"/>
              <w:bottom w:val="single" w:color="000000" w:sz="8" w:space="0"/>
              <w:right w:val="nil"/>
            </w:tcBorders>
            <w:vAlign w:val="center"/>
          </w:tcPr>
          <w:p w14:paraId="15CE4A7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ASIRW</w:t>
            </w:r>
            <w:r>
              <w:rPr>
                <w:rStyle w:val="12"/>
                <w:rFonts w:hint="default" w:ascii="Times New Roman" w:hAnsi="Times New Roman" w:cs="Times New Roman"/>
                <w:sz w:val="18"/>
                <w:szCs w:val="18"/>
                <w:highlight w:val="none"/>
                <w:lang w:bidi="ar"/>
              </w:rPr>
              <w:t>（</w:t>
            </w:r>
            <w:r>
              <w:rPr>
                <w:rFonts w:ascii="Times New Roman" w:hAnsi="Times New Roman" w:eastAsia="宋体" w:cs="Times New Roman"/>
                <w:color w:val="231F20"/>
                <w:kern w:val="0"/>
                <w:sz w:val="18"/>
                <w:szCs w:val="18"/>
                <w:highlight w:val="none"/>
                <w:lang w:bidi="ar"/>
              </w:rPr>
              <w:t>1/10</w:t>
            </w:r>
            <w:r>
              <w:rPr>
                <w:rStyle w:val="13"/>
                <w:rFonts w:eastAsia="宋体"/>
                <w:sz w:val="18"/>
                <w:szCs w:val="18"/>
                <w:highlight w:val="none"/>
                <w:lang w:bidi="ar"/>
              </w:rPr>
              <w:t>5</w:t>
            </w:r>
            <w:r>
              <w:rPr>
                <w:rStyle w:val="12"/>
                <w:rFonts w:hint="default" w:ascii="Times New Roman" w:hAnsi="Times New Roman" w:cs="Times New Roman"/>
                <w:sz w:val="18"/>
                <w:szCs w:val="18"/>
                <w:highlight w:val="none"/>
                <w:lang w:bidi="ar"/>
              </w:rPr>
              <w:t>）</w:t>
            </w:r>
          </w:p>
        </w:tc>
      </w:tr>
      <w:tr w14:paraId="27266991">
        <w:tblPrEx>
          <w:tblCellMar>
            <w:top w:w="0" w:type="dxa"/>
            <w:left w:w="108" w:type="dxa"/>
            <w:bottom w:w="0" w:type="dxa"/>
            <w:right w:w="108" w:type="dxa"/>
          </w:tblCellMar>
        </w:tblPrEx>
        <w:trPr>
          <w:trHeight w:val="270" w:hRule="atLeast"/>
        </w:trPr>
        <w:tc>
          <w:tcPr>
            <w:tcW w:w="1203" w:type="dxa"/>
            <w:tcBorders>
              <w:top w:val="nil"/>
              <w:left w:val="nil"/>
              <w:bottom w:val="nil"/>
              <w:right w:val="nil"/>
            </w:tcBorders>
            <w:vAlign w:val="center"/>
          </w:tcPr>
          <w:p w14:paraId="3197B5E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2018</w:t>
            </w:r>
          </w:p>
        </w:tc>
        <w:tc>
          <w:tcPr>
            <w:tcW w:w="0" w:type="auto"/>
            <w:tcBorders>
              <w:top w:val="nil"/>
              <w:left w:val="nil"/>
              <w:bottom w:val="nil"/>
              <w:right w:val="nil"/>
            </w:tcBorders>
            <w:vAlign w:val="center"/>
          </w:tcPr>
          <w:p w14:paraId="1A78E95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10108</w:t>
            </w:r>
          </w:p>
        </w:tc>
        <w:tc>
          <w:tcPr>
            <w:tcW w:w="0" w:type="auto"/>
            <w:tcBorders>
              <w:top w:val="nil"/>
              <w:left w:val="nil"/>
              <w:bottom w:val="nil"/>
              <w:right w:val="nil"/>
            </w:tcBorders>
            <w:vAlign w:val="center"/>
          </w:tcPr>
          <w:p w14:paraId="5BCAC26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276.67</w:t>
            </w:r>
          </w:p>
        </w:tc>
        <w:tc>
          <w:tcPr>
            <w:tcW w:w="0" w:type="auto"/>
            <w:tcBorders>
              <w:top w:val="nil"/>
              <w:left w:val="nil"/>
              <w:bottom w:val="nil"/>
              <w:right w:val="nil"/>
            </w:tcBorders>
            <w:vAlign w:val="center"/>
          </w:tcPr>
          <w:p w14:paraId="58EA79D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157.05</w:t>
            </w:r>
          </w:p>
        </w:tc>
        <w:tc>
          <w:tcPr>
            <w:tcW w:w="1112" w:type="dxa"/>
            <w:tcBorders>
              <w:top w:val="nil"/>
              <w:left w:val="nil"/>
              <w:bottom w:val="nil"/>
              <w:right w:val="nil"/>
            </w:tcBorders>
            <w:vAlign w:val="center"/>
          </w:tcPr>
          <w:p w14:paraId="108F51A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154.60</w:t>
            </w:r>
          </w:p>
        </w:tc>
        <w:tc>
          <w:tcPr>
            <w:tcW w:w="240" w:type="dxa"/>
            <w:tcBorders>
              <w:top w:val="nil"/>
              <w:left w:val="nil"/>
              <w:bottom w:val="nil"/>
              <w:right w:val="nil"/>
            </w:tcBorders>
            <w:vAlign w:val="center"/>
          </w:tcPr>
          <w:p w14:paraId="45E100FF">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3D3C112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6266</w:t>
            </w:r>
          </w:p>
        </w:tc>
        <w:tc>
          <w:tcPr>
            <w:tcW w:w="0" w:type="auto"/>
            <w:tcBorders>
              <w:top w:val="nil"/>
              <w:left w:val="nil"/>
              <w:bottom w:val="nil"/>
              <w:right w:val="nil"/>
            </w:tcBorders>
            <w:vAlign w:val="center"/>
          </w:tcPr>
          <w:p w14:paraId="099C796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331.53</w:t>
            </w:r>
          </w:p>
        </w:tc>
        <w:tc>
          <w:tcPr>
            <w:tcW w:w="0" w:type="auto"/>
            <w:tcBorders>
              <w:top w:val="nil"/>
              <w:left w:val="nil"/>
              <w:bottom w:val="nil"/>
              <w:right w:val="nil"/>
            </w:tcBorders>
            <w:vAlign w:val="center"/>
          </w:tcPr>
          <w:p w14:paraId="36401BB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186.86</w:t>
            </w:r>
          </w:p>
        </w:tc>
        <w:tc>
          <w:tcPr>
            <w:tcW w:w="0" w:type="auto"/>
            <w:tcBorders>
              <w:top w:val="nil"/>
              <w:left w:val="nil"/>
              <w:bottom w:val="nil"/>
              <w:right w:val="nil"/>
            </w:tcBorders>
            <w:vAlign w:val="center"/>
          </w:tcPr>
          <w:p w14:paraId="39FBF0C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185.93</w:t>
            </w:r>
          </w:p>
        </w:tc>
        <w:tc>
          <w:tcPr>
            <w:tcW w:w="0" w:type="auto"/>
            <w:tcBorders>
              <w:top w:val="nil"/>
              <w:left w:val="nil"/>
              <w:bottom w:val="nil"/>
              <w:right w:val="nil"/>
            </w:tcBorders>
            <w:vAlign w:val="center"/>
          </w:tcPr>
          <w:p w14:paraId="6B872218">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27992E5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3842</w:t>
            </w:r>
          </w:p>
        </w:tc>
        <w:tc>
          <w:tcPr>
            <w:tcW w:w="0" w:type="auto"/>
            <w:tcBorders>
              <w:top w:val="nil"/>
              <w:left w:val="nil"/>
              <w:bottom w:val="nil"/>
              <w:right w:val="nil"/>
            </w:tcBorders>
            <w:vAlign w:val="center"/>
          </w:tcPr>
          <w:p w14:paraId="54D867C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217.87</w:t>
            </w:r>
          </w:p>
        </w:tc>
        <w:tc>
          <w:tcPr>
            <w:tcW w:w="0" w:type="auto"/>
            <w:tcBorders>
              <w:top w:val="nil"/>
              <w:left w:val="nil"/>
              <w:bottom w:val="nil"/>
              <w:right w:val="nil"/>
            </w:tcBorders>
            <w:vAlign w:val="center"/>
          </w:tcPr>
          <w:p w14:paraId="2BDC69D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126.75</w:t>
            </w:r>
          </w:p>
        </w:tc>
        <w:tc>
          <w:tcPr>
            <w:tcW w:w="0" w:type="auto"/>
            <w:tcBorders>
              <w:top w:val="nil"/>
              <w:left w:val="nil"/>
              <w:bottom w:val="nil"/>
              <w:right w:val="nil"/>
            </w:tcBorders>
            <w:vAlign w:val="center"/>
          </w:tcPr>
          <w:p w14:paraId="0625D89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122.39</w:t>
            </w:r>
          </w:p>
        </w:tc>
      </w:tr>
      <w:tr w14:paraId="034A65D5">
        <w:tblPrEx>
          <w:tblCellMar>
            <w:top w:w="0" w:type="dxa"/>
            <w:left w:w="108" w:type="dxa"/>
            <w:bottom w:w="0" w:type="dxa"/>
            <w:right w:w="108" w:type="dxa"/>
          </w:tblCellMar>
        </w:tblPrEx>
        <w:trPr>
          <w:trHeight w:val="270" w:hRule="atLeast"/>
        </w:trPr>
        <w:tc>
          <w:tcPr>
            <w:tcW w:w="1203" w:type="dxa"/>
            <w:tcBorders>
              <w:top w:val="nil"/>
              <w:left w:val="nil"/>
              <w:bottom w:val="nil"/>
              <w:right w:val="nil"/>
            </w:tcBorders>
            <w:vAlign w:val="center"/>
          </w:tcPr>
          <w:p w14:paraId="2CDD6D9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2019</w:t>
            </w:r>
          </w:p>
        </w:tc>
        <w:tc>
          <w:tcPr>
            <w:tcW w:w="0" w:type="auto"/>
            <w:tcBorders>
              <w:top w:val="nil"/>
              <w:left w:val="nil"/>
              <w:bottom w:val="nil"/>
              <w:right w:val="nil"/>
            </w:tcBorders>
            <w:vAlign w:val="center"/>
          </w:tcPr>
          <w:p w14:paraId="367AE5F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10653</w:t>
            </w:r>
          </w:p>
        </w:tc>
        <w:tc>
          <w:tcPr>
            <w:tcW w:w="0" w:type="auto"/>
            <w:tcBorders>
              <w:top w:val="nil"/>
              <w:left w:val="nil"/>
              <w:bottom w:val="nil"/>
              <w:right w:val="nil"/>
            </w:tcBorders>
            <w:vAlign w:val="center"/>
          </w:tcPr>
          <w:p w14:paraId="5E225C7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294.03</w:t>
            </w:r>
          </w:p>
        </w:tc>
        <w:tc>
          <w:tcPr>
            <w:tcW w:w="0" w:type="auto"/>
            <w:tcBorders>
              <w:top w:val="nil"/>
              <w:left w:val="nil"/>
              <w:bottom w:val="nil"/>
              <w:right w:val="nil"/>
            </w:tcBorders>
            <w:vAlign w:val="center"/>
          </w:tcPr>
          <w:p w14:paraId="74D8922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162.28</w:t>
            </w:r>
          </w:p>
        </w:tc>
        <w:tc>
          <w:tcPr>
            <w:tcW w:w="1112" w:type="dxa"/>
            <w:tcBorders>
              <w:top w:val="nil"/>
              <w:left w:val="nil"/>
              <w:bottom w:val="nil"/>
              <w:right w:val="nil"/>
            </w:tcBorders>
            <w:vAlign w:val="center"/>
          </w:tcPr>
          <w:p w14:paraId="05983E5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159.72</w:t>
            </w:r>
          </w:p>
        </w:tc>
        <w:tc>
          <w:tcPr>
            <w:tcW w:w="240" w:type="dxa"/>
            <w:tcBorders>
              <w:top w:val="nil"/>
              <w:left w:val="nil"/>
              <w:bottom w:val="nil"/>
              <w:right w:val="nil"/>
            </w:tcBorders>
            <w:vAlign w:val="center"/>
          </w:tcPr>
          <w:p w14:paraId="50AC55A4">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4A3A5B4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6445</w:t>
            </w:r>
          </w:p>
        </w:tc>
        <w:tc>
          <w:tcPr>
            <w:tcW w:w="0" w:type="auto"/>
            <w:tcBorders>
              <w:top w:val="nil"/>
              <w:left w:val="nil"/>
              <w:bottom w:val="nil"/>
              <w:right w:val="nil"/>
            </w:tcBorders>
            <w:vAlign w:val="center"/>
          </w:tcPr>
          <w:p w14:paraId="246841B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343.81</w:t>
            </w:r>
          </w:p>
        </w:tc>
        <w:tc>
          <w:tcPr>
            <w:tcW w:w="0" w:type="auto"/>
            <w:tcBorders>
              <w:top w:val="nil"/>
              <w:left w:val="nil"/>
              <w:bottom w:val="nil"/>
              <w:right w:val="nil"/>
            </w:tcBorders>
            <w:vAlign w:val="center"/>
          </w:tcPr>
          <w:p w14:paraId="357666A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187.60</w:t>
            </w:r>
          </w:p>
        </w:tc>
        <w:tc>
          <w:tcPr>
            <w:tcW w:w="0" w:type="auto"/>
            <w:tcBorders>
              <w:top w:val="nil"/>
              <w:left w:val="nil"/>
              <w:bottom w:val="nil"/>
              <w:right w:val="nil"/>
            </w:tcBorders>
            <w:vAlign w:val="center"/>
          </w:tcPr>
          <w:p w14:paraId="1B55E38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186.66</w:t>
            </w:r>
          </w:p>
        </w:tc>
        <w:tc>
          <w:tcPr>
            <w:tcW w:w="0" w:type="auto"/>
            <w:tcBorders>
              <w:top w:val="nil"/>
              <w:left w:val="nil"/>
              <w:bottom w:val="nil"/>
              <w:right w:val="nil"/>
            </w:tcBorders>
            <w:vAlign w:val="center"/>
          </w:tcPr>
          <w:p w14:paraId="45C0744C">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1F01B3E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4208</w:t>
            </w:r>
          </w:p>
        </w:tc>
        <w:tc>
          <w:tcPr>
            <w:tcW w:w="0" w:type="auto"/>
            <w:tcBorders>
              <w:top w:val="nil"/>
              <w:left w:val="nil"/>
              <w:bottom w:val="nil"/>
              <w:right w:val="nil"/>
            </w:tcBorders>
            <w:vAlign w:val="center"/>
          </w:tcPr>
          <w:p w14:paraId="1A65B07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240.66</w:t>
            </w:r>
          </w:p>
        </w:tc>
        <w:tc>
          <w:tcPr>
            <w:tcW w:w="0" w:type="auto"/>
            <w:tcBorders>
              <w:top w:val="nil"/>
              <w:left w:val="nil"/>
              <w:bottom w:val="nil"/>
              <w:right w:val="nil"/>
            </w:tcBorders>
            <w:vAlign w:val="center"/>
          </w:tcPr>
          <w:p w14:paraId="4BD69D4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136.75</w:t>
            </w:r>
          </w:p>
        </w:tc>
        <w:tc>
          <w:tcPr>
            <w:tcW w:w="0" w:type="auto"/>
            <w:tcBorders>
              <w:top w:val="nil"/>
              <w:left w:val="nil"/>
              <w:bottom w:val="nil"/>
              <w:right w:val="nil"/>
            </w:tcBorders>
            <w:vAlign w:val="center"/>
          </w:tcPr>
          <w:p w14:paraId="34F5D3A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132.11</w:t>
            </w:r>
          </w:p>
        </w:tc>
      </w:tr>
      <w:tr w14:paraId="7D531332">
        <w:tblPrEx>
          <w:tblCellMar>
            <w:top w:w="0" w:type="dxa"/>
            <w:left w:w="108" w:type="dxa"/>
            <w:bottom w:w="0" w:type="dxa"/>
            <w:right w:w="108" w:type="dxa"/>
          </w:tblCellMar>
        </w:tblPrEx>
        <w:trPr>
          <w:trHeight w:val="270" w:hRule="atLeast"/>
        </w:trPr>
        <w:tc>
          <w:tcPr>
            <w:tcW w:w="1203" w:type="dxa"/>
            <w:tcBorders>
              <w:top w:val="nil"/>
              <w:left w:val="nil"/>
              <w:bottom w:val="nil"/>
              <w:right w:val="nil"/>
            </w:tcBorders>
            <w:vAlign w:val="center"/>
          </w:tcPr>
          <w:p w14:paraId="685C8B4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2020</w:t>
            </w:r>
          </w:p>
        </w:tc>
        <w:tc>
          <w:tcPr>
            <w:tcW w:w="0" w:type="auto"/>
            <w:tcBorders>
              <w:top w:val="nil"/>
              <w:left w:val="nil"/>
              <w:bottom w:val="nil"/>
              <w:right w:val="nil"/>
            </w:tcBorders>
            <w:vAlign w:val="center"/>
          </w:tcPr>
          <w:p w14:paraId="6A376EB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11233</w:t>
            </w:r>
          </w:p>
        </w:tc>
        <w:tc>
          <w:tcPr>
            <w:tcW w:w="0" w:type="auto"/>
            <w:tcBorders>
              <w:top w:val="nil"/>
              <w:left w:val="nil"/>
              <w:bottom w:val="nil"/>
              <w:right w:val="nil"/>
            </w:tcBorders>
            <w:vAlign w:val="center"/>
          </w:tcPr>
          <w:p w14:paraId="6B94328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312.62</w:t>
            </w:r>
          </w:p>
        </w:tc>
        <w:tc>
          <w:tcPr>
            <w:tcW w:w="0" w:type="auto"/>
            <w:tcBorders>
              <w:top w:val="nil"/>
              <w:left w:val="nil"/>
              <w:bottom w:val="nil"/>
              <w:right w:val="nil"/>
            </w:tcBorders>
            <w:vAlign w:val="center"/>
          </w:tcPr>
          <w:p w14:paraId="145277C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172.00</w:t>
            </w:r>
          </w:p>
        </w:tc>
        <w:tc>
          <w:tcPr>
            <w:tcW w:w="1112" w:type="dxa"/>
            <w:tcBorders>
              <w:top w:val="nil"/>
              <w:left w:val="nil"/>
              <w:bottom w:val="nil"/>
              <w:right w:val="nil"/>
            </w:tcBorders>
            <w:vAlign w:val="center"/>
          </w:tcPr>
          <w:p w14:paraId="0823B45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168.60</w:t>
            </w:r>
          </w:p>
        </w:tc>
        <w:tc>
          <w:tcPr>
            <w:tcW w:w="240" w:type="dxa"/>
            <w:tcBorders>
              <w:top w:val="nil"/>
              <w:left w:val="nil"/>
              <w:bottom w:val="nil"/>
              <w:right w:val="nil"/>
            </w:tcBorders>
            <w:vAlign w:val="center"/>
          </w:tcPr>
          <w:p w14:paraId="004727A8">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710840C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6779</w:t>
            </w:r>
          </w:p>
        </w:tc>
        <w:tc>
          <w:tcPr>
            <w:tcW w:w="0" w:type="auto"/>
            <w:tcBorders>
              <w:top w:val="nil"/>
              <w:left w:val="nil"/>
              <w:bottom w:val="nil"/>
              <w:right w:val="nil"/>
            </w:tcBorders>
            <w:vAlign w:val="center"/>
          </w:tcPr>
          <w:p w14:paraId="5B2523E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364.31</w:t>
            </w:r>
          </w:p>
        </w:tc>
        <w:tc>
          <w:tcPr>
            <w:tcW w:w="0" w:type="auto"/>
            <w:tcBorders>
              <w:top w:val="nil"/>
              <w:left w:val="nil"/>
              <w:bottom w:val="nil"/>
              <w:right w:val="nil"/>
            </w:tcBorders>
            <w:vAlign w:val="center"/>
          </w:tcPr>
          <w:p w14:paraId="7573FC1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196.44</w:t>
            </w:r>
          </w:p>
        </w:tc>
        <w:tc>
          <w:tcPr>
            <w:tcW w:w="0" w:type="auto"/>
            <w:tcBorders>
              <w:top w:val="nil"/>
              <w:left w:val="nil"/>
              <w:bottom w:val="nil"/>
              <w:right w:val="nil"/>
            </w:tcBorders>
            <w:vAlign w:val="center"/>
          </w:tcPr>
          <w:p w14:paraId="5CCC4A5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195.55</w:t>
            </w:r>
          </w:p>
        </w:tc>
        <w:tc>
          <w:tcPr>
            <w:tcW w:w="0" w:type="auto"/>
            <w:tcBorders>
              <w:top w:val="nil"/>
              <w:left w:val="nil"/>
              <w:bottom w:val="nil"/>
              <w:right w:val="nil"/>
            </w:tcBorders>
            <w:vAlign w:val="center"/>
          </w:tcPr>
          <w:p w14:paraId="6F0E7B44">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0B9D0A9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4454</w:t>
            </w:r>
          </w:p>
        </w:tc>
        <w:tc>
          <w:tcPr>
            <w:tcW w:w="0" w:type="auto"/>
            <w:tcBorders>
              <w:top w:val="nil"/>
              <w:left w:val="nil"/>
              <w:bottom w:val="nil"/>
              <w:right w:val="nil"/>
            </w:tcBorders>
            <w:vAlign w:val="center"/>
          </w:tcPr>
          <w:p w14:paraId="24306AD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257.10</w:t>
            </w:r>
          </w:p>
        </w:tc>
        <w:tc>
          <w:tcPr>
            <w:tcW w:w="0" w:type="auto"/>
            <w:tcBorders>
              <w:top w:val="nil"/>
              <w:left w:val="nil"/>
              <w:bottom w:val="nil"/>
              <w:right w:val="nil"/>
            </w:tcBorders>
            <w:vAlign w:val="center"/>
          </w:tcPr>
          <w:p w14:paraId="540B926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147.62</w:t>
            </w:r>
          </w:p>
        </w:tc>
        <w:tc>
          <w:tcPr>
            <w:tcW w:w="0" w:type="auto"/>
            <w:tcBorders>
              <w:top w:val="nil"/>
              <w:left w:val="nil"/>
              <w:bottom w:val="nil"/>
              <w:right w:val="nil"/>
            </w:tcBorders>
            <w:vAlign w:val="center"/>
          </w:tcPr>
          <w:p w14:paraId="6FB8715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141.06</w:t>
            </w:r>
          </w:p>
        </w:tc>
      </w:tr>
      <w:tr w14:paraId="1E4490F9">
        <w:tblPrEx>
          <w:tblCellMar>
            <w:top w:w="0" w:type="dxa"/>
            <w:left w:w="108" w:type="dxa"/>
            <w:bottom w:w="0" w:type="dxa"/>
            <w:right w:w="108" w:type="dxa"/>
          </w:tblCellMar>
        </w:tblPrEx>
        <w:trPr>
          <w:trHeight w:val="270" w:hRule="atLeast"/>
        </w:trPr>
        <w:tc>
          <w:tcPr>
            <w:tcW w:w="1203" w:type="dxa"/>
            <w:tcBorders>
              <w:top w:val="nil"/>
              <w:left w:val="nil"/>
              <w:bottom w:val="nil"/>
              <w:right w:val="nil"/>
            </w:tcBorders>
            <w:vAlign w:val="center"/>
          </w:tcPr>
          <w:p w14:paraId="62E3846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2021</w:t>
            </w:r>
          </w:p>
        </w:tc>
        <w:tc>
          <w:tcPr>
            <w:tcW w:w="0" w:type="auto"/>
            <w:tcBorders>
              <w:top w:val="nil"/>
              <w:left w:val="nil"/>
              <w:bottom w:val="nil"/>
              <w:right w:val="nil"/>
            </w:tcBorders>
            <w:vAlign w:val="center"/>
          </w:tcPr>
          <w:p w14:paraId="60840BB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10800</w:t>
            </w:r>
          </w:p>
        </w:tc>
        <w:tc>
          <w:tcPr>
            <w:tcW w:w="0" w:type="auto"/>
            <w:tcBorders>
              <w:top w:val="nil"/>
              <w:left w:val="nil"/>
              <w:bottom w:val="nil"/>
              <w:right w:val="nil"/>
            </w:tcBorders>
            <w:vAlign w:val="center"/>
          </w:tcPr>
          <w:p w14:paraId="5B22B32D">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302.09</w:t>
            </w:r>
          </w:p>
        </w:tc>
        <w:tc>
          <w:tcPr>
            <w:tcW w:w="0" w:type="auto"/>
            <w:tcBorders>
              <w:top w:val="nil"/>
              <w:left w:val="nil"/>
              <w:bottom w:val="nil"/>
              <w:right w:val="nil"/>
            </w:tcBorders>
            <w:vAlign w:val="center"/>
          </w:tcPr>
          <w:p w14:paraId="718F2AA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158.35</w:t>
            </w:r>
          </w:p>
        </w:tc>
        <w:tc>
          <w:tcPr>
            <w:tcW w:w="1112" w:type="dxa"/>
            <w:tcBorders>
              <w:top w:val="nil"/>
              <w:left w:val="nil"/>
              <w:bottom w:val="nil"/>
              <w:right w:val="nil"/>
            </w:tcBorders>
            <w:vAlign w:val="center"/>
          </w:tcPr>
          <w:p w14:paraId="0E44C52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155.42</w:t>
            </w:r>
          </w:p>
        </w:tc>
        <w:tc>
          <w:tcPr>
            <w:tcW w:w="240" w:type="dxa"/>
            <w:tcBorders>
              <w:top w:val="nil"/>
              <w:left w:val="nil"/>
              <w:bottom w:val="nil"/>
              <w:right w:val="nil"/>
            </w:tcBorders>
            <w:vAlign w:val="center"/>
          </w:tcPr>
          <w:p w14:paraId="34237A8A">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6C3A0BD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6508</w:t>
            </w:r>
          </w:p>
        </w:tc>
        <w:tc>
          <w:tcPr>
            <w:tcW w:w="0" w:type="auto"/>
            <w:tcBorders>
              <w:top w:val="nil"/>
              <w:left w:val="nil"/>
              <w:bottom w:val="nil"/>
              <w:right w:val="nil"/>
            </w:tcBorders>
            <w:vAlign w:val="center"/>
          </w:tcPr>
          <w:p w14:paraId="1205D08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351.54</w:t>
            </w:r>
          </w:p>
        </w:tc>
        <w:tc>
          <w:tcPr>
            <w:tcW w:w="0" w:type="auto"/>
            <w:tcBorders>
              <w:top w:val="nil"/>
              <w:left w:val="nil"/>
              <w:bottom w:val="nil"/>
              <w:right w:val="nil"/>
            </w:tcBorders>
            <w:vAlign w:val="center"/>
          </w:tcPr>
          <w:p w14:paraId="4048F2B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179.86</w:t>
            </w:r>
          </w:p>
        </w:tc>
        <w:tc>
          <w:tcPr>
            <w:tcW w:w="0" w:type="auto"/>
            <w:tcBorders>
              <w:top w:val="nil"/>
              <w:left w:val="nil"/>
              <w:bottom w:val="nil"/>
              <w:right w:val="nil"/>
            </w:tcBorders>
            <w:vAlign w:val="center"/>
          </w:tcPr>
          <w:p w14:paraId="778F269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179.22</w:t>
            </w:r>
          </w:p>
        </w:tc>
        <w:tc>
          <w:tcPr>
            <w:tcW w:w="0" w:type="auto"/>
            <w:tcBorders>
              <w:top w:val="nil"/>
              <w:left w:val="nil"/>
              <w:bottom w:val="nil"/>
              <w:right w:val="nil"/>
            </w:tcBorders>
            <w:vAlign w:val="center"/>
          </w:tcPr>
          <w:p w14:paraId="02FB70AF">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216E280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4292</w:t>
            </w:r>
          </w:p>
        </w:tc>
        <w:tc>
          <w:tcPr>
            <w:tcW w:w="0" w:type="auto"/>
            <w:tcBorders>
              <w:top w:val="nil"/>
              <w:left w:val="nil"/>
              <w:bottom w:val="nil"/>
              <w:right w:val="nil"/>
            </w:tcBorders>
            <w:vAlign w:val="center"/>
          </w:tcPr>
          <w:p w14:paraId="06FD17D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248.99</w:t>
            </w:r>
          </w:p>
        </w:tc>
        <w:tc>
          <w:tcPr>
            <w:tcW w:w="0" w:type="auto"/>
            <w:tcBorders>
              <w:top w:val="nil"/>
              <w:left w:val="nil"/>
              <w:bottom w:val="nil"/>
              <w:right w:val="nil"/>
            </w:tcBorders>
            <w:vAlign w:val="center"/>
          </w:tcPr>
          <w:p w14:paraId="7E156F8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137.23</w:t>
            </w:r>
          </w:p>
        </w:tc>
        <w:tc>
          <w:tcPr>
            <w:tcW w:w="0" w:type="auto"/>
            <w:tcBorders>
              <w:top w:val="nil"/>
              <w:left w:val="nil"/>
              <w:bottom w:val="nil"/>
              <w:right w:val="nil"/>
            </w:tcBorders>
            <w:vAlign w:val="center"/>
          </w:tcPr>
          <w:p w14:paraId="2B328C1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131.52</w:t>
            </w:r>
          </w:p>
        </w:tc>
      </w:tr>
      <w:tr w14:paraId="2DF8AD2E">
        <w:tblPrEx>
          <w:tblCellMar>
            <w:top w:w="0" w:type="dxa"/>
            <w:left w:w="108" w:type="dxa"/>
            <w:bottom w:w="0" w:type="dxa"/>
            <w:right w:w="108" w:type="dxa"/>
          </w:tblCellMar>
        </w:tblPrEx>
        <w:trPr>
          <w:trHeight w:val="270" w:hRule="atLeast"/>
        </w:trPr>
        <w:tc>
          <w:tcPr>
            <w:tcW w:w="1203" w:type="dxa"/>
            <w:tcBorders>
              <w:top w:val="nil"/>
              <w:left w:val="nil"/>
              <w:bottom w:val="nil"/>
              <w:right w:val="nil"/>
            </w:tcBorders>
            <w:vAlign w:val="center"/>
          </w:tcPr>
          <w:p w14:paraId="14B269F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2022</w:t>
            </w:r>
          </w:p>
        </w:tc>
        <w:tc>
          <w:tcPr>
            <w:tcW w:w="0" w:type="auto"/>
            <w:tcBorders>
              <w:top w:val="nil"/>
              <w:left w:val="nil"/>
              <w:bottom w:val="nil"/>
              <w:right w:val="nil"/>
            </w:tcBorders>
            <w:vAlign w:val="center"/>
          </w:tcPr>
          <w:p w14:paraId="71371BD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10132</w:t>
            </w:r>
          </w:p>
        </w:tc>
        <w:tc>
          <w:tcPr>
            <w:tcW w:w="0" w:type="auto"/>
            <w:tcBorders>
              <w:top w:val="nil"/>
              <w:left w:val="nil"/>
              <w:bottom w:val="nil"/>
              <w:right w:val="nil"/>
            </w:tcBorders>
            <w:vAlign w:val="center"/>
          </w:tcPr>
          <w:p w14:paraId="3CA016E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285.89</w:t>
            </w:r>
          </w:p>
        </w:tc>
        <w:tc>
          <w:tcPr>
            <w:tcW w:w="0" w:type="auto"/>
            <w:tcBorders>
              <w:top w:val="nil"/>
              <w:left w:val="nil"/>
              <w:bottom w:val="nil"/>
              <w:right w:val="nil"/>
            </w:tcBorders>
            <w:vAlign w:val="center"/>
          </w:tcPr>
          <w:p w14:paraId="725828D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143.76</w:t>
            </w:r>
          </w:p>
        </w:tc>
        <w:tc>
          <w:tcPr>
            <w:tcW w:w="1112" w:type="dxa"/>
            <w:tcBorders>
              <w:top w:val="nil"/>
              <w:left w:val="nil"/>
              <w:bottom w:val="nil"/>
              <w:right w:val="nil"/>
            </w:tcBorders>
            <w:vAlign w:val="center"/>
          </w:tcPr>
          <w:p w14:paraId="34A98DA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141.36</w:t>
            </w:r>
          </w:p>
        </w:tc>
        <w:tc>
          <w:tcPr>
            <w:tcW w:w="240" w:type="dxa"/>
            <w:tcBorders>
              <w:top w:val="nil"/>
              <w:left w:val="nil"/>
              <w:bottom w:val="nil"/>
              <w:right w:val="nil"/>
            </w:tcBorders>
            <w:vAlign w:val="center"/>
          </w:tcPr>
          <w:p w14:paraId="13D0D86D">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04F4A0C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6295</w:t>
            </w:r>
          </w:p>
        </w:tc>
        <w:tc>
          <w:tcPr>
            <w:tcW w:w="0" w:type="auto"/>
            <w:tcBorders>
              <w:top w:val="nil"/>
              <w:left w:val="nil"/>
              <w:bottom w:val="nil"/>
              <w:right w:val="nil"/>
            </w:tcBorders>
            <w:vAlign w:val="center"/>
          </w:tcPr>
          <w:p w14:paraId="7F0176DD">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343.18</w:t>
            </w:r>
          </w:p>
        </w:tc>
        <w:tc>
          <w:tcPr>
            <w:tcW w:w="0" w:type="auto"/>
            <w:tcBorders>
              <w:top w:val="nil"/>
              <w:left w:val="nil"/>
              <w:bottom w:val="nil"/>
              <w:right w:val="nil"/>
            </w:tcBorders>
            <w:vAlign w:val="center"/>
          </w:tcPr>
          <w:p w14:paraId="215CBC5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171.50</w:t>
            </w:r>
          </w:p>
        </w:tc>
        <w:tc>
          <w:tcPr>
            <w:tcW w:w="0" w:type="auto"/>
            <w:tcBorders>
              <w:top w:val="nil"/>
              <w:left w:val="nil"/>
              <w:bottom w:val="nil"/>
              <w:right w:val="nil"/>
            </w:tcBorders>
            <w:vAlign w:val="center"/>
          </w:tcPr>
          <w:p w14:paraId="66BD844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170.99</w:t>
            </w:r>
          </w:p>
        </w:tc>
        <w:tc>
          <w:tcPr>
            <w:tcW w:w="0" w:type="auto"/>
            <w:tcBorders>
              <w:top w:val="nil"/>
              <w:left w:val="nil"/>
              <w:bottom w:val="nil"/>
              <w:right w:val="nil"/>
            </w:tcBorders>
            <w:vAlign w:val="center"/>
          </w:tcPr>
          <w:p w14:paraId="6EC51476">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202DFC4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3837</w:t>
            </w:r>
          </w:p>
        </w:tc>
        <w:tc>
          <w:tcPr>
            <w:tcW w:w="0" w:type="auto"/>
            <w:tcBorders>
              <w:top w:val="nil"/>
              <w:left w:val="nil"/>
              <w:bottom w:val="nil"/>
              <w:right w:val="nil"/>
            </w:tcBorders>
            <w:vAlign w:val="center"/>
          </w:tcPr>
          <w:p w14:paraId="3F2B0E1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224.42</w:t>
            </w:r>
          </w:p>
        </w:tc>
        <w:tc>
          <w:tcPr>
            <w:tcW w:w="0" w:type="auto"/>
            <w:tcBorders>
              <w:top w:val="nil"/>
              <w:left w:val="nil"/>
              <w:bottom w:val="nil"/>
              <w:right w:val="nil"/>
            </w:tcBorders>
            <w:vAlign w:val="center"/>
          </w:tcPr>
          <w:p w14:paraId="70AD73C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116.16</w:t>
            </w:r>
          </w:p>
        </w:tc>
        <w:tc>
          <w:tcPr>
            <w:tcW w:w="0" w:type="auto"/>
            <w:tcBorders>
              <w:top w:val="nil"/>
              <w:left w:val="nil"/>
              <w:bottom w:val="nil"/>
              <w:right w:val="nil"/>
            </w:tcBorders>
            <w:vAlign w:val="center"/>
          </w:tcPr>
          <w:p w14:paraId="34DEBFF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111.55</w:t>
            </w:r>
          </w:p>
        </w:tc>
      </w:tr>
      <w:tr w14:paraId="628A96E7">
        <w:tblPrEx>
          <w:tblCellMar>
            <w:top w:w="0" w:type="dxa"/>
            <w:left w:w="108" w:type="dxa"/>
            <w:bottom w:w="0" w:type="dxa"/>
            <w:right w:w="108" w:type="dxa"/>
          </w:tblCellMar>
        </w:tblPrEx>
        <w:trPr>
          <w:trHeight w:val="285" w:hRule="atLeast"/>
        </w:trPr>
        <w:tc>
          <w:tcPr>
            <w:tcW w:w="1203" w:type="dxa"/>
            <w:tcBorders>
              <w:top w:val="nil"/>
              <w:left w:val="nil"/>
              <w:bottom w:val="nil"/>
              <w:right w:val="nil"/>
            </w:tcBorders>
            <w:vAlign w:val="center"/>
          </w:tcPr>
          <w:p w14:paraId="0BC1FFED">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2023</w:t>
            </w:r>
          </w:p>
        </w:tc>
        <w:tc>
          <w:tcPr>
            <w:tcW w:w="0" w:type="auto"/>
            <w:tcBorders>
              <w:top w:val="nil"/>
              <w:left w:val="nil"/>
              <w:bottom w:val="single" w:color="000000" w:sz="8" w:space="0"/>
              <w:right w:val="nil"/>
            </w:tcBorders>
            <w:vAlign w:val="center"/>
          </w:tcPr>
          <w:p w14:paraId="01776CD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10211</w:t>
            </w:r>
          </w:p>
        </w:tc>
        <w:tc>
          <w:tcPr>
            <w:tcW w:w="0" w:type="auto"/>
            <w:tcBorders>
              <w:top w:val="nil"/>
              <w:left w:val="nil"/>
              <w:bottom w:val="single" w:color="000000" w:sz="8" w:space="0"/>
              <w:right w:val="nil"/>
            </w:tcBorders>
            <w:vAlign w:val="center"/>
          </w:tcPr>
          <w:p w14:paraId="71CFB3A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289.16</w:t>
            </w:r>
          </w:p>
        </w:tc>
        <w:tc>
          <w:tcPr>
            <w:tcW w:w="0" w:type="auto"/>
            <w:tcBorders>
              <w:top w:val="nil"/>
              <w:left w:val="nil"/>
              <w:bottom w:val="single" w:color="000000" w:sz="8" w:space="0"/>
              <w:right w:val="nil"/>
            </w:tcBorders>
            <w:vAlign w:val="center"/>
          </w:tcPr>
          <w:p w14:paraId="332B2AB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142.66</w:t>
            </w:r>
          </w:p>
        </w:tc>
        <w:tc>
          <w:tcPr>
            <w:tcW w:w="1112" w:type="dxa"/>
            <w:tcBorders>
              <w:top w:val="nil"/>
              <w:left w:val="nil"/>
              <w:bottom w:val="single" w:color="000000" w:sz="8" w:space="0"/>
              <w:right w:val="nil"/>
            </w:tcBorders>
            <w:vAlign w:val="center"/>
          </w:tcPr>
          <w:p w14:paraId="1CCBD05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139.20</w:t>
            </w:r>
          </w:p>
        </w:tc>
        <w:tc>
          <w:tcPr>
            <w:tcW w:w="240" w:type="dxa"/>
            <w:tcBorders>
              <w:top w:val="nil"/>
              <w:left w:val="nil"/>
              <w:bottom w:val="single" w:color="000000" w:sz="8" w:space="0"/>
              <w:right w:val="nil"/>
            </w:tcBorders>
            <w:vAlign w:val="center"/>
          </w:tcPr>
          <w:p w14:paraId="6C6769E9">
            <w:pPr>
              <w:jc w:val="center"/>
              <w:rPr>
                <w:rFonts w:ascii="Times New Roman" w:hAnsi="Times New Roman" w:eastAsia="宋体" w:cs="Times New Roman"/>
                <w:color w:val="231F20"/>
                <w:sz w:val="18"/>
                <w:szCs w:val="18"/>
                <w:highlight w:val="none"/>
              </w:rPr>
            </w:pPr>
          </w:p>
        </w:tc>
        <w:tc>
          <w:tcPr>
            <w:tcW w:w="0" w:type="auto"/>
            <w:tcBorders>
              <w:top w:val="nil"/>
              <w:left w:val="nil"/>
              <w:bottom w:val="single" w:color="000000" w:sz="8" w:space="0"/>
              <w:right w:val="nil"/>
            </w:tcBorders>
            <w:vAlign w:val="center"/>
          </w:tcPr>
          <w:p w14:paraId="4DB8C03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6206</w:t>
            </w:r>
          </w:p>
        </w:tc>
        <w:tc>
          <w:tcPr>
            <w:tcW w:w="0" w:type="auto"/>
            <w:tcBorders>
              <w:top w:val="nil"/>
              <w:left w:val="nil"/>
              <w:bottom w:val="single" w:color="000000" w:sz="8" w:space="0"/>
              <w:right w:val="nil"/>
            </w:tcBorders>
            <w:vAlign w:val="center"/>
          </w:tcPr>
          <w:p w14:paraId="2B43957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339.60</w:t>
            </w:r>
          </w:p>
        </w:tc>
        <w:tc>
          <w:tcPr>
            <w:tcW w:w="0" w:type="auto"/>
            <w:tcBorders>
              <w:top w:val="nil"/>
              <w:left w:val="nil"/>
              <w:bottom w:val="single" w:color="000000" w:sz="8" w:space="0"/>
              <w:right w:val="nil"/>
            </w:tcBorders>
            <w:vAlign w:val="center"/>
          </w:tcPr>
          <w:p w14:paraId="055E7D0D">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162.41</w:t>
            </w:r>
          </w:p>
        </w:tc>
        <w:tc>
          <w:tcPr>
            <w:tcW w:w="0" w:type="auto"/>
            <w:tcBorders>
              <w:top w:val="nil"/>
              <w:left w:val="nil"/>
              <w:bottom w:val="single" w:color="000000" w:sz="8" w:space="0"/>
              <w:right w:val="nil"/>
            </w:tcBorders>
            <w:vAlign w:val="center"/>
          </w:tcPr>
          <w:p w14:paraId="7875B85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160.92</w:t>
            </w:r>
          </w:p>
        </w:tc>
        <w:tc>
          <w:tcPr>
            <w:tcW w:w="0" w:type="auto"/>
            <w:tcBorders>
              <w:top w:val="nil"/>
              <w:left w:val="nil"/>
              <w:bottom w:val="single" w:color="000000" w:sz="8" w:space="0"/>
              <w:right w:val="nil"/>
            </w:tcBorders>
            <w:vAlign w:val="center"/>
          </w:tcPr>
          <w:p w14:paraId="62669783">
            <w:pPr>
              <w:jc w:val="center"/>
              <w:rPr>
                <w:rFonts w:ascii="Times New Roman" w:hAnsi="Times New Roman" w:eastAsia="宋体" w:cs="Times New Roman"/>
                <w:color w:val="231F20"/>
                <w:sz w:val="18"/>
                <w:szCs w:val="18"/>
                <w:highlight w:val="none"/>
              </w:rPr>
            </w:pPr>
          </w:p>
        </w:tc>
        <w:tc>
          <w:tcPr>
            <w:tcW w:w="0" w:type="auto"/>
            <w:tcBorders>
              <w:top w:val="nil"/>
              <w:left w:val="nil"/>
              <w:bottom w:val="single" w:color="000000" w:sz="8" w:space="0"/>
              <w:right w:val="nil"/>
            </w:tcBorders>
            <w:vAlign w:val="center"/>
          </w:tcPr>
          <w:p w14:paraId="13BFC75D">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4005</w:t>
            </w:r>
          </w:p>
        </w:tc>
        <w:tc>
          <w:tcPr>
            <w:tcW w:w="0" w:type="auto"/>
            <w:tcBorders>
              <w:top w:val="nil"/>
              <w:left w:val="nil"/>
              <w:bottom w:val="single" w:color="000000" w:sz="8" w:space="0"/>
              <w:right w:val="nil"/>
            </w:tcBorders>
            <w:vAlign w:val="center"/>
          </w:tcPr>
          <w:p w14:paraId="76C7A52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235.07</w:t>
            </w:r>
          </w:p>
        </w:tc>
        <w:tc>
          <w:tcPr>
            <w:tcW w:w="0" w:type="auto"/>
            <w:tcBorders>
              <w:top w:val="nil"/>
              <w:left w:val="nil"/>
              <w:bottom w:val="single" w:color="000000" w:sz="8" w:space="0"/>
              <w:right w:val="nil"/>
            </w:tcBorders>
            <w:vAlign w:val="center"/>
          </w:tcPr>
          <w:p w14:paraId="7C5BA96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123.91</w:t>
            </w:r>
          </w:p>
        </w:tc>
        <w:tc>
          <w:tcPr>
            <w:tcW w:w="0" w:type="auto"/>
            <w:tcBorders>
              <w:top w:val="nil"/>
              <w:left w:val="nil"/>
              <w:bottom w:val="single" w:color="000000" w:sz="8" w:space="0"/>
              <w:right w:val="nil"/>
            </w:tcBorders>
            <w:vAlign w:val="center"/>
          </w:tcPr>
          <w:p w14:paraId="526FCA5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118.11</w:t>
            </w:r>
          </w:p>
        </w:tc>
      </w:tr>
      <w:tr w14:paraId="57DC375A">
        <w:tblPrEx>
          <w:tblCellMar>
            <w:top w:w="0" w:type="dxa"/>
            <w:left w:w="108" w:type="dxa"/>
            <w:bottom w:w="0" w:type="dxa"/>
            <w:right w:w="108" w:type="dxa"/>
          </w:tblCellMar>
        </w:tblPrEx>
        <w:trPr>
          <w:trHeight w:val="270" w:hRule="atLeast"/>
        </w:trPr>
        <w:tc>
          <w:tcPr>
            <w:tcW w:w="1203" w:type="dxa"/>
            <w:tcBorders>
              <w:top w:val="nil"/>
              <w:left w:val="nil"/>
              <w:bottom w:val="nil"/>
              <w:right w:val="nil"/>
            </w:tcBorders>
            <w:vAlign w:val="center"/>
          </w:tcPr>
          <w:p w14:paraId="5EF69B5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AAPC（%）</w:t>
            </w:r>
          </w:p>
        </w:tc>
        <w:tc>
          <w:tcPr>
            <w:tcW w:w="0" w:type="auto"/>
            <w:tcBorders>
              <w:top w:val="nil"/>
              <w:left w:val="nil"/>
              <w:bottom w:val="nil"/>
              <w:right w:val="nil"/>
            </w:tcBorders>
            <w:vAlign w:val="center"/>
          </w:tcPr>
          <w:p w14:paraId="0582930B">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5120339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0.27</w:t>
            </w:r>
          </w:p>
        </w:tc>
        <w:tc>
          <w:tcPr>
            <w:tcW w:w="0" w:type="auto"/>
            <w:tcBorders>
              <w:top w:val="nil"/>
              <w:left w:val="nil"/>
              <w:bottom w:val="nil"/>
              <w:right w:val="nil"/>
            </w:tcBorders>
            <w:vAlign w:val="center"/>
          </w:tcPr>
          <w:p w14:paraId="2BA5E9E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-2.58</w:t>
            </w:r>
          </w:p>
        </w:tc>
        <w:tc>
          <w:tcPr>
            <w:tcW w:w="1112" w:type="dxa"/>
            <w:tcBorders>
              <w:top w:val="nil"/>
              <w:left w:val="nil"/>
              <w:bottom w:val="nil"/>
              <w:right w:val="nil"/>
            </w:tcBorders>
            <w:vAlign w:val="center"/>
          </w:tcPr>
          <w:p w14:paraId="7C2E6CB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-2.68</w:t>
            </w:r>
          </w:p>
        </w:tc>
        <w:tc>
          <w:tcPr>
            <w:tcW w:w="240" w:type="dxa"/>
            <w:tcBorders>
              <w:top w:val="nil"/>
              <w:left w:val="nil"/>
              <w:bottom w:val="nil"/>
              <w:right w:val="nil"/>
            </w:tcBorders>
            <w:vAlign w:val="center"/>
          </w:tcPr>
          <w:p w14:paraId="22F7EFA4">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1B137F47">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10AE7EA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0.22</w:t>
            </w:r>
          </w:p>
        </w:tc>
        <w:tc>
          <w:tcPr>
            <w:tcW w:w="0" w:type="auto"/>
            <w:tcBorders>
              <w:top w:val="nil"/>
              <w:left w:val="nil"/>
              <w:bottom w:val="nil"/>
              <w:right w:val="nil"/>
            </w:tcBorders>
            <w:vAlign w:val="center"/>
          </w:tcPr>
          <w:p w14:paraId="7FA327C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-2.95</w:t>
            </w:r>
          </w:p>
        </w:tc>
        <w:tc>
          <w:tcPr>
            <w:tcW w:w="0" w:type="auto"/>
            <w:tcBorders>
              <w:top w:val="nil"/>
              <w:left w:val="nil"/>
              <w:bottom w:val="nil"/>
              <w:right w:val="nil"/>
            </w:tcBorders>
            <w:vAlign w:val="center"/>
          </w:tcPr>
          <w:p w14:paraId="3C7F5B5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-2.97</w:t>
            </w:r>
          </w:p>
        </w:tc>
        <w:tc>
          <w:tcPr>
            <w:tcW w:w="0" w:type="auto"/>
            <w:tcBorders>
              <w:top w:val="nil"/>
              <w:left w:val="nil"/>
              <w:bottom w:val="nil"/>
              <w:right w:val="nil"/>
            </w:tcBorders>
            <w:vAlign w:val="center"/>
          </w:tcPr>
          <w:p w14:paraId="32FFE380">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49460B12">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6D18819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0.35</w:t>
            </w:r>
          </w:p>
        </w:tc>
        <w:tc>
          <w:tcPr>
            <w:tcW w:w="0" w:type="auto"/>
            <w:tcBorders>
              <w:top w:val="nil"/>
              <w:left w:val="nil"/>
              <w:bottom w:val="nil"/>
              <w:right w:val="nil"/>
            </w:tcBorders>
            <w:vAlign w:val="center"/>
          </w:tcPr>
          <w:p w14:paraId="7E64A93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-1.86</w:t>
            </w:r>
          </w:p>
        </w:tc>
        <w:tc>
          <w:tcPr>
            <w:tcW w:w="0" w:type="auto"/>
            <w:tcBorders>
              <w:top w:val="nil"/>
              <w:left w:val="nil"/>
              <w:bottom w:val="nil"/>
              <w:right w:val="nil"/>
            </w:tcBorders>
            <w:vAlign w:val="center"/>
          </w:tcPr>
          <w:p w14:paraId="6B92376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-2.06</w:t>
            </w:r>
          </w:p>
        </w:tc>
      </w:tr>
      <w:tr w14:paraId="5BECBEFB">
        <w:tblPrEx>
          <w:tblCellMar>
            <w:top w:w="0" w:type="dxa"/>
            <w:left w:w="108" w:type="dxa"/>
            <w:bottom w:w="0" w:type="dxa"/>
            <w:right w:w="108" w:type="dxa"/>
          </w:tblCellMar>
        </w:tblPrEx>
        <w:trPr>
          <w:trHeight w:val="270" w:hRule="atLeast"/>
        </w:trPr>
        <w:tc>
          <w:tcPr>
            <w:tcW w:w="1203" w:type="dxa"/>
            <w:tcBorders>
              <w:top w:val="nil"/>
              <w:left w:val="nil"/>
              <w:bottom w:val="nil"/>
              <w:right w:val="nil"/>
            </w:tcBorders>
            <w:vAlign w:val="center"/>
          </w:tcPr>
          <w:p w14:paraId="3FD1811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95%</w:t>
            </w:r>
            <w:r>
              <w:rPr>
                <w:rFonts w:ascii="Times New Roman" w:hAnsi="Times New Roman" w:eastAsia="ZLKHBM-18" w:cs="Times New Roman"/>
                <w:i/>
                <w:iCs/>
                <w:color w:val="231F20"/>
                <w:kern w:val="0"/>
                <w:sz w:val="18"/>
                <w:szCs w:val="18"/>
                <w:highlight w:val="none"/>
                <w:lang w:bidi="ar"/>
              </w:rPr>
              <w:t>CI</w:t>
            </w:r>
          </w:p>
        </w:tc>
        <w:tc>
          <w:tcPr>
            <w:tcW w:w="0" w:type="auto"/>
            <w:tcBorders>
              <w:top w:val="nil"/>
              <w:left w:val="nil"/>
              <w:bottom w:val="nil"/>
              <w:right w:val="nil"/>
            </w:tcBorders>
            <w:vAlign w:val="center"/>
          </w:tcPr>
          <w:p w14:paraId="28A3CE5C">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2EDE1E3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-3.42~4.03</w:t>
            </w:r>
          </w:p>
        </w:tc>
        <w:tc>
          <w:tcPr>
            <w:tcW w:w="0" w:type="auto"/>
            <w:tcBorders>
              <w:top w:val="nil"/>
              <w:left w:val="nil"/>
              <w:bottom w:val="nil"/>
              <w:right w:val="nil"/>
            </w:tcBorders>
            <w:vAlign w:val="center"/>
          </w:tcPr>
          <w:p w14:paraId="427282A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-6.97~1.81</w:t>
            </w:r>
          </w:p>
        </w:tc>
        <w:tc>
          <w:tcPr>
            <w:tcW w:w="1112" w:type="dxa"/>
            <w:tcBorders>
              <w:top w:val="nil"/>
              <w:left w:val="nil"/>
              <w:bottom w:val="nil"/>
              <w:right w:val="nil"/>
            </w:tcBorders>
            <w:vAlign w:val="center"/>
          </w:tcPr>
          <w:p w14:paraId="114CB12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-6.94~1.51</w:t>
            </w:r>
          </w:p>
        </w:tc>
        <w:tc>
          <w:tcPr>
            <w:tcW w:w="240" w:type="dxa"/>
            <w:tcBorders>
              <w:top w:val="nil"/>
              <w:left w:val="nil"/>
              <w:bottom w:val="nil"/>
              <w:right w:val="nil"/>
            </w:tcBorders>
            <w:vAlign w:val="center"/>
          </w:tcPr>
          <w:p w14:paraId="7AECD47F">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4749BEFE">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3BD0D9D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-2.30~2.77</w:t>
            </w:r>
          </w:p>
        </w:tc>
        <w:tc>
          <w:tcPr>
            <w:tcW w:w="0" w:type="auto"/>
            <w:tcBorders>
              <w:top w:val="nil"/>
              <w:left w:val="nil"/>
              <w:bottom w:val="nil"/>
              <w:right w:val="nil"/>
            </w:tcBorders>
            <w:vAlign w:val="center"/>
          </w:tcPr>
          <w:p w14:paraId="6394B61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-5.70~-0.24</w:t>
            </w:r>
          </w:p>
        </w:tc>
        <w:tc>
          <w:tcPr>
            <w:tcW w:w="0" w:type="auto"/>
            <w:tcBorders>
              <w:top w:val="nil"/>
              <w:left w:val="nil"/>
              <w:bottom w:val="nil"/>
              <w:right w:val="nil"/>
            </w:tcBorders>
            <w:vAlign w:val="center"/>
          </w:tcPr>
          <w:p w14:paraId="3243CA4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-5.95~-0.06</w:t>
            </w:r>
          </w:p>
        </w:tc>
        <w:tc>
          <w:tcPr>
            <w:tcW w:w="0" w:type="auto"/>
            <w:tcBorders>
              <w:top w:val="nil"/>
              <w:left w:val="nil"/>
              <w:bottom w:val="nil"/>
              <w:right w:val="nil"/>
            </w:tcBorders>
            <w:vAlign w:val="center"/>
          </w:tcPr>
          <w:p w14:paraId="6C888C09">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35DE198D">
            <w:pPr>
              <w:jc w:val="center"/>
              <w:rPr>
                <w:rFonts w:ascii="Times New Roman" w:hAnsi="Times New Roman" w:eastAsia="宋体" w:cs="Times New Roman"/>
                <w:color w:val="231F20"/>
                <w:sz w:val="18"/>
                <w:szCs w:val="18"/>
                <w:highlight w:val="none"/>
              </w:rPr>
            </w:pPr>
          </w:p>
        </w:tc>
        <w:tc>
          <w:tcPr>
            <w:tcW w:w="0" w:type="auto"/>
            <w:tcBorders>
              <w:top w:val="nil"/>
              <w:left w:val="nil"/>
              <w:bottom w:val="nil"/>
              <w:right w:val="nil"/>
            </w:tcBorders>
            <w:vAlign w:val="center"/>
          </w:tcPr>
          <w:p w14:paraId="1DD0149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-6.01~7.11</w:t>
            </w:r>
          </w:p>
        </w:tc>
        <w:tc>
          <w:tcPr>
            <w:tcW w:w="0" w:type="auto"/>
            <w:tcBorders>
              <w:top w:val="nil"/>
              <w:left w:val="nil"/>
              <w:bottom w:val="nil"/>
              <w:right w:val="nil"/>
            </w:tcBorders>
            <w:vAlign w:val="center"/>
          </w:tcPr>
          <w:p w14:paraId="6D1BDA6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-9.97~6.61</w:t>
            </w:r>
          </w:p>
        </w:tc>
        <w:tc>
          <w:tcPr>
            <w:tcW w:w="0" w:type="auto"/>
            <w:tcBorders>
              <w:top w:val="nil"/>
              <w:left w:val="nil"/>
              <w:bottom w:val="nil"/>
              <w:right w:val="nil"/>
            </w:tcBorders>
            <w:vAlign w:val="center"/>
          </w:tcPr>
          <w:p w14:paraId="2D76190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-10.13~6.25</w:t>
            </w:r>
          </w:p>
        </w:tc>
      </w:tr>
      <w:tr w14:paraId="77DE12B7">
        <w:tblPrEx>
          <w:tblCellMar>
            <w:top w:w="0" w:type="dxa"/>
            <w:left w:w="108" w:type="dxa"/>
            <w:bottom w:w="0" w:type="dxa"/>
            <w:right w:w="108" w:type="dxa"/>
          </w:tblCellMar>
        </w:tblPrEx>
        <w:trPr>
          <w:trHeight w:val="285" w:hRule="atLeast"/>
        </w:trPr>
        <w:tc>
          <w:tcPr>
            <w:tcW w:w="1203" w:type="dxa"/>
            <w:tcBorders>
              <w:top w:val="nil"/>
              <w:left w:val="nil"/>
              <w:bottom w:val="nil"/>
              <w:right w:val="nil"/>
            </w:tcBorders>
            <w:vAlign w:val="center"/>
          </w:tcPr>
          <w:p w14:paraId="24CA886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ZLKHBM-18" w:cs="Times New Roman"/>
                <w:i/>
                <w:iCs/>
                <w:color w:val="231F20"/>
                <w:kern w:val="0"/>
                <w:sz w:val="18"/>
                <w:szCs w:val="18"/>
                <w:highlight w:val="none"/>
                <w:lang w:bidi="ar"/>
              </w:rPr>
              <w:t>P</w:t>
            </w:r>
          </w:p>
        </w:tc>
        <w:tc>
          <w:tcPr>
            <w:tcW w:w="0" w:type="auto"/>
            <w:tcBorders>
              <w:top w:val="nil"/>
              <w:left w:val="nil"/>
              <w:bottom w:val="single" w:color="000000" w:sz="8" w:space="0"/>
              <w:right w:val="nil"/>
            </w:tcBorders>
            <w:vAlign w:val="center"/>
          </w:tcPr>
          <w:p w14:paraId="337A39D9">
            <w:pPr>
              <w:jc w:val="center"/>
              <w:rPr>
                <w:rFonts w:ascii="Times New Roman" w:hAnsi="Times New Roman" w:eastAsia="宋体" w:cs="Times New Roman"/>
                <w:color w:val="231F20"/>
                <w:sz w:val="18"/>
                <w:szCs w:val="18"/>
                <w:highlight w:val="none"/>
              </w:rPr>
            </w:pPr>
          </w:p>
        </w:tc>
        <w:tc>
          <w:tcPr>
            <w:tcW w:w="0" w:type="auto"/>
            <w:tcBorders>
              <w:top w:val="nil"/>
              <w:left w:val="nil"/>
              <w:bottom w:val="single" w:color="000000" w:sz="8" w:space="0"/>
              <w:right w:val="nil"/>
            </w:tcBorders>
            <w:vAlign w:val="center"/>
          </w:tcPr>
          <w:p w14:paraId="4B82643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0.848</w:t>
            </w:r>
          </w:p>
        </w:tc>
        <w:tc>
          <w:tcPr>
            <w:tcW w:w="0" w:type="auto"/>
            <w:tcBorders>
              <w:top w:val="nil"/>
              <w:left w:val="nil"/>
              <w:bottom w:val="single" w:color="000000" w:sz="8" w:space="0"/>
              <w:right w:val="nil"/>
            </w:tcBorders>
            <w:vAlign w:val="center"/>
          </w:tcPr>
          <w:p w14:paraId="120B9DA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0.220</w:t>
            </w:r>
          </w:p>
        </w:tc>
        <w:tc>
          <w:tcPr>
            <w:tcW w:w="1112" w:type="dxa"/>
            <w:tcBorders>
              <w:top w:val="nil"/>
              <w:left w:val="nil"/>
              <w:bottom w:val="single" w:color="000000" w:sz="8" w:space="0"/>
              <w:right w:val="nil"/>
            </w:tcBorders>
            <w:vAlign w:val="center"/>
          </w:tcPr>
          <w:p w14:paraId="6B906F6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0.185</w:t>
            </w:r>
          </w:p>
        </w:tc>
        <w:tc>
          <w:tcPr>
            <w:tcW w:w="240" w:type="dxa"/>
            <w:tcBorders>
              <w:top w:val="nil"/>
              <w:left w:val="nil"/>
              <w:bottom w:val="single" w:color="000000" w:sz="8" w:space="0"/>
              <w:right w:val="nil"/>
            </w:tcBorders>
            <w:vAlign w:val="center"/>
          </w:tcPr>
          <w:p w14:paraId="4A4FB97B">
            <w:pPr>
              <w:jc w:val="center"/>
              <w:rPr>
                <w:rFonts w:ascii="Times New Roman" w:hAnsi="Times New Roman" w:eastAsia="宋体" w:cs="Times New Roman"/>
                <w:color w:val="231F20"/>
                <w:sz w:val="18"/>
                <w:szCs w:val="18"/>
                <w:highlight w:val="none"/>
              </w:rPr>
            </w:pPr>
          </w:p>
        </w:tc>
        <w:tc>
          <w:tcPr>
            <w:tcW w:w="0" w:type="auto"/>
            <w:tcBorders>
              <w:top w:val="nil"/>
              <w:left w:val="nil"/>
              <w:bottom w:val="single" w:color="000000" w:sz="8" w:space="0"/>
              <w:right w:val="nil"/>
            </w:tcBorders>
            <w:vAlign w:val="center"/>
          </w:tcPr>
          <w:p w14:paraId="1F1FE518">
            <w:pPr>
              <w:jc w:val="center"/>
              <w:rPr>
                <w:rFonts w:ascii="Times New Roman" w:hAnsi="Times New Roman" w:eastAsia="宋体" w:cs="Times New Roman"/>
                <w:color w:val="231F20"/>
                <w:sz w:val="18"/>
                <w:szCs w:val="18"/>
                <w:highlight w:val="none"/>
              </w:rPr>
            </w:pPr>
          </w:p>
        </w:tc>
        <w:tc>
          <w:tcPr>
            <w:tcW w:w="0" w:type="auto"/>
            <w:tcBorders>
              <w:top w:val="nil"/>
              <w:left w:val="nil"/>
              <w:bottom w:val="single" w:color="000000" w:sz="8" w:space="0"/>
              <w:right w:val="nil"/>
            </w:tcBorders>
            <w:vAlign w:val="center"/>
          </w:tcPr>
          <w:p w14:paraId="38CFB88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0.835</w:t>
            </w:r>
          </w:p>
        </w:tc>
        <w:tc>
          <w:tcPr>
            <w:tcW w:w="0" w:type="auto"/>
            <w:tcBorders>
              <w:top w:val="nil"/>
              <w:left w:val="nil"/>
              <w:bottom w:val="single" w:color="000000" w:sz="8" w:space="0"/>
              <w:right w:val="nil"/>
            </w:tcBorders>
            <w:vAlign w:val="center"/>
          </w:tcPr>
          <w:p w14:paraId="5582328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0.029</w:t>
            </w:r>
          </w:p>
        </w:tc>
        <w:tc>
          <w:tcPr>
            <w:tcW w:w="0" w:type="auto"/>
            <w:tcBorders>
              <w:top w:val="nil"/>
              <w:left w:val="nil"/>
              <w:bottom w:val="single" w:color="000000" w:sz="8" w:space="0"/>
              <w:right w:val="nil"/>
            </w:tcBorders>
            <w:vAlign w:val="center"/>
          </w:tcPr>
          <w:p w14:paraId="5FDAD18D">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0.047</w:t>
            </w:r>
          </w:p>
        </w:tc>
        <w:tc>
          <w:tcPr>
            <w:tcW w:w="0" w:type="auto"/>
            <w:tcBorders>
              <w:top w:val="nil"/>
              <w:left w:val="nil"/>
              <w:bottom w:val="single" w:color="000000" w:sz="8" w:space="0"/>
              <w:right w:val="nil"/>
            </w:tcBorders>
            <w:vAlign w:val="center"/>
          </w:tcPr>
          <w:p w14:paraId="16C414E0">
            <w:pPr>
              <w:jc w:val="center"/>
              <w:rPr>
                <w:rFonts w:ascii="Times New Roman" w:hAnsi="Times New Roman" w:eastAsia="宋体" w:cs="Times New Roman"/>
                <w:color w:val="231F20"/>
                <w:sz w:val="18"/>
                <w:szCs w:val="18"/>
                <w:highlight w:val="none"/>
              </w:rPr>
            </w:pPr>
          </w:p>
        </w:tc>
        <w:tc>
          <w:tcPr>
            <w:tcW w:w="0" w:type="auto"/>
            <w:tcBorders>
              <w:top w:val="nil"/>
              <w:left w:val="nil"/>
              <w:bottom w:val="single" w:color="000000" w:sz="8" w:space="0"/>
              <w:right w:val="nil"/>
            </w:tcBorders>
            <w:vAlign w:val="center"/>
          </w:tcPr>
          <w:p w14:paraId="46BC715F">
            <w:pPr>
              <w:jc w:val="center"/>
              <w:rPr>
                <w:rFonts w:ascii="Times New Roman" w:hAnsi="Times New Roman" w:eastAsia="宋体" w:cs="Times New Roman"/>
                <w:color w:val="231F20"/>
                <w:sz w:val="18"/>
                <w:szCs w:val="18"/>
                <w:highlight w:val="none"/>
              </w:rPr>
            </w:pPr>
          </w:p>
        </w:tc>
        <w:tc>
          <w:tcPr>
            <w:tcW w:w="0" w:type="auto"/>
            <w:tcBorders>
              <w:top w:val="nil"/>
              <w:left w:val="nil"/>
              <w:bottom w:val="single" w:color="000000" w:sz="8" w:space="0"/>
              <w:right w:val="nil"/>
            </w:tcBorders>
            <w:vAlign w:val="center"/>
          </w:tcPr>
          <w:p w14:paraId="26B5808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0.889</w:t>
            </w:r>
          </w:p>
        </w:tc>
        <w:tc>
          <w:tcPr>
            <w:tcW w:w="0" w:type="auto"/>
            <w:tcBorders>
              <w:top w:val="nil"/>
              <w:left w:val="nil"/>
              <w:bottom w:val="single" w:color="000000" w:sz="8" w:space="0"/>
              <w:right w:val="nil"/>
            </w:tcBorders>
            <w:vAlign w:val="center"/>
          </w:tcPr>
          <w:p w14:paraId="6F64B92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0.514</w:t>
            </w:r>
          </w:p>
        </w:tc>
        <w:tc>
          <w:tcPr>
            <w:tcW w:w="0" w:type="auto"/>
            <w:tcBorders>
              <w:top w:val="nil"/>
              <w:left w:val="nil"/>
              <w:bottom w:val="single" w:color="000000" w:sz="8" w:space="0"/>
              <w:right w:val="nil"/>
            </w:tcBorders>
            <w:vAlign w:val="center"/>
          </w:tcPr>
          <w:p w14:paraId="5F3CD4A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0.472</w:t>
            </w:r>
          </w:p>
        </w:tc>
      </w:tr>
      <w:tr w14:paraId="75140D46">
        <w:tblPrEx>
          <w:tblCellMar>
            <w:top w:w="0" w:type="dxa"/>
            <w:left w:w="108" w:type="dxa"/>
            <w:bottom w:w="0" w:type="dxa"/>
            <w:right w:w="108" w:type="dxa"/>
          </w:tblCellMar>
        </w:tblPrEx>
        <w:trPr>
          <w:trHeight w:val="285" w:hRule="atLeast"/>
        </w:trPr>
        <w:tc>
          <w:tcPr>
            <w:tcW w:w="1203" w:type="dxa"/>
            <w:tcBorders>
              <w:top w:val="nil"/>
              <w:left w:val="nil"/>
              <w:bottom w:val="single" w:color="000000" w:sz="12" w:space="0"/>
              <w:right w:val="nil"/>
            </w:tcBorders>
            <w:vAlign w:val="center"/>
          </w:tcPr>
          <w:p w14:paraId="1FEA9C9F">
            <w:pPr>
              <w:widowControl/>
              <w:jc w:val="center"/>
              <w:textAlignment w:val="center"/>
              <w:rPr>
                <w:rFonts w:hint="eastAsia" w:ascii="Times New Roman" w:hAnsi="Times New Roman" w:eastAsia="宋体" w:cs="Times New Roman"/>
                <w:color w:val="231F20"/>
                <w:sz w:val="18"/>
                <w:szCs w:val="18"/>
                <w:highlight w:val="none"/>
                <w:lang w:eastAsia="zh-CN"/>
              </w:rPr>
            </w:pPr>
            <w:r>
              <w:rPr>
                <w:rFonts w:hint="eastAsia" w:ascii="Times New Roman" w:hAnsi="Times New Roman" w:eastAsia="宋体" w:cs="Times New Roman"/>
                <w:color w:val="231F20"/>
                <w:kern w:val="0"/>
                <w:sz w:val="18"/>
                <w:szCs w:val="18"/>
                <w:highlight w:val="none"/>
                <w:lang w:eastAsia="zh-CN" w:bidi="ar"/>
              </w:rPr>
              <w:t>2018—2023</w:t>
            </w:r>
          </w:p>
        </w:tc>
        <w:tc>
          <w:tcPr>
            <w:tcW w:w="0" w:type="auto"/>
            <w:tcBorders>
              <w:top w:val="nil"/>
              <w:left w:val="nil"/>
              <w:bottom w:val="single" w:color="000000" w:sz="12" w:space="0"/>
              <w:right w:val="nil"/>
            </w:tcBorders>
            <w:shd w:val="clear" w:color="auto" w:fill="FCFCFD"/>
            <w:vAlign w:val="center"/>
          </w:tcPr>
          <w:p w14:paraId="4306694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63137</w:t>
            </w:r>
          </w:p>
        </w:tc>
        <w:tc>
          <w:tcPr>
            <w:tcW w:w="0" w:type="auto"/>
            <w:tcBorders>
              <w:top w:val="nil"/>
              <w:left w:val="nil"/>
              <w:bottom w:val="single" w:color="000000" w:sz="12" w:space="0"/>
              <w:right w:val="nil"/>
            </w:tcBorders>
            <w:vAlign w:val="center"/>
          </w:tcPr>
          <w:p w14:paraId="7963CD04">
            <w:pPr>
              <w:widowControl/>
              <w:jc w:val="center"/>
              <w:textAlignment w:val="center"/>
              <w:rPr>
                <w:rFonts w:ascii="Times New Roman" w:hAnsi="Times New Roman" w:eastAsia="宋体" w:cs="Times New Roman"/>
                <w:color w:val="000000"/>
                <w:sz w:val="18"/>
                <w:szCs w:val="18"/>
                <w:highlight w:val="none"/>
              </w:rPr>
            </w:pPr>
            <w:r>
              <w:rPr>
                <w:rFonts w:ascii="Times New Roman" w:hAnsi="Times New Roman" w:eastAsia="宋体" w:cs="Times New Roman"/>
                <w:color w:val="000000"/>
                <w:kern w:val="0"/>
                <w:sz w:val="18"/>
                <w:szCs w:val="18"/>
                <w:highlight w:val="none"/>
                <w:lang w:bidi="ar"/>
              </w:rPr>
              <w:t>293.39</w:t>
            </w:r>
          </w:p>
        </w:tc>
        <w:tc>
          <w:tcPr>
            <w:tcW w:w="0" w:type="auto"/>
            <w:tcBorders>
              <w:top w:val="nil"/>
              <w:left w:val="nil"/>
              <w:bottom w:val="single" w:color="000000" w:sz="12" w:space="0"/>
              <w:right w:val="nil"/>
            </w:tcBorders>
            <w:vAlign w:val="center"/>
          </w:tcPr>
          <w:p w14:paraId="02847EFD">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155.84</w:t>
            </w:r>
          </w:p>
        </w:tc>
        <w:tc>
          <w:tcPr>
            <w:tcW w:w="1112" w:type="dxa"/>
            <w:tcBorders>
              <w:top w:val="nil"/>
              <w:left w:val="nil"/>
              <w:bottom w:val="single" w:color="000000" w:sz="12" w:space="0"/>
              <w:right w:val="nil"/>
            </w:tcBorders>
            <w:vAlign w:val="center"/>
          </w:tcPr>
          <w:p w14:paraId="7DB0E3F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152.98</w:t>
            </w:r>
          </w:p>
        </w:tc>
        <w:tc>
          <w:tcPr>
            <w:tcW w:w="240" w:type="dxa"/>
            <w:tcBorders>
              <w:top w:val="nil"/>
              <w:left w:val="nil"/>
              <w:bottom w:val="single" w:color="000000" w:sz="12" w:space="0"/>
              <w:right w:val="nil"/>
            </w:tcBorders>
            <w:vAlign w:val="center"/>
          </w:tcPr>
          <w:p w14:paraId="6C7F5AB2">
            <w:pPr>
              <w:jc w:val="center"/>
              <w:rPr>
                <w:rFonts w:ascii="Times New Roman" w:hAnsi="Times New Roman" w:eastAsia="宋体" w:cs="Times New Roman"/>
                <w:color w:val="231F20"/>
                <w:sz w:val="18"/>
                <w:szCs w:val="18"/>
                <w:highlight w:val="none"/>
              </w:rPr>
            </w:pPr>
          </w:p>
        </w:tc>
        <w:tc>
          <w:tcPr>
            <w:tcW w:w="0" w:type="auto"/>
            <w:tcBorders>
              <w:top w:val="nil"/>
              <w:left w:val="nil"/>
              <w:bottom w:val="single" w:color="000000" w:sz="12" w:space="0"/>
              <w:right w:val="nil"/>
            </w:tcBorders>
            <w:vAlign w:val="center"/>
          </w:tcPr>
          <w:p w14:paraId="1A272C2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38499</w:t>
            </w:r>
          </w:p>
        </w:tc>
        <w:tc>
          <w:tcPr>
            <w:tcW w:w="0" w:type="auto"/>
            <w:tcBorders>
              <w:top w:val="nil"/>
              <w:left w:val="nil"/>
              <w:bottom w:val="single" w:color="000000" w:sz="12" w:space="0"/>
              <w:right w:val="nil"/>
            </w:tcBorders>
            <w:vAlign w:val="center"/>
          </w:tcPr>
          <w:p w14:paraId="62F876B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345.64</w:t>
            </w:r>
          </w:p>
        </w:tc>
        <w:tc>
          <w:tcPr>
            <w:tcW w:w="0" w:type="auto"/>
            <w:tcBorders>
              <w:top w:val="nil"/>
              <w:left w:val="nil"/>
              <w:bottom w:val="single" w:color="000000" w:sz="12" w:space="0"/>
              <w:right w:val="nil"/>
            </w:tcBorders>
            <w:vAlign w:val="center"/>
          </w:tcPr>
          <w:p w14:paraId="24EFFC7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180.46</w:t>
            </w:r>
          </w:p>
        </w:tc>
        <w:tc>
          <w:tcPr>
            <w:tcW w:w="0" w:type="auto"/>
            <w:tcBorders>
              <w:top w:val="nil"/>
              <w:left w:val="nil"/>
              <w:bottom w:val="single" w:color="000000" w:sz="12" w:space="0"/>
              <w:right w:val="nil"/>
            </w:tcBorders>
            <w:vAlign w:val="center"/>
          </w:tcPr>
          <w:p w14:paraId="2326D35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179.6</w:t>
            </w:r>
          </w:p>
        </w:tc>
        <w:tc>
          <w:tcPr>
            <w:tcW w:w="0" w:type="auto"/>
            <w:tcBorders>
              <w:top w:val="nil"/>
              <w:left w:val="nil"/>
              <w:bottom w:val="single" w:color="000000" w:sz="12" w:space="0"/>
              <w:right w:val="nil"/>
            </w:tcBorders>
            <w:vAlign w:val="center"/>
          </w:tcPr>
          <w:p w14:paraId="6E27EF76">
            <w:pPr>
              <w:jc w:val="center"/>
              <w:rPr>
                <w:rFonts w:ascii="Times New Roman" w:hAnsi="Times New Roman" w:eastAsia="宋体" w:cs="Times New Roman"/>
                <w:color w:val="231F20"/>
                <w:sz w:val="18"/>
                <w:szCs w:val="18"/>
                <w:highlight w:val="none"/>
              </w:rPr>
            </w:pPr>
          </w:p>
        </w:tc>
        <w:tc>
          <w:tcPr>
            <w:tcW w:w="0" w:type="auto"/>
            <w:tcBorders>
              <w:top w:val="nil"/>
              <w:left w:val="nil"/>
              <w:bottom w:val="single" w:color="000000" w:sz="12" w:space="0"/>
              <w:right w:val="nil"/>
            </w:tcBorders>
            <w:vAlign w:val="center"/>
          </w:tcPr>
          <w:p w14:paraId="3579302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24638</w:t>
            </w:r>
          </w:p>
        </w:tc>
        <w:tc>
          <w:tcPr>
            <w:tcW w:w="0" w:type="auto"/>
            <w:tcBorders>
              <w:top w:val="nil"/>
              <w:left w:val="nil"/>
              <w:bottom w:val="single" w:color="000000" w:sz="12" w:space="0"/>
              <w:right w:val="nil"/>
            </w:tcBorders>
            <w:vAlign w:val="center"/>
          </w:tcPr>
          <w:p w14:paraId="74EE889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237.32</w:t>
            </w:r>
          </w:p>
        </w:tc>
        <w:tc>
          <w:tcPr>
            <w:tcW w:w="0" w:type="auto"/>
            <w:tcBorders>
              <w:top w:val="nil"/>
              <w:left w:val="nil"/>
              <w:bottom w:val="single" w:color="000000" w:sz="12" w:space="0"/>
              <w:right w:val="nil"/>
            </w:tcBorders>
            <w:vAlign w:val="center"/>
          </w:tcPr>
          <w:p w14:paraId="750972B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131.35</w:t>
            </w:r>
          </w:p>
        </w:tc>
        <w:tc>
          <w:tcPr>
            <w:tcW w:w="0" w:type="auto"/>
            <w:tcBorders>
              <w:top w:val="nil"/>
              <w:left w:val="nil"/>
              <w:bottom w:val="single" w:color="000000" w:sz="12" w:space="0"/>
              <w:right w:val="nil"/>
            </w:tcBorders>
            <w:vAlign w:val="center"/>
          </w:tcPr>
          <w:p w14:paraId="2F3044B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126.03</w:t>
            </w:r>
          </w:p>
        </w:tc>
      </w:tr>
    </w:tbl>
    <w:p w14:paraId="44CF5816">
      <w:pPr>
        <w:spacing w:line="240" w:lineRule="auto"/>
        <w:jc w:val="left"/>
        <w:rPr>
          <w:rFonts w:hint="eastAsia" w:ascii="Times New Roman" w:hAnsi="Times New Roman" w:cs="Times New Roman"/>
          <w:sz w:val="16"/>
          <w:szCs w:val="16"/>
          <w:highlight w:val="none"/>
        </w:rPr>
      </w:pPr>
      <w:r>
        <w:rPr>
          <w:rFonts w:hint="eastAsia" w:ascii="Times New Roman" w:hAnsi="Times New Roman" w:cs="Times New Roman"/>
          <w:sz w:val="16"/>
          <w:szCs w:val="16"/>
          <w:highlight w:val="none"/>
        </w:rPr>
        <w:t>Note</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rPr>
        <w:t>ASRC</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rPr>
        <w:t>age-standardized rate by Chinese standard population</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rPr>
        <w:t>ASRW</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rPr>
        <w:t>age-standardized rate by world standard population</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rPr>
        <w:t>AAPC</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lang w:eastAsia="zh-CN"/>
        </w:rPr>
        <w:t>average annual percentage change</w:t>
      </w:r>
      <w:r>
        <w:rPr>
          <w:rFonts w:hint="eastAsia" w:ascii="Times New Roman" w:hAnsi="Times New Roman" w:cs="Times New Roman"/>
          <w:sz w:val="16"/>
          <w:szCs w:val="16"/>
          <w:highlight w:val="none"/>
        </w:rPr>
        <w:t>.</w:t>
      </w:r>
    </w:p>
    <w:p w14:paraId="6F654125">
      <w:pPr>
        <w:rPr>
          <w:rFonts w:hint="eastAsia" w:ascii="Times New Roman" w:hAnsi="Times New Roman" w:cs="Times New Roman"/>
          <w:sz w:val="16"/>
          <w:szCs w:val="16"/>
          <w:highlight w:val="none"/>
        </w:rPr>
      </w:pPr>
      <w:r>
        <w:rPr>
          <w:rFonts w:hint="eastAsia" w:ascii="Times New Roman" w:hAnsi="Times New Roman" w:cs="Times New Roman"/>
          <w:sz w:val="16"/>
          <w:szCs w:val="16"/>
          <w:highlight w:val="none"/>
        </w:rPr>
        <w:br w:type="page"/>
      </w:r>
    </w:p>
    <w:p w14:paraId="007065F1">
      <w:pPr>
        <w:spacing w:line="360" w:lineRule="auto"/>
        <w:jc w:val="center"/>
        <w:rPr>
          <w:rFonts w:ascii="Times New Roman" w:hAnsi="Times New Roman" w:cs="Times New Roman"/>
          <w:sz w:val="28"/>
          <w:szCs w:val="28"/>
          <w:highlight w:val="none"/>
        </w:rPr>
      </w:pPr>
      <w:r>
        <w:rPr>
          <w:rFonts w:ascii="Times New Roman" w:hAnsi="Times New Roman" w:cs="Times New Roman"/>
          <w:sz w:val="24"/>
          <w:highlight w:val="none"/>
        </w:rPr>
        <w:t>Table</w:t>
      </w:r>
      <w:r>
        <w:rPr>
          <w:rFonts w:hint="eastAsia" w:ascii="Times New Roman" w:hAnsi="Times New Roman" w:cs="Times New Roman"/>
          <w:sz w:val="24"/>
          <w:highlight w:val="none"/>
          <w:lang w:val="en-US" w:eastAsia="zh-CN"/>
        </w:rPr>
        <w:t xml:space="preserve"> </w:t>
      </w:r>
      <w:r>
        <w:rPr>
          <w:rFonts w:ascii="Times New Roman" w:hAnsi="Times New Roman" w:cs="Times New Roman"/>
          <w:sz w:val="24"/>
          <w:highlight w:val="none"/>
        </w:rPr>
        <w:t>3 Mortality rates of malignant tumors in Suining from 2018 to 2023</w:t>
      </w:r>
    </w:p>
    <w:tbl>
      <w:tblPr>
        <w:tblStyle w:val="7"/>
        <w:tblW w:w="0" w:type="auto"/>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13"/>
        <w:gridCol w:w="753"/>
        <w:gridCol w:w="1155"/>
        <w:gridCol w:w="1141"/>
        <w:gridCol w:w="1152"/>
        <w:gridCol w:w="222"/>
        <w:gridCol w:w="753"/>
        <w:gridCol w:w="1116"/>
        <w:gridCol w:w="1141"/>
        <w:gridCol w:w="1152"/>
        <w:gridCol w:w="222"/>
        <w:gridCol w:w="753"/>
        <w:gridCol w:w="1155"/>
        <w:gridCol w:w="1141"/>
        <w:gridCol w:w="1105"/>
      </w:tblGrid>
      <w:tr w14:paraId="75C2B7E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15" w:type="dxa"/>
            <w:vMerge w:val="restart"/>
            <w:tcBorders>
              <w:tl2br w:val="nil"/>
              <w:tr2bl w:val="nil"/>
            </w:tcBorders>
            <w:vAlign w:val="center"/>
          </w:tcPr>
          <w:p w14:paraId="6D253D23">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Year</w:t>
            </w:r>
          </w:p>
        </w:tc>
        <w:tc>
          <w:tcPr>
            <w:tcW w:w="0" w:type="auto"/>
            <w:gridSpan w:val="4"/>
            <w:tcBorders>
              <w:bottom w:val="single" w:color="000000" w:sz="6" w:space="0"/>
              <w:tl2br w:val="nil"/>
              <w:tr2bl w:val="nil"/>
            </w:tcBorders>
            <w:vAlign w:val="center"/>
          </w:tcPr>
          <w:p w14:paraId="76277D97">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Both</w:t>
            </w:r>
          </w:p>
        </w:tc>
        <w:tc>
          <w:tcPr>
            <w:tcW w:w="0" w:type="auto"/>
            <w:tcBorders>
              <w:tl2br w:val="nil"/>
              <w:tr2bl w:val="nil"/>
            </w:tcBorders>
            <w:vAlign w:val="center"/>
          </w:tcPr>
          <w:p w14:paraId="737178E9">
            <w:pPr>
              <w:jc w:val="center"/>
              <w:rPr>
                <w:rFonts w:ascii="Times New Roman" w:hAnsi="Times New Roman" w:eastAsia="ZLKHBM-18" w:cs="Times New Roman"/>
                <w:color w:val="231F20"/>
                <w:sz w:val="18"/>
                <w:szCs w:val="18"/>
                <w:highlight w:val="none"/>
              </w:rPr>
            </w:pPr>
          </w:p>
        </w:tc>
        <w:tc>
          <w:tcPr>
            <w:tcW w:w="0" w:type="auto"/>
            <w:gridSpan w:val="4"/>
            <w:tcBorders>
              <w:bottom w:val="single" w:color="000000" w:sz="6" w:space="0"/>
              <w:tl2br w:val="nil"/>
              <w:tr2bl w:val="nil"/>
            </w:tcBorders>
            <w:vAlign w:val="center"/>
          </w:tcPr>
          <w:p w14:paraId="343BC5D0">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Male</w:t>
            </w:r>
          </w:p>
        </w:tc>
        <w:tc>
          <w:tcPr>
            <w:tcW w:w="0" w:type="auto"/>
            <w:tcBorders>
              <w:tl2br w:val="nil"/>
              <w:tr2bl w:val="nil"/>
            </w:tcBorders>
            <w:vAlign w:val="center"/>
          </w:tcPr>
          <w:p w14:paraId="282D0299">
            <w:pPr>
              <w:jc w:val="center"/>
              <w:rPr>
                <w:rFonts w:ascii="Times New Roman" w:hAnsi="Times New Roman" w:eastAsia="ZLKHBM-18" w:cs="Times New Roman"/>
                <w:color w:val="231F20"/>
                <w:sz w:val="18"/>
                <w:szCs w:val="18"/>
                <w:highlight w:val="none"/>
              </w:rPr>
            </w:pPr>
          </w:p>
        </w:tc>
        <w:tc>
          <w:tcPr>
            <w:tcW w:w="0" w:type="auto"/>
            <w:gridSpan w:val="4"/>
            <w:tcBorders>
              <w:bottom w:val="single" w:color="000000" w:sz="6" w:space="0"/>
              <w:tl2br w:val="nil"/>
              <w:tr2bl w:val="nil"/>
            </w:tcBorders>
            <w:vAlign w:val="center"/>
          </w:tcPr>
          <w:p w14:paraId="6DA0087A">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Female</w:t>
            </w:r>
          </w:p>
        </w:tc>
      </w:tr>
      <w:tr w14:paraId="6898DEE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215" w:type="dxa"/>
            <w:vMerge w:val="continue"/>
            <w:tcBorders>
              <w:bottom w:val="single" w:color="auto" w:sz="6" w:space="0"/>
              <w:tl2br w:val="nil"/>
              <w:tr2bl w:val="nil"/>
            </w:tcBorders>
            <w:vAlign w:val="center"/>
          </w:tcPr>
          <w:p w14:paraId="0DAFC5A0">
            <w:pPr>
              <w:jc w:val="center"/>
              <w:rPr>
                <w:rFonts w:ascii="Times New Roman" w:hAnsi="Times New Roman" w:eastAsia="ZLKHBM-18" w:cs="Times New Roman"/>
                <w:color w:val="231F20"/>
                <w:sz w:val="18"/>
                <w:szCs w:val="18"/>
                <w:highlight w:val="none"/>
              </w:rPr>
            </w:pPr>
          </w:p>
        </w:tc>
        <w:tc>
          <w:tcPr>
            <w:tcW w:w="0" w:type="auto"/>
            <w:tcBorders>
              <w:top w:val="single" w:color="000000" w:sz="6" w:space="0"/>
              <w:bottom w:val="single" w:color="auto" w:sz="6" w:space="0"/>
              <w:tl2br w:val="nil"/>
              <w:tr2bl w:val="nil"/>
            </w:tcBorders>
            <w:vAlign w:val="center"/>
          </w:tcPr>
          <w:p w14:paraId="09BFC66F">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Death cases</w:t>
            </w:r>
          </w:p>
        </w:tc>
        <w:tc>
          <w:tcPr>
            <w:tcW w:w="0" w:type="auto"/>
            <w:tcBorders>
              <w:top w:val="single" w:color="000000" w:sz="6" w:space="0"/>
              <w:bottom w:val="single" w:color="auto" w:sz="6" w:space="0"/>
              <w:tl2br w:val="nil"/>
              <w:tr2bl w:val="nil"/>
            </w:tcBorders>
            <w:vAlign w:val="center"/>
          </w:tcPr>
          <w:p w14:paraId="4155B2AC">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Crude rate</w:t>
            </w:r>
            <w:r>
              <w:rPr>
                <w:rStyle w:val="10"/>
                <w:rFonts w:hint="default" w:ascii="Times New Roman" w:hAnsi="Times New Roman" w:cs="Times New Roman"/>
                <w:sz w:val="18"/>
                <w:szCs w:val="18"/>
                <w:highlight w:val="none"/>
                <w:lang w:bidi="ar"/>
              </w:rPr>
              <w:t>（</w:t>
            </w:r>
            <w:r>
              <w:rPr>
                <w:rStyle w:val="11"/>
                <w:rFonts w:ascii="Times New Roman" w:hAnsi="Times New Roman" w:cs="Times New Roman"/>
                <w:sz w:val="18"/>
                <w:szCs w:val="18"/>
                <w:highlight w:val="none"/>
                <w:lang w:bidi="ar"/>
              </w:rPr>
              <w:t>1/10</w:t>
            </w:r>
            <w:r>
              <w:rPr>
                <w:rStyle w:val="11"/>
                <w:rFonts w:ascii="Times New Roman" w:hAnsi="Times New Roman" w:cs="Times New Roman"/>
                <w:sz w:val="18"/>
                <w:szCs w:val="18"/>
                <w:highlight w:val="none"/>
                <w:vertAlign w:val="superscript"/>
                <w:lang w:bidi="ar"/>
              </w:rPr>
              <w:t>5</w:t>
            </w:r>
            <w:r>
              <w:rPr>
                <w:rStyle w:val="10"/>
                <w:rFonts w:hint="default" w:ascii="Times New Roman" w:hAnsi="Times New Roman" w:cs="Times New Roman"/>
                <w:sz w:val="18"/>
                <w:szCs w:val="18"/>
                <w:highlight w:val="none"/>
                <w:lang w:bidi="ar"/>
              </w:rPr>
              <w:t>）</w:t>
            </w:r>
          </w:p>
        </w:tc>
        <w:tc>
          <w:tcPr>
            <w:tcW w:w="0" w:type="auto"/>
            <w:tcBorders>
              <w:top w:val="single" w:color="000000" w:sz="6" w:space="0"/>
              <w:bottom w:val="single" w:color="auto" w:sz="6" w:space="0"/>
              <w:tl2br w:val="nil"/>
              <w:tr2bl w:val="nil"/>
            </w:tcBorders>
            <w:vAlign w:val="center"/>
          </w:tcPr>
          <w:p w14:paraId="7672E626">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ASRC</w:t>
            </w:r>
            <w:r>
              <w:rPr>
                <w:rStyle w:val="10"/>
                <w:rFonts w:hint="default" w:ascii="Times New Roman" w:hAnsi="Times New Roman" w:cs="Times New Roman"/>
                <w:sz w:val="18"/>
                <w:szCs w:val="18"/>
                <w:highlight w:val="none"/>
                <w:lang w:bidi="ar"/>
              </w:rPr>
              <w:t>（</w:t>
            </w:r>
            <w:r>
              <w:rPr>
                <w:rStyle w:val="11"/>
                <w:rFonts w:ascii="Times New Roman" w:hAnsi="Times New Roman" w:cs="Times New Roman"/>
                <w:sz w:val="18"/>
                <w:szCs w:val="18"/>
                <w:highlight w:val="none"/>
                <w:lang w:bidi="ar"/>
              </w:rPr>
              <w:t>1/10</w:t>
            </w:r>
            <w:r>
              <w:rPr>
                <w:rStyle w:val="11"/>
                <w:rFonts w:ascii="Times New Roman" w:hAnsi="Times New Roman" w:cs="Times New Roman"/>
                <w:sz w:val="18"/>
                <w:szCs w:val="18"/>
                <w:highlight w:val="none"/>
                <w:vertAlign w:val="superscript"/>
                <w:lang w:bidi="ar"/>
              </w:rPr>
              <w:t>5</w:t>
            </w:r>
            <w:r>
              <w:rPr>
                <w:rStyle w:val="10"/>
                <w:rFonts w:hint="default" w:ascii="Times New Roman" w:hAnsi="Times New Roman" w:cs="Times New Roman"/>
                <w:sz w:val="18"/>
                <w:szCs w:val="18"/>
                <w:highlight w:val="none"/>
                <w:lang w:bidi="ar"/>
              </w:rPr>
              <w:t>）</w:t>
            </w:r>
          </w:p>
        </w:tc>
        <w:tc>
          <w:tcPr>
            <w:tcW w:w="0" w:type="auto"/>
            <w:tcBorders>
              <w:top w:val="single" w:color="000000" w:sz="6" w:space="0"/>
              <w:bottom w:val="single" w:color="auto" w:sz="6" w:space="0"/>
              <w:tl2br w:val="nil"/>
              <w:tr2bl w:val="nil"/>
            </w:tcBorders>
            <w:vAlign w:val="center"/>
          </w:tcPr>
          <w:p w14:paraId="5E357F56">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ASRW</w:t>
            </w:r>
            <w:r>
              <w:rPr>
                <w:rStyle w:val="10"/>
                <w:rFonts w:hint="default" w:ascii="Times New Roman" w:hAnsi="Times New Roman" w:cs="Times New Roman"/>
                <w:sz w:val="18"/>
                <w:szCs w:val="18"/>
                <w:highlight w:val="none"/>
                <w:lang w:bidi="ar"/>
              </w:rPr>
              <w:t>（</w:t>
            </w:r>
            <w:r>
              <w:rPr>
                <w:rStyle w:val="11"/>
                <w:rFonts w:ascii="Times New Roman" w:hAnsi="Times New Roman" w:cs="Times New Roman"/>
                <w:sz w:val="18"/>
                <w:szCs w:val="18"/>
                <w:highlight w:val="none"/>
                <w:lang w:bidi="ar"/>
              </w:rPr>
              <w:t>1/10</w:t>
            </w:r>
            <w:r>
              <w:rPr>
                <w:rStyle w:val="11"/>
                <w:rFonts w:ascii="Times New Roman" w:hAnsi="Times New Roman" w:cs="Times New Roman"/>
                <w:sz w:val="18"/>
                <w:szCs w:val="18"/>
                <w:highlight w:val="none"/>
                <w:vertAlign w:val="superscript"/>
                <w:lang w:bidi="ar"/>
              </w:rPr>
              <w:t>5</w:t>
            </w:r>
            <w:r>
              <w:rPr>
                <w:rStyle w:val="10"/>
                <w:rFonts w:hint="default" w:ascii="Times New Roman" w:hAnsi="Times New Roman" w:cs="Times New Roman"/>
                <w:sz w:val="18"/>
                <w:szCs w:val="18"/>
                <w:highlight w:val="none"/>
                <w:lang w:bidi="ar"/>
              </w:rPr>
              <w:t>）</w:t>
            </w:r>
          </w:p>
        </w:tc>
        <w:tc>
          <w:tcPr>
            <w:tcW w:w="0" w:type="auto"/>
            <w:tcBorders>
              <w:bottom w:val="single" w:color="auto" w:sz="6" w:space="0"/>
              <w:tl2br w:val="nil"/>
              <w:tr2bl w:val="nil"/>
            </w:tcBorders>
            <w:vAlign w:val="center"/>
          </w:tcPr>
          <w:p w14:paraId="61FE3D11">
            <w:pPr>
              <w:jc w:val="center"/>
              <w:rPr>
                <w:rFonts w:ascii="Times New Roman" w:hAnsi="Times New Roman" w:eastAsia="ZLKHBM-18" w:cs="Times New Roman"/>
                <w:color w:val="231F20"/>
                <w:sz w:val="18"/>
                <w:szCs w:val="18"/>
                <w:highlight w:val="none"/>
              </w:rPr>
            </w:pPr>
          </w:p>
        </w:tc>
        <w:tc>
          <w:tcPr>
            <w:tcW w:w="0" w:type="auto"/>
            <w:tcBorders>
              <w:top w:val="single" w:color="000000" w:sz="6" w:space="0"/>
              <w:bottom w:val="single" w:color="auto" w:sz="6" w:space="0"/>
              <w:tl2br w:val="nil"/>
              <w:tr2bl w:val="nil"/>
            </w:tcBorders>
            <w:vAlign w:val="center"/>
          </w:tcPr>
          <w:p w14:paraId="5AE3DEC9">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Death cases</w:t>
            </w:r>
          </w:p>
        </w:tc>
        <w:tc>
          <w:tcPr>
            <w:tcW w:w="0" w:type="auto"/>
            <w:tcBorders>
              <w:top w:val="single" w:color="000000" w:sz="6" w:space="0"/>
              <w:bottom w:val="single" w:color="auto" w:sz="6" w:space="0"/>
              <w:tl2br w:val="nil"/>
              <w:tr2bl w:val="nil"/>
            </w:tcBorders>
            <w:vAlign w:val="center"/>
          </w:tcPr>
          <w:p w14:paraId="2DDB1DA6">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Crude rate</w:t>
            </w:r>
            <w:r>
              <w:rPr>
                <w:rStyle w:val="10"/>
                <w:rFonts w:hint="default" w:ascii="Times New Roman" w:hAnsi="Times New Roman" w:cs="Times New Roman"/>
                <w:sz w:val="18"/>
                <w:szCs w:val="18"/>
                <w:highlight w:val="none"/>
                <w:lang w:bidi="ar"/>
              </w:rPr>
              <w:t>（</w:t>
            </w:r>
            <w:r>
              <w:rPr>
                <w:rStyle w:val="11"/>
                <w:rFonts w:ascii="Times New Roman" w:hAnsi="Times New Roman" w:cs="Times New Roman"/>
                <w:sz w:val="18"/>
                <w:szCs w:val="18"/>
                <w:highlight w:val="none"/>
                <w:lang w:bidi="ar"/>
              </w:rPr>
              <w:t>1/10</w:t>
            </w:r>
            <w:r>
              <w:rPr>
                <w:rStyle w:val="11"/>
                <w:rFonts w:ascii="Times New Roman" w:hAnsi="Times New Roman" w:cs="Times New Roman"/>
                <w:sz w:val="18"/>
                <w:szCs w:val="18"/>
                <w:highlight w:val="none"/>
                <w:vertAlign w:val="superscript"/>
                <w:lang w:bidi="ar"/>
              </w:rPr>
              <w:t>5</w:t>
            </w:r>
            <w:r>
              <w:rPr>
                <w:rStyle w:val="10"/>
                <w:rFonts w:hint="default" w:ascii="Times New Roman" w:hAnsi="Times New Roman" w:cs="Times New Roman"/>
                <w:sz w:val="18"/>
                <w:szCs w:val="18"/>
                <w:highlight w:val="none"/>
                <w:lang w:bidi="ar"/>
              </w:rPr>
              <w:t>）</w:t>
            </w:r>
          </w:p>
        </w:tc>
        <w:tc>
          <w:tcPr>
            <w:tcW w:w="0" w:type="auto"/>
            <w:tcBorders>
              <w:top w:val="single" w:color="000000" w:sz="6" w:space="0"/>
              <w:bottom w:val="single" w:color="auto" w:sz="6" w:space="0"/>
              <w:tl2br w:val="nil"/>
              <w:tr2bl w:val="nil"/>
            </w:tcBorders>
            <w:vAlign w:val="center"/>
          </w:tcPr>
          <w:p w14:paraId="1EF5CB3A">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ASRC</w:t>
            </w:r>
            <w:r>
              <w:rPr>
                <w:rStyle w:val="10"/>
                <w:rFonts w:hint="default" w:ascii="Times New Roman" w:hAnsi="Times New Roman" w:cs="Times New Roman"/>
                <w:sz w:val="18"/>
                <w:szCs w:val="18"/>
                <w:highlight w:val="none"/>
                <w:lang w:bidi="ar"/>
              </w:rPr>
              <w:t>（</w:t>
            </w:r>
            <w:r>
              <w:rPr>
                <w:rStyle w:val="11"/>
                <w:rFonts w:ascii="Times New Roman" w:hAnsi="Times New Roman" w:cs="Times New Roman"/>
                <w:sz w:val="18"/>
                <w:szCs w:val="18"/>
                <w:highlight w:val="none"/>
                <w:lang w:bidi="ar"/>
              </w:rPr>
              <w:t>1/10</w:t>
            </w:r>
            <w:r>
              <w:rPr>
                <w:rStyle w:val="11"/>
                <w:rFonts w:ascii="Times New Roman" w:hAnsi="Times New Roman" w:cs="Times New Roman"/>
                <w:sz w:val="18"/>
                <w:szCs w:val="18"/>
                <w:highlight w:val="none"/>
                <w:vertAlign w:val="superscript"/>
                <w:lang w:bidi="ar"/>
              </w:rPr>
              <w:t>5</w:t>
            </w:r>
            <w:r>
              <w:rPr>
                <w:rStyle w:val="10"/>
                <w:rFonts w:hint="default" w:ascii="Times New Roman" w:hAnsi="Times New Roman" w:cs="Times New Roman"/>
                <w:sz w:val="18"/>
                <w:szCs w:val="18"/>
                <w:highlight w:val="none"/>
                <w:lang w:bidi="ar"/>
              </w:rPr>
              <w:t>）</w:t>
            </w:r>
          </w:p>
        </w:tc>
        <w:tc>
          <w:tcPr>
            <w:tcW w:w="0" w:type="auto"/>
            <w:tcBorders>
              <w:top w:val="single" w:color="000000" w:sz="6" w:space="0"/>
              <w:bottom w:val="single" w:color="auto" w:sz="6" w:space="0"/>
              <w:tl2br w:val="nil"/>
              <w:tr2bl w:val="nil"/>
            </w:tcBorders>
            <w:vAlign w:val="center"/>
          </w:tcPr>
          <w:p w14:paraId="0D3859E7">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ASRW</w:t>
            </w:r>
            <w:r>
              <w:rPr>
                <w:rStyle w:val="10"/>
                <w:rFonts w:hint="default" w:ascii="Times New Roman" w:hAnsi="Times New Roman" w:cs="Times New Roman"/>
                <w:sz w:val="18"/>
                <w:szCs w:val="18"/>
                <w:highlight w:val="none"/>
                <w:lang w:bidi="ar"/>
              </w:rPr>
              <w:t>（</w:t>
            </w:r>
            <w:r>
              <w:rPr>
                <w:rStyle w:val="11"/>
                <w:rFonts w:ascii="Times New Roman" w:hAnsi="Times New Roman" w:cs="Times New Roman"/>
                <w:sz w:val="18"/>
                <w:szCs w:val="18"/>
                <w:highlight w:val="none"/>
                <w:lang w:bidi="ar"/>
              </w:rPr>
              <w:t>1/10</w:t>
            </w:r>
            <w:r>
              <w:rPr>
                <w:rStyle w:val="11"/>
                <w:rFonts w:ascii="Times New Roman" w:hAnsi="Times New Roman" w:cs="Times New Roman"/>
                <w:sz w:val="18"/>
                <w:szCs w:val="18"/>
                <w:highlight w:val="none"/>
                <w:vertAlign w:val="superscript"/>
                <w:lang w:bidi="ar"/>
              </w:rPr>
              <w:t>5</w:t>
            </w:r>
            <w:r>
              <w:rPr>
                <w:rStyle w:val="10"/>
                <w:rFonts w:hint="default" w:ascii="Times New Roman" w:hAnsi="Times New Roman" w:cs="Times New Roman"/>
                <w:sz w:val="18"/>
                <w:szCs w:val="18"/>
                <w:highlight w:val="none"/>
                <w:lang w:bidi="ar"/>
              </w:rPr>
              <w:t>）</w:t>
            </w:r>
          </w:p>
        </w:tc>
        <w:tc>
          <w:tcPr>
            <w:tcW w:w="0" w:type="auto"/>
            <w:tcBorders>
              <w:bottom w:val="single" w:color="auto" w:sz="6" w:space="0"/>
              <w:tl2br w:val="nil"/>
              <w:tr2bl w:val="nil"/>
            </w:tcBorders>
            <w:vAlign w:val="center"/>
          </w:tcPr>
          <w:p w14:paraId="70F49F1F">
            <w:pPr>
              <w:jc w:val="center"/>
              <w:rPr>
                <w:rFonts w:ascii="Times New Roman" w:hAnsi="Times New Roman" w:eastAsia="ZLKHBM-18" w:cs="Times New Roman"/>
                <w:color w:val="231F20"/>
                <w:sz w:val="18"/>
                <w:szCs w:val="18"/>
                <w:highlight w:val="none"/>
              </w:rPr>
            </w:pPr>
          </w:p>
        </w:tc>
        <w:tc>
          <w:tcPr>
            <w:tcW w:w="0" w:type="auto"/>
            <w:tcBorders>
              <w:top w:val="single" w:color="000000" w:sz="6" w:space="0"/>
              <w:bottom w:val="single" w:color="auto" w:sz="6" w:space="0"/>
              <w:tl2br w:val="nil"/>
              <w:tr2bl w:val="nil"/>
            </w:tcBorders>
            <w:vAlign w:val="center"/>
          </w:tcPr>
          <w:p w14:paraId="793069B0">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Death cases</w:t>
            </w:r>
          </w:p>
        </w:tc>
        <w:tc>
          <w:tcPr>
            <w:tcW w:w="0" w:type="auto"/>
            <w:tcBorders>
              <w:top w:val="single" w:color="000000" w:sz="6" w:space="0"/>
              <w:bottom w:val="single" w:color="auto" w:sz="6" w:space="0"/>
              <w:tl2br w:val="nil"/>
              <w:tr2bl w:val="nil"/>
            </w:tcBorders>
            <w:vAlign w:val="center"/>
          </w:tcPr>
          <w:p w14:paraId="54F18816">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Crude rate</w:t>
            </w:r>
            <w:r>
              <w:rPr>
                <w:rStyle w:val="10"/>
                <w:rFonts w:hint="default" w:ascii="Times New Roman" w:hAnsi="Times New Roman" w:cs="Times New Roman"/>
                <w:sz w:val="18"/>
                <w:szCs w:val="18"/>
                <w:highlight w:val="none"/>
                <w:lang w:bidi="ar"/>
              </w:rPr>
              <w:t>（</w:t>
            </w:r>
            <w:r>
              <w:rPr>
                <w:rStyle w:val="11"/>
                <w:rFonts w:ascii="Times New Roman" w:hAnsi="Times New Roman" w:cs="Times New Roman"/>
                <w:sz w:val="18"/>
                <w:szCs w:val="18"/>
                <w:highlight w:val="none"/>
                <w:lang w:bidi="ar"/>
              </w:rPr>
              <w:t>1/10</w:t>
            </w:r>
            <w:r>
              <w:rPr>
                <w:rStyle w:val="11"/>
                <w:rFonts w:ascii="Times New Roman" w:hAnsi="Times New Roman" w:cs="Times New Roman"/>
                <w:sz w:val="18"/>
                <w:szCs w:val="18"/>
                <w:highlight w:val="none"/>
                <w:vertAlign w:val="superscript"/>
                <w:lang w:bidi="ar"/>
              </w:rPr>
              <w:t>5</w:t>
            </w:r>
            <w:r>
              <w:rPr>
                <w:rStyle w:val="10"/>
                <w:rFonts w:hint="default" w:ascii="Times New Roman" w:hAnsi="Times New Roman" w:cs="Times New Roman"/>
                <w:sz w:val="18"/>
                <w:szCs w:val="18"/>
                <w:highlight w:val="none"/>
                <w:lang w:bidi="ar"/>
              </w:rPr>
              <w:t>）</w:t>
            </w:r>
          </w:p>
        </w:tc>
        <w:tc>
          <w:tcPr>
            <w:tcW w:w="0" w:type="auto"/>
            <w:tcBorders>
              <w:top w:val="single" w:color="000000" w:sz="6" w:space="0"/>
              <w:bottom w:val="single" w:color="auto" w:sz="6" w:space="0"/>
              <w:tl2br w:val="nil"/>
              <w:tr2bl w:val="nil"/>
            </w:tcBorders>
            <w:vAlign w:val="center"/>
          </w:tcPr>
          <w:p w14:paraId="53AD84E4">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ASRC</w:t>
            </w:r>
            <w:r>
              <w:rPr>
                <w:rStyle w:val="10"/>
                <w:rFonts w:hint="default" w:ascii="Times New Roman" w:hAnsi="Times New Roman" w:cs="Times New Roman"/>
                <w:sz w:val="18"/>
                <w:szCs w:val="18"/>
                <w:highlight w:val="none"/>
                <w:lang w:bidi="ar"/>
              </w:rPr>
              <w:t>（</w:t>
            </w:r>
            <w:r>
              <w:rPr>
                <w:rStyle w:val="11"/>
                <w:rFonts w:ascii="Times New Roman" w:hAnsi="Times New Roman" w:cs="Times New Roman"/>
                <w:sz w:val="18"/>
                <w:szCs w:val="18"/>
                <w:highlight w:val="none"/>
                <w:lang w:bidi="ar"/>
              </w:rPr>
              <w:t>1/10</w:t>
            </w:r>
            <w:r>
              <w:rPr>
                <w:rStyle w:val="11"/>
                <w:rFonts w:ascii="Times New Roman" w:hAnsi="Times New Roman" w:cs="Times New Roman"/>
                <w:sz w:val="18"/>
                <w:szCs w:val="18"/>
                <w:highlight w:val="none"/>
                <w:vertAlign w:val="superscript"/>
                <w:lang w:bidi="ar"/>
              </w:rPr>
              <w:t>5</w:t>
            </w:r>
            <w:r>
              <w:rPr>
                <w:rStyle w:val="10"/>
                <w:rFonts w:hint="default" w:ascii="Times New Roman" w:hAnsi="Times New Roman" w:cs="Times New Roman"/>
                <w:sz w:val="18"/>
                <w:szCs w:val="18"/>
                <w:highlight w:val="none"/>
                <w:lang w:bidi="ar"/>
              </w:rPr>
              <w:t>）</w:t>
            </w:r>
          </w:p>
        </w:tc>
        <w:tc>
          <w:tcPr>
            <w:tcW w:w="0" w:type="auto"/>
            <w:tcBorders>
              <w:top w:val="single" w:color="000000" w:sz="6" w:space="0"/>
              <w:bottom w:val="single" w:color="auto" w:sz="6" w:space="0"/>
              <w:tl2br w:val="nil"/>
              <w:tr2bl w:val="nil"/>
            </w:tcBorders>
            <w:vAlign w:val="center"/>
          </w:tcPr>
          <w:p w14:paraId="152A2654">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ASRW</w:t>
            </w:r>
            <w:r>
              <w:rPr>
                <w:rStyle w:val="10"/>
                <w:rFonts w:hint="default" w:ascii="Times New Roman" w:hAnsi="Times New Roman" w:cs="Times New Roman"/>
                <w:sz w:val="18"/>
                <w:szCs w:val="18"/>
                <w:highlight w:val="none"/>
                <w:lang w:bidi="ar"/>
              </w:rPr>
              <w:t>（</w:t>
            </w:r>
            <w:r>
              <w:rPr>
                <w:rStyle w:val="11"/>
                <w:rFonts w:ascii="Times New Roman" w:hAnsi="Times New Roman" w:cs="Times New Roman"/>
                <w:sz w:val="18"/>
                <w:szCs w:val="18"/>
                <w:highlight w:val="none"/>
                <w:lang w:bidi="ar"/>
              </w:rPr>
              <w:t>1/10</w:t>
            </w:r>
            <w:r>
              <w:rPr>
                <w:rStyle w:val="11"/>
                <w:rFonts w:ascii="Times New Roman" w:hAnsi="Times New Roman" w:cs="Times New Roman"/>
                <w:sz w:val="18"/>
                <w:szCs w:val="18"/>
                <w:highlight w:val="none"/>
                <w:vertAlign w:val="superscript"/>
                <w:lang w:bidi="ar"/>
              </w:rPr>
              <w:t>5</w:t>
            </w:r>
            <w:r>
              <w:rPr>
                <w:rStyle w:val="10"/>
                <w:rFonts w:hint="default" w:ascii="Times New Roman" w:hAnsi="Times New Roman" w:cs="Times New Roman"/>
                <w:sz w:val="18"/>
                <w:szCs w:val="18"/>
                <w:highlight w:val="none"/>
                <w:lang w:bidi="ar"/>
              </w:rPr>
              <w:t>）</w:t>
            </w:r>
          </w:p>
        </w:tc>
      </w:tr>
      <w:tr w14:paraId="1870787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15" w:type="dxa"/>
            <w:tcBorders>
              <w:top w:val="single" w:color="auto" w:sz="6" w:space="0"/>
            </w:tcBorders>
            <w:vAlign w:val="center"/>
          </w:tcPr>
          <w:p w14:paraId="79DD5FE8">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2018</w:t>
            </w:r>
          </w:p>
        </w:tc>
        <w:tc>
          <w:tcPr>
            <w:tcW w:w="0" w:type="auto"/>
            <w:tcBorders>
              <w:top w:val="single" w:color="auto" w:sz="6" w:space="0"/>
            </w:tcBorders>
            <w:vAlign w:val="center"/>
          </w:tcPr>
          <w:p w14:paraId="5FA041E4">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6656</w:t>
            </w:r>
          </w:p>
        </w:tc>
        <w:tc>
          <w:tcPr>
            <w:tcW w:w="0" w:type="auto"/>
            <w:tcBorders>
              <w:top w:val="single" w:color="auto" w:sz="6" w:space="0"/>
            </w:tcBorders>
            <w:vAlign w:val="center"/>
          </w:tcPr>
          <w:p w14:paraId="14ABB5B9">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182.18</w:t>
            </w:r>
          </w:p>
        </w:tc>
        <w:tc>
          <w:tcPr>
            <w:tcW w:w="0" w:type="auto"/>
            <w:tcBorders>
              <w:top w:val="single" w:color="auto" w:sz="6" w:space="0"/>
            </w:tcBorders>
            <w:vAlign w:val="center"/>
          </w:tcPr>
          <w:p w14:paraId="3889EC0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97.43</w:t>
            </w:r>
          </w:p>
        </w:tc>
        <w:tc>
          <w:tcPr>
            <w:tcW w:w="0" w:type="auto"/>
            <w:tcBorders>
              <w:top w:val="single" w:color="auto" w:sz="6" w:space="0"/>
            </w:tcBorders>
            <w:vAlign w:val="center"/>
          </w:tcPr>
          <w:p w14:paraId="6931497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96.57</w:t>
            </w:r>
          </w:p>
        </w:tc>
        <w:tc>
          <w:tcPr>
            <w:tcW w:w="0" w:type="auto"/>
            <w:tcBorders>
              <w:top w:val="single" w:color="auto" w:sz="6" w:space="0"/>
            </w:tcBorders>
            <w:vAlign w:val="center"/>
          </w:tcPr>
          <w:p w14:paraId="77B3CA09">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op w:val="single" w:color="auto" w:sz="6" w:space="0"/>
            </w:tcBorders>
            <w:vAlign w:val="center"/>
          </w:tcPr>
          <w:p w14:paraId="43E75F80">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4510</w:t>
            </w:r>
          </w:p>
        </w:tc>
        <w:tc>
          <w:tcPr>
            <w:tcW w:w="0" w:type="auto"/>
            <w:tcBorders>
              <w:top w:val="single" w:color="auto" w:sz="6" w:space="0"/>
            </w:tcBorders>
            <w:vAlign w:val="center"/>
          </w:tcPr>
          <w:p w14:paraId="50AC2EE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238.62</w:t>
            </w:r>
          </w:p>
        </w:tc>
        <w:tc>
          <w:tcPr>
            <w:tcW w:w="0" w:type="auto"/>
            <w:tcBorders>
              <w:top w:val="single" w:color="auto" w:sz="6" w:space="0"/>
            </w:tcBorders>
            <w:vAlign w:val="center"/>
          </w:tcPr>
          <w:p w14:paraId="6E05F5C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131.72</w:t>
            </w:r>
          </w:p>
        </w:tc>
        <w:tc>
          <w:tcPr>
            <w:tcW w:w="0" w:type="auto"/>
            <w:tcBorders>
              <w:top w:val="single" w:color="auto" w:sz="6" w:space="0"/>
            </w:tcBorders>
            <w:vAlign w:val="center"/>
          </w:tcPr>
          <w:p w14:paraId="65B50C5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130.86</w:t>
            </w:r>
          </w:p>
        </w:tc>
        <w:tc>
          <w:tcPr>
            <w:tcW w:w="0" w:type="auto"/>
            <w:tcBorders>
              <w:top w:val="single" w:color="auto" w:sz="6" w:space="0"/>
            </w:tcBorders>
            <w:vAlign w:val="center"/>
          </w:tcPr>
          <w:p w14:paraId="22756114">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op w:val="single" w:color="auto" w:sz="6" w:space="0"/>
            </w:tcBorders>
            <w:vAlign w:val="center"/>
          </w:tcPr>
          <w:p w14:paraId="6040F882">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2146</w:t>
            </w:r>
          </w:p>
        </w:tc>
        <w:tc>
          <w:tcPr>
            <w:tcW w:w="0" w:type="auto"/>
            <w:tcBorders>
              <w:top w:val="single" w:color="auto" w:sz="6" w:space="0"/>
            </w:tcBorders>
            <w:vAlign w:val="center"/>
          </w:tcPr>
          <w:p w14:paraId="0751AD0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121.69</w:t>
            </w:r>
          </w:p>
        </w:tc>
        <w:tc>
          <w:tcPr>
            <w:tcW w:w="0" w:type="auto"/>
            <w:tcBorders>
              <w:top w:val="single" w:color="auto" w:sz="6" w:space="0"/>
            </w:tcBorders>
            <w:vAlign w:val="center"/>
          </w:tcPr>
          <w:p w14:paraId="6F6A442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61.88</w:t>
            </w:r>
          </w:p>
        </w:tc>
        <w:tc>
          <w:tcPr>
            <w:tcW w:w="0" w:type="auto"/>
            <w:tcBorders>
              <w:top w:val="single" w:color="auto" w:sz="6" w:space="0"/>
            </w:tcBorders>
            <w:vAlign w:val="center"/>
          </w:tcPr>
          <w:p w14:paraId="228D390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60.81</w:t>
            </w:r>
          </w:p>
        </w:tc>
      </w:tr>
      <w:tr w14:paraId="59FB785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15" w:type="dxa"/>
            <w:tcBorders>
              <w:tl2br w:val="nil"/>
              <w:tr2bl w:val="nil"/>
            </w:tcBorders>
            <w:vAlign w:val="center"/>
          </w:tcPr>
          <w:p w14:paraId="4ECF928D">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2019</w:t>
            </w:r>
          </w:p>
        </w:tc>
        <w:tc>
          <w:tcPr>
            <w:tcW w:w="0" w:type="auto"/>
            <w:tcBorders>
              <w:tl2br w:val="nil"/>
              <w:tr2bl w:val="nil"/>
            </w:tcBorders>
            <w:vAlign w:val="center"/>
          </w:tcPr>
          <w:p w14:paraId="41C9B398">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6782</w:t>
            </w:r>
          </w:p>
        </w:tc>
        <w:tc>
          <w:tcPr>
            <w:tcW w:w="0" w:type="auto"/>
            <w:tcBorders>
              <w:tl2br w:val="nil"/>
              <w:tr2bl w:val="nil"/>
            </w:tcBorders>
            <w:vAlign w:val="center"/>
          </w:tcPr>
          <w:p w14:paraId="118DC7B2">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187.19</w:t>
            </w:r>
          </w:p>
        </w:tc>
        <w:tc>
          <w:tcPr>
            <w:tcW w:w="0" w:type="auto"/>
            <w:tcBorders>
              <w:tl2br w:val="nil"/>
              <w:tr2bl w:val="nil"/>
            </w:tcBorders>
            <w:vAlign w:val="center"/>
          </w:tcPr>
          <w:p w14:paraId="52C6F92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95.55</w:t>
            </w:r>
          </w:p>
        </w:tc>
        <w:tc>
          <w:tcPr>
            <w:tcW w:w="0" w:type="auto"/>
            <w:tcBorders>
              <w:tl2br w:val="nil"/>
              <w:tr2bl w:val="nil"/>
            </w:tcBorders>
            <w:vAlign w:val="center"/>
          </w:tcPr>
          <w:p w14:paraId="6E5AF51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95.22</w:t>
            </w:r>
          </w:p>
        </w:tc>
        <w:tc>
          <w:tcPr>
            <w:tcW w:w="0" w:type="auto"/>
            <w:tcBorders>
              <w:tl2br w:val="nil"/>
              <w:tr2bl w:val="nil"/>
            </w:tcBorders>
            <w:vAlign w:val="center"/>
          </w:tcPr>
          <w:p w14:paraId="739AF2A5">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l2br w:val="nil"/>
              <w:tr2bl w:val="nil"/>
            </w:tcBorders>
            <w:vAlign w:val="center"/>
          </w:tcPr>
          <w:p w14:paraId="304CA4F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4594</w:t>
            </w:r>
          </w:p>
        </w:tc>
        <w:tc>
          <w:tcPr>
            <w:tcW w:w="0" w:type="auto"/>
            <w:tcBorders>
              <w:tl2br w:val="nil"/>
              <w:tr2bl w:val="nil"/>
            </w:tcBorders>
            <w:vAlign w:val="center"/>
          </w:tcPr>
          <w:p w14:paraId="1462CBBB">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245.07</w:t>
            </w:r>
          </w:p>
        </w:tc>
        <w:tc>
          <w:tcPr>
            <w:tcW w:w="0" w:type="auto"/>
            <w:tcBorders>
              <w:tl2br w:val="nil"/>
              <w:tr2bl w:val="nil"/>
            </w:tcBorders>
            <w:vAlign w:val="center"/>
          </w:tcPr>
          <w:p w14:paraId="0640C870">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129.10</w:t>
            </w:r>
          </w:p>
        </w:tc>
        <w:tc>
          <w:tcPr>
            <w:tcW w:w="0" w:type="auto"/>
            <w:tcBorders>
              <w:tl2br w:val="nil"/>
              <w:tr2bl w:val="nil"/>
            </w:tcBorders>
            <w:vAlign w:val="center"/>
          </w:tcPr>
          <w:p w14:paraId="0E8043E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128.83</w:t>
            </w:r>
          </w:p>
        </w:tc>
        <w:tc>
          <w:tcPr>
            <w:tcW w:w="0" w:type="auto"/>
            <w:tcBorders>
              <w:tl2br w:val="nil"/>
              <w:tr2bl w:val="nil"/>
            </w:tcBorders>
            <w:vAlign w:val="center"/>
          </w:tcPr>
          <w:p w14:paraId="4EB4ED2B">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l2br w:val="nil"/>
              <w:tr2bl w:val="nil"/>
            </w:tcBorders>
            <w:vAlign w:val="center"/>
          </w:tcPr>
          <w:p w14:paraId="5CE2FBDB">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2188</w:t>
            </w:r>
          </w:p>
        </w:tc>
        <w:tc>
          <w:tcPr>
            <w:tcW w:w="0" w:type="auto"/>
            <w:tcBorders>
              <w:tl2br w:val="nil"/>
              <w:tr2bl w:val="nil"/>
            </w:tcBorders>
            <w:vAlign w:val="center"/>
          </w:tcPr>
          <w:p w14:paraId="22F941C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125.13</w:t>
            </w:r>
          </w:p>
        </w:tc>
        <w:tc>
          <w:tcPr>
            <w:tcW w:w="0" w:type="auto"/>
            <w:tcBorders>
              <w:tl2br w:val="nil"/>
              <w:tr2bl w:val="nil"/>
            </w:tcBorders>
            <w:vAlign w:val="center"/>
          </w:tcPr>
          <w:p w14:paraId="39A24C8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61.23</w:t>
            </w:r>
          </w:p>
        </w:tc>
        <w:tc>
          <w:tcPr>
            <w:tcW w:w="0" w:type="auto"/>
            <w:tcBorders>
              <w:tl2br w:val="nil"/>
              <w:tr2bl w:val="nil"/>
            </w:tcBorders>
            <w:vAlign w:val="center"/>
          </w:tcPr>
          <w:p w14:paraId="0EBF32C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60.73</w:t>
            </w:r>
          </w:p>
        </w:tc>
      </w:tr>
      <w:tr w14:paraId="4E41236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15" w:type="dxa"/>
            <w:tcBorders>
              <w:tl2br w:val="nil"/>
              <w:tr2bl w:val="nil"/>
            </w:tcBorders>
            <w:vAlign w:val="center"/>
          </w:tcPr>
          <w:p w14:paraId="3672C495">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2020</w:t>
            </w:r>
          </w:p>
        </w:tc>
        <w:tc>
          <w:tcPr>
            <w:tcW w:w="0" w:type="auto"/>
            <w:tcBorders>
              <w:tl2br w:val="nil"/>
              <w:tr2bl w:val="nil"/>
            </w:tcBorders>
            <w:vAlign w:val="center"/>
          </w:tcPr>
          <w:p w14:paraId="0DE1C9C0">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7229</w:t>
            </w:r>
          </w:p>
        </w:tc>
        <w:tc>
          <w:tcPr>
            <w:tcW w:w="0" w:type="auto"/>
            <w:tcBorders>
              <w:tl2br w:val="nil"/>
              <w:tr2bl w:val="nil"/>
            </w:tcBorders>
            <w:vAlign w:val="center"/>
          </w:tcPr>
          <w:p w14:paraId="19928B74">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201.19</w:t>
            </w:r>
          </w:p>
        </w:tc>
        <w:tc>
          <w:tcPr>
            <w:tcW w:w="0" w:type="auto"/>
            <w:tcBorders>
              <w:tl2br w:val="nil"/>
              <w:tr2bl w:val="nil"/>
            </w:tcBorders>
            <w:vAlign w:val="center"/>
          </w:tcPr>
          <w:p w14:paraId="15DA734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99.25</w:t>
            </w:r>
          </w:p>
        </w:tc>
        <w:tc>
          <w:tcPr>
            <w:tcW w:w="0" w:type="auto"/>
            <w:tcBorders>
              <w:tl2br w:val="nil"/>
              <w:tr2bl w:val="nil"/>
            </w:tcBorders>
            <w:vAlign w:val="center"/>
          </w:tcPr>
          <w:p w14:paraId="0E1EDF6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99.07</w:t>
            </w:r>
          </w:p>
        </w:tc>
        <w:tc>
          <w:tcPr>
            <w:tcW w:w="0" w:type="auto"/>
            <w:tcBorders>
              <w:tl2br w:val="nil"/>
              <w:tr2bl w:val="nil"/>
            </w:tcBorders>
            <w:vAlign w:val="center"/>
          </w:tcPr>
          <w:p w14:paraId="49C53C0E">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l2br w:val="nil"/>
              <w:tr2bl w:val="nil"/>
            </w:tcBorders>
            <w:vAlign w:val="center"/>
          </w:tcPr>
          <w:p w14:paraId="65B23D8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4917</w:t>
            </w:r>
          </w:p>
        </w:tc>
        <w:tc>
          <w:tcPr>
            <w:tcW w:w="0" w:type="auto"/>
            <w:tcBorders>
              <w:tl2br w:val="nil"/>
              <w:tr2bl w:val="nil"/>
            </w:tcBorders>
            <w:vAlign w:val="center"/>
          </w:tcPr>
          <w:p w14:paraId="56F0840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264.25</w:t>
            </w:r>
          </w:p>
        </w:tc>
        <w:tc>
          <w:tcPr>
            <w:tcW w:w="0" w:type="auto"/>
            <w:tcBorders>
              <w:tl2br w:val="nil"/>
              <w:tr2bl w:val="nil"/>
            </w:tcBorders>
            <w:vAlign w:val="center"/>
          </w:tcPr>
          <w:p w14:paraId="25CA685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135.50</w:t>
            </w:r>
          </w:p>
        </w:tc>
        <w:tc>
          <w:tcPr>
            <w:tcW w:w="0" w:type="auto"/>
            <w:tcBorders>
              <w:tl2br w:val="nil"/>
              <w:tr2bl w:val="nil"/>
            </w:tcBorders>
            <w:vAlign w:val="center"/>
          </w:tcPr>
          <w:p w14:paraId="671CC5E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135.31</w:t>
            </w:r>
          </w:p>
        </w:tc>
        <w:tc>
          <w:tcPr>
            <w:tcW w:w="0" w:type="auto"/>
            <w:tcBorders>
              <w:tl2br w:val="nil"/>
              <w:tr2bl w:val="nil"/>
            </w:tcBorders>
            <w:vAlign w:val="center"/>
          </w:tcPr>
          <w:p w14:paraId="5E2C2218">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l2br w:val="nil"/>
              <w:tr2bl w:val="nil"/>
            </w:tcBorders>
            <w:vAlign w:val="center"/>
          </w:tcPr>
          <w:p w14:paraId="201DF1A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2312</w:t>
            </w:r>
          </w:p>
        </w:tc>
        <w:tc>
          <w:tcPr>
            <w:tcW w:w="0" w:type="auto"/>
            <w:tcBorders>
              <w:tl2br w:val="nil"/>
              <w:tr2bl w:val="nil"/>
            </w:tcBorders>
            <w:vAlign w:val="center"/>
          </w:tcPr>
          <w:p w14:paraId="3602712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133.46</w:t>
            </w:r>
          </w:p>
        </w:tc>
        <w:tc>
          <w:tcPr>
            <w:tcW w:w="0" w:type="auto"/>
            <w:tcBorders>
              <w:tl2br w:val="nil"/>
              <w:tr2bl w:val="nil"/>
            </w:tcBorders>
            <w:vAlign w:val="center"/>
          </w:tcPr>
          <w:p w14:paraId="52A7FE4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61.89</w:t>
            </w:r>
          </w:p>
        </w:tc>
        <w:tc>
          <w:tcPr>
            <w:tcW w:w="0" w:type="auto"/>
            <w:tcBorders>
              <w:tl2br w:val="nil"/>
              <w:tr2bl w:val="nil"/>
            </w:tcBorders>
            <w:vAlign w:val="center"/>
          </w:tcPr>
          <w:p w14:paraId="317DD58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61.58</w:t>
            </w:r>
          </w:p>
        </w:tc>
      </w:tr>
      <w:tr w14:paraId="481E714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15" w:type="dxa"/>
            <w:tcBorders>
              <w:tl2br w:val="nil"/>
              <w:tr2bl w:val="nil"/>
            </w:tcBorders>
            <w:vAlign w:val="center"/>
          </w:tcPr>
          <w:p w14:paraId="7B8D503E">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2021</w:t>
            </w:r>
          </w:p>
        </w:tc>
        <w:tc>
          <w:tcPr>
            <w:tcW w:w="0" w:type="auto"/>
            <w:tcBorders>
              <w:tl2br w:val="nil"/>
              <w:tr2bl w:val="nil"/>
            </w:tcBorders>
            <w:vAlign w:val="center"/>
          </w:tcPr>
          <w:p w14:paraId="633CB0FC">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7220</w:t>
            </w:r>
          </w:p>
        </w:tc>
        <w:tc>
          <w:tcPr>
            <w:tcW w:w="0" w:type="auto"/>
            <w:tcBorders>
              <w:tl2br w:val="nil"/>
              <w:tr2bl w:val="nil"/>
            </w:tcBorders>
            <w:vAlign w:val="center"/>
          </w:tcPr>
          <w:p w14:paraId="0338657A">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201.96</w:t>
            </w:r>
          </w:p>
        </w:tc>
        <w:tc>
          <w:tcPr>
            <w:tcW w:w="0" w:type="auto"/>
            <w:tcBorders>
              <w:tl2br w:val="nil"/>
              <w:tr2bl w:val="nil"/>
            </w:tcBorders>
            <w:vAlign w:val="center"/>
          </w:tcPr>
          <w:p w14:paraId="15BFB99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95.27</w:t>
            </w:r>
          </w:p>
        </w:tc>
        <w:tc>
          <w:tcPr>
            <w:tcW w:w="0" w:type="auto"/>
            <w:tcBorders>
              <w:tl2br w:val="nil"/>
              <w:tr2bl w:val="nil"/>
            </w:tcBorders>
            <w:vAlign w:val="center"/>
          </w:tcPr>
          <w:p w14:paraId="0C32770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94.82</w:t>
            </w:r>
          </w:p>
        </w:tc>
        <w:tc>
          <w:tcPr>
            <w:tcW w:w="0" w:type="auto"/>
            <w:tcBorders>
              <w:tl2br w:val="nil"/>
              <w:tr2bl w:val="nil"/>
            </w:tcBorders>
            <w:vAlign w:val="center"/>
          </w:tcPr>
          <w:p w14:paraId="14735BF2">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l2br w:val="nil"/>
              <w:tr2bl w:val="nil"/>
            </w:tcBorders>
            <w:vAlign w:val="center"/>
          </w:tcPr>
          <w:p w14:paraId="5AF1975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4988</w:t>
            </w:r>
          </w:p>
        </w:tc>
        <w:tc>
          <w:tcPr>
            <w:tcW w:w="0" w:type="auto"/>
            <w:tcBorders>
              <w:tl2br w:val="nil"/>
              <w:tr2bl w:val="nil"/>
            </w:tcBorders>
            <w:vAlign w:val="center"/>
          </w:tcPr>
          <w:p w14:paraId="78275F10">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269.43</w:t>
            </w:r>
          </w:p>
        </w:tc>
        <w:tc>
          <w:tcPr>
            <w:tcW w:w="0" w:type="auto"/>
            <w:tcBorders>
              <w:tl2br w:val="nil"/>
              <w:tr2bl w:val="nil"/>
            </w:tcBorders>
            <w:vAlign w:val="center"/>
          </w:tcPr>
          <w:p w14:paraId="145EB91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130.86</w:t>
            </w:r>
          </w:p>
        </w:tc>
        <w:tc>
          <w:tcPr>
            <w:tcW w:w="0" w:type="auto"/>
            <w:tcBorders>
              <w:tl2br w:val="nil"/>
              <w:tr2bl w:val="nil"/>
            </w:tcBorders>
            <w:vAlign w:val="center"/>
          </w:tcPr>
          <w:p w14:paraId="774748D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130.51</w:t>
            </w:r>
          </w:p>
        </w:tc>
        <w:tc>
          <w:tcPr>
            <w:tcW w:w="0" w:type="auto"/>
            <w:tcBorders>
              <w:tl2br w:val="nil"/>
              <w:tr2bl w:val="nil"/>
            </w:tcBorders>
            <w:vAlign w:val="center"/>
          </w:tcPr>
          <w:p w14:paraId="4B61177F">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l2br w:val="nil"/>
              <w:tr2bl w:val="nil"/>
            </w:tcBorders>
            <w:vAlign w:val="center"/>
          </w:tcPr>
          <w:p w14:paraId="34E6444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2232</w:t>
            </w:r>
          </w:p>
        </w:tc>
        <w:tc>
          <w:tcPr>
            <w:tcW w:w="0" w:type="auto"/>
            <w:tcBorders>
              <w:tl2br w:val="nil"/>
              <w:tr2bl w:val="nil"/>
            </w:tcBorders>
            <w:vAlign w:val="center"/>
          </w:tcPr>
          <w:p w14:paraId="5716C9A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129.48</w:t>
            </w:r>
          </w:p>
        </w:tc>
        <w:tc>
          <w:tcPr>
            <w:tcW w:w="0" w:type="auto"/>
            <w:tcBorders>
              <w:tl2br w:val="nil"/>
              <w:tr2bl w:val="nil"/>
            </w:tcBorders>
            <w:vAlign w:val="center"/>
          </w:tcPr>
          <w:p w14:paraId="38ECBA2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58.87</w:t>
            </w:r>
          </w:p>
        </w:tc>
        <w:tc>
          <w:tcPr>
            <w:tcW w:w="0" w:type="auto"/>
            <w:tcBorders>
              <w:tl2br w:val="nil"/>
              <w:tr2bl w:val="nil"/>
            </w:tcBorders>
            <w:vAlign w:val="center"/>
          </w:tcPr>
          <w:p w14:paraId="5584BF0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58.24</w:t>
            </w:r>
          </w:p>
        </w:tc>
      </w:tr>
      <w:tr w14:paraId="5E36E33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15" w:type="dxa"/>
            <w:tcBorders>
              <w:tl2br w:val="nil"/>
              <w:tr2bl w:val="nil"/>
            </w:tcBorders>
            <w:vAlign w:val="center"/>
          </w:tcPr>
          <w:p w14:paraId="6E1DD680">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2022</w:t>
            </w:r>
          </w:p>
        </w:tc>
        <w:tc>
          <w:tcPr>
            <w:tcW w:w="0" w:type="auto"/>
            <w:tcBorders>
              <w:tl2br w:val="nil"/>
              <w:tr2bl w:val="nil"/>
            </w:tcBorders>
            <w:vAlign w:val="center"/>
          </w:tcPr>
          <w:p w14:paraId="70466639">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6928</w:t>
            </w:r>
          </w:p>
        </w:tc>
        <w:tc>
          <w:tcPr>
            <w:tcW w:w="0" w:type="auto"/>
            <w:tcBorders>
              <w:tl2br w:val="nil"/>
              <w:tr2bl w:val="nil"/>
            </w:tcBorders>
            <w:vAlign w:val="center"/>
          </w:tcPr>
          <w:p w14:paraId="3AC284B7">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195.48</w:t>
            </w:r>
          </w:p>
        </w:tc>
        <w:tc>
          <w:tcPr>
            <w:tcW w:w="0" w:type="auto"/>
            <w:tcBorders>
              <w:tl2br w:val="nil"/>
              <w:tr2bl w:val="nil"/>
            </w:tcBorders>
            <w:vAlign w:val="center"/>
          </w:tcPr>
          <w:p w14:paraId="6C974E9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88.98</w:t>
            </w:r>
          </w:p>
        </w:tc>
        <w:tc>
          <w:tcPr>
            <w:tcW w:w="0" w:type="auto"/>
            <w:tcBorders>
              <w:tl2br w:val="nil"/>
              <w:tr2bl w:val="nil"/>
            </w:tcBorders>
            <w:vAlign w:val="center"/>
          </w:tcPr>
          <w:p w14:paraId="5F43B61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88.45</w:t>
            </w:r>
          </w:p>
        </w:tc>
        <w:tc>
          <w:tcPr>
            <w:tcW w:w="0" w:type="auto"/>
            <w:tcBorders>
              <w:tl2br w:val="nil"/>
              <w:tr2bl w:val="nil"/>
            </w:tcBorders>
            <w:vAlign w:val="center"/>
          </w:tcPr>
          <w:p w14:paraId="4FB5C00A">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l2br w:val="nil"/>
              <w:tr2bl w:val="nil"/>
            </w:tcBorders>
            <w:vAlign w:val="center"/>
          </w:tcPr>
          <w:p w14:paraId="50E0E98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4760</w:t>
            </w:r>
          </w:p>
        </w:tc>
        <w:tc>
          <w:tcPr>
            <w:tcW w:w="0" w:type="auto"/>
            <w:tcBorders>
              <w:tl2br w:val="nil"/>
              <w:tr2bl w:val="nil"/>
            </w:tcBorders>
            <w:vAlign w:val="center"/>
          </w:tcPr>
          <w:p w14:paraId="70C3C55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259.50</w:t>
            </w:r>
          </w:p>
        </w:tc>
        <w:tc>
          <w:tcPr>
            <w:tcW w:w="0" w:type="auto"/>
            <w:tcBorders>
              <w:tl2br w:val="nil"/>
              <w:tr2bl w:val="nil"/>
            </w:tcBorders>
            <w:vAlign w:val="center"/>
          </w:tcPr>
          <w:p w14:paraId="214421D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123.40</w:t>
            </w:r>
          </w:p>
        </w:tc>
        <w:tc>
          <w:tcPr>
            <w:tcW w:w="0" w:type="auto"/>
            <w:tcBorders>
              <w:tl2br w:val="nil"/>
              <w:tr2bl w:val="nil"/>
            </w:tcBorders>
            <w:vAlign w:val="center"/>
          </w:tcPr>
          <w:p w14:paraId="0217AF6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123.11</w:t>
            </w:r>
          </w:p>
        </w:tc>
        <w:tc>
          <w:tcPr>
            <w:tcW w:w="0" w:type="auto"/>
            <w:tcBorders>
              <w:tl2br w:val="nil"/>
              <w:tr2bl w:val="nil"/>
            </w:tcBorders>
            <w:vAlign w:val="center"/>
          </w:tcPr>
          <w:p w14:paraId="612891E5">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l2br w:val="nil"/>
              <w:tr2bl w:val="nil"/>
            </w:tcBorders>
            <w:vAlign w:val="center"/>
          </w:tcPr>
          <w:p w14:paraId="1356C93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2168</w:t>
            </w:r>
          </w:p>
        </w:tc>
        <w:tc>
          <w:tcPr>
            <w:tcW w:w="0" w:type="auto"/>
            <w:tcBorders>
              <w:tl2br w:val="nil"/>
              <w:tr2bl w:val="nil"/>
            </w:tcBorders>
            <w:vAlign w:val="center"/>
          </w:tcPr>
          <w:p w14:paraId="6FA8EE40">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126.81</w:t>
            </w:r>
          </w:p>
        </w:tc>
        <w:tc>
          <w:tcPr>
            <w:tcW w:w="0" w:type="auto"/>
            <w:tcBorders>
              <w:tl2br w:val="nil"/>
              <w:tr2bl w:val="nil"/>
            </w:tcBorders>
            <w:vAlign w:val="center"/>
          </w:tcPr>
          <w:p w14:paraId="2B5D120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53.77</w:t>
            </w:r>
          </w:p>
        </w:tc>
        <w:tc>
          <w:tcPr>
            <w:tcW w:w="0" w:type="auto"/>
            <w:tcBorders>
              <w:tl2br w:val="nil"/>
              <w:tr2bl w:val="nil"/>
            </w:tcBorders>
            <w:vAlign w:val="center"/>
          </w:tcPr>
          <w:p w14:paraId="2F9F2DE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53.03</w:t>
            </w:r>
          </w:p>
        </w:tc>
      </w:tr>
      <w:tr w14:paraId="6520815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15" w:type="dxa"/>
            <w:tcBorders>
              <w:tl2br w:val="nil"/>
              <w:tr2bl w:val="nil"/>
            </w:tcBorders>
            <w:vAlign w:val="center"/>
          </w:tcPr>
          <w:p w14:paraId="36F92950">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2023</w:t>
            </w:r>
          </w:p>
        </w:tc>
        <w:tc>
          <w:tcPr>
            <w:tcW w:w="0" w:type="auto"/>
            <w:tcBorders>
              <w:bottom w:val="single" w:color="000000" w:sz="6" w:space="0"/>
              <w:tl2br w:val="nil"/>
              <w:tr2bl w:val="nil"/>
            </w:tcBorders>
            <w:vAlign w:val="center"/>
          </w:tcPr>
          <w:p w14:paraId="769EF4A8">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7139</w:t>
            </w:r>
          </w:p>
        </w:tc>
        <w:tc>
          <w:tcPr>
            <w:tcW w:w="0" w:type="auto"/>
            <w:tcBorders>
              <w:bottom w:val="single" w:color="000000" w:sz="6" w:space="0"/>
              <w:tl2br w:val="nil"/>
              <w:tr2bl w:val="nil"/>
            </w:tcBorders>
            <w:vAlign w:val="center"/>
          </w:tcPr>
          <w:p w14:paraId="1A99A8F4">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202.17</w:t>
            </w:r>
          </w:p>
        </w:tc>
        <w:tc>
          <w:tcPr>
            <w:tcW w:w="0" w:type="auto"/>
            <w:tcBorders>
              <w:bottom w:val="single" w:color="000000" w:sz="6" w:space="0"/>
              <w:tl2br w:val="nil"/>
              <w:tr2bl w:val="nil"/>
            </w:tcBorders>
            <w:vAlign w:val="center"/>
          </w:tcPr>
          <w:p w14:paraId="4793F37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88.18</w:t>
            </w:r>
          </w:p>
        </w:tc>
        <w:tc>
          <w:tcPr>
            <w:tcW w:w="0" w:type="auto"/>
            <w:tcBorders>
              <w:bottom w:val="single" w:color="000000" w:sz="6" w:space="0"/>
              <w:tl2br w:val="nil"/>
              <w:tr2bl w:val="nil"/>
            </w:tcBorders>
            <w:vAlign w:val="center"/>
          </w:tcPr>
          <w:p w14:paraId="3E2FD24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87.23</w:t>
            </w:r>
          </w:p>
        </w:tc>
        <w:tc>
          <w:tcPr>
            <w:tcW w:w="0" w:type="auto"/>
            <w:tcBorders>
              <w:bottom w:val="single" w:color="000000" w:sz="6" w:space="0"/>
              <w:tl2br w:val="nil"/>
              <w:tr2bl w:val="nil"/>
            </w:tcBorders>
            <w:vAlign w:val="center"/>
          </w:tcPr>
          <w:p w14:paraId="309E32F7">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bottom w:val="single" w:color="000000" w:sz="6" w:space="0"/>
              <w:tl2br w:val="nil"/>
              <w:tr2bl w:val="nil"/>
            </w:tcBorders>
            <w:vAlign w:val="center"/>
          </w:tcPr>
          <w:p w14:paraId="38E5140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4912</w:t>
            </w:r>
          </w:p>
        </w:tc>
        <w:tc>
          <w:tcPr>
            <w:tcW w:w="0" w:type="auto"/>
            <w:tcBorders>
              <w:bottom w:val="single" w:color="000000" w:sz="6" w:space="0"/>
              <w:tl2br w:val="nil"/>
              <w:tr2bl w:val="nil"/>
            </w:tcBorders>
            <w:vAlign w:val="center"/>
          </w:tcPr>
          <w:p w14:paraId="4DE61F9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268.79</w:t>
            </w:r>
          </w:p>
        </w:tc>
        <w:tc>
          <w:tcPr>
            <w:tcW w:w="0" w:type="auto"/>
            <w:tcBorders>
              <w:bottom w:val="single" w:color="000000" w:sz="6" w:space="0"/>
              <w:tl2br w:val="nil"/>
              <w:tr2bl w:val="nil"/>
            </w:tcBorders>
            <w:vAlign w:val="center"/>
          </w:tcPr>
          <w:p w14:paraId="425A9B7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121.99</w:t>
            </w:r>
          </w:p>
        </w:tc>
        <w:tc>
          <w:tcPr>
            <w:tcW w:w="0" w:type="auto"/>
            <w:tcBorders>
              <w:bottom w:val="single" w:color="000000" w:sz="6" w:space="0"/>
              <w:tl2br w:val="nil"/>
              <w:tr2bl w:val="nil"/>
            </w:tcBorders>
            <w:vAlign w:val="center"/>
          </w:tcPr>
          <w:p w14:paraId="24B1405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121.15</w:t>
            </w:r>
          </w:p>
        </w:tc>
        <w:tc>
          <w:tcPr>
            <w:tcW w:w="0" w:type="auto"/>
            <w:tcBorders>
              <w:bottom w:val="single" w:color="000000" w:sz="6" w:space="0"/>
              <w:tl2br w:val="nil"/>
              <w:tr2bl w:val="nil"/>
            </w:tcBorders>
            <w:vAlign w:val="center"/>
          </w:tcPr>
          <w:p w14:paraId="57E40752">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bottom w:val="single" w:color="000000" w:sz="6" w:space="0"/>
              <w:tl2br w:val="nil"/>
              <w:tr2bl w:val="nil"/>
            </w:tcBorders>
            <w:vAlign w:val="center"/>
          </w:tcPr>
          <w:p w14:paraId="49CEC5FD">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2227</w:t>
            </w:r>
          </w:p>
        </w:tc>
        <w:tc>
          <w:tcPr>
            <w:tcW w:w="0" w:type="auto"/>
            <w:tcBorders>
              <w:bottom w:val="single" w:color="000000" w:sz="6" w:space="0"/>
              <w:tl2br w:val="nil"/>
              <w:tr2bl w:val="nil"/>
            </w:tcBorders>
            <w:vAlign w:val="center"/>
          </w:tcPr>
          <w:p w14:paraId="2085831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130.71</w:t>
            </w:r>
          </w:p>
        </w:tc>
        <w:tc>
          <w:tcPr>
            <w:tcW w:w="0" w:type="auto"/>
            <w:tcBorders>
              <w:bottom w:val="single" w:color="000000" w:sz="6" w:space="0"/>
              <w:tl2br w:val="nil"/>
              <w:tr2bl w:val="nil"/>
            </w:tcBorders>
            <w:vAlign w:val="center"/>
          </w:tcPr>
          <w:p w14:paraId="7BE947F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53.60</w:t>
            </w:r>
          </w:p>
        </w:tc>
        <w:tc>
          <w:tcPr>
            <w:tcW w:w="0" w:type="auto"/>
            <w:tcBorders>
              <w:bottom w:val="single" w:color="000000" w:sz="6" w:space="0"/>
              <w:tl2br w:val="nil"/>
              <w:tr2bl w:val="nil"/>
            </w:tcBorders>
            <w:vAlign w:val="center"/>
          </w:tcPr>
          <w:p w14:paraId="12A8AC3B">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52.59</w:t>
            </w:r>
          </w:p>
        </w:tc>
      </w:tr>
      <w:tr w14:paraId="1B4E646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15" w:type="dxa"/>
            <w:tcBorders>
              <w:tl2br w:val="nil"/>
              <w:tr2bl w:val="nil"/>
            </w:tcBorders>
            <w:vAlign w:val="center"/>
          </w:tcPr>
          <w:p w14:paraId="7F139142">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AAPC（%）</w:t>
            </w:r>
          </w:p>
        </w:tc>
        <w:tc>
          <w:tcPr>
            <w:tcW w:w="0" w:type="auto"/>
            <w:tcBorders>
              <w:top w:val="single" w:color="000000" w:sz="6" w:space="0"/>
              <w:tl2br w:val="nil"/>
              <w:tr2bl w:val="nil"/>
            </w:tcBorders>
            <w:vAlign w:val="center"/>
          </w:tcPr>
          <w:p w14:paraId="2B44BB78">
            <w:pPr>
              <w:jc w:val="center"/>
              <w:rPr>
                <w:rFonts w:ascii="Times New Roman" w:hAnsi="Times New Roman" w:eastAsia="ZLKHBM-18" w:cs="Times New Roman"/>
                <w:color w:val="231F20"/>
                <w:sz w:val="18"/>
                <w:szCs w:val="18"/>
                <w:highlight w:val="none"/>
              </w:rPr>
            </w:pPr>
          </w:p>
        </w:tc>
        <w:tc>
          <w:tcPr>
            <w:tcW w:w="0" w:type="auto"/>
            <w:tcBorders>
              <w:top w:val="single" w:color="000000" w:sz="6" w:space="0"/>
              <w:tl2br w:val="nil"/>
              <w:tr2bl w:val="nil"/>
            </w:tcBorders>
            <w:vAlign w:val="center"/>
          </w:tcPr>
          <w:p w14:paraId="393BD06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1.87</w:t>
            </w:r>
          </w:p>
        </w:tc>
        <w:tc>
          <w:tcPr>
            <w:tcW w:w="0" w:type="auto"/>
            <w:tcBorders>
              <w:top w:val="single" w:color="000000" w:sz="6" w:space="0"/>
              <w:tl2br w:val="nil"/>
              <w:tr2bl w:val="nil"/>
            </w:tcBorders>
            <w:vAlign w:val="center"/>
          </w:tcPr>
          <w:p w14:paraId="4AECC0C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-2.12</w:t>
            </w:r>
          </w:p>
        </w:tc>
        <w:tc>
          <w:tcPr>
            <w:tcW w:w="0" w:type="auto"/>
            <w:tcBorders>
              <w:top w:val="single" w:color="000000" w:sz="6" w:space="0"/>
              <w:tl2br w:val="nil"/>
              <w:tr2bl w:val="nil"/>
            </w:tcBorders>
            <w:vAlign w:val="center"/>
          </w:tcPr>
          <w:p w14:paraId="6BF89EF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-2.17</w:t>
            </w:r>
          </w:p>
        </w:tc>
        <w:tc>
          <w:tcPr>
            <w:tcW w:w="0" w:type="auto"/>
            <w:tcBorders>
              <w:top w:val="single" w:color="000000" w:sz="6" w:space="0"/>
              <w:tl2br w:val="nil"/>
              <w:tr2bl w:val="nil"/>
            </w:tcBorders>
            <w:vAlign w:val="center"/>
          </w:tcPr>
          <w:p w14:paraId="6EA66CFC">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op w:val="single" w:color="000000" w:sz="6" w:space="0"/>
              <w:tl2br w:val="nil"/>
              <w:tr2bl w:val="nil"/>
            </w:tcBorders>
            <w:vAlign w:val="center"/>
          </w:tcPr>
          <w:p w14:paraId="21D55321">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op w:val="single" w:color="000000" w:sz="6" w:space="0"/>
              <w:tl2br w:val="nil"/>
              <w:tr2bl w:val="nil"/>
            </w:tcBorders>
            <w:vAlign w:val="center"/>
          </w:tcPr>
          <w:p w14:paraId="02B3C0A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2.25</w:t>
            </w:r>
          </w:p>
        </w:tc>
        <w:tc>
          <w:tcPr>
            <w:tcW w:w="0" w:type="auto"/>
            <w:tcBorders>
              <w:top w:val="single" w:color="000000" w:sz="6" w:space="0"/>
              <w:tl2br w:val="nil"/>
              <w:tr2bl w:val="nil"/>
            </w:tcBorders>
            <w:vAlign w:val="center"/>
          </w:tcPr>
          <w:p w14:paraId="0820745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-1.57</w:t>
            </w:r>
          </w:p>
        </w:tc>
        <w:tc>
          <w:tcPr>
            <w:tcW w:w="0" w:type="auto"/>
            <w:tcBorders>
              <w:top w:val="single" w:color="000000" w:sz="6" w:space="0"/>
              <w:tl2br w:val="nil"/>
              <w:tr2bl w:val="nil"/>
            </w:tcBorders>
            <w:vAlign w:val="center"/>
          </w:tcPr>
          <w:p w14:paraId="4CC74A6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-1.57</w:t>
            </w:r>
          </w:p>
        </w:tc>
        <w:tc>
          <w:tcPr>
            <w:tcW w:w="0" w:type="auto"/>
            <w:tcBorders>
              <w:top w:val="single" w:color="000000" w:sz="6" w:space="0"/>
              <w:tl2br w:val="nil"/>
              <w:tr2bl w:val="nil"/>
            </w:tcBorders>
            <w:vAlign w:val="center"/>
          </w:tcPr>
          <w:p w14:paraId="198167C4">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op w:val="single" w:color="000000" w:sz="6" w:space="0"/>
              <w:tl2br w:val="nil"/>
              <w:tr2bl w:val="nil"/>
            </w:tcBorders>
            <w:vAlign w:val="center"/>
          </w:tcPr>
          <w:p w14:paraId="381E8384">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op w:val="single" w:color="000000" w:sz="6" w:space="0"/>
              <w:tl2br w:val="nil"/>
              <w:tr2bl w:val="nil"/>
            </w:tcBorders>
            <w:vAlign w:val="center"/>
          </w:tcPr>
          <w:p w14:paraId="6B87D56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1.04</w:t>
            </w:r>
          </w:p>
        </w:tc>
        <w:tc>
          <w:tcPr>
            <w:tcW w:w="0" w:type="auto"/>
            <w:tcBorders>
              <w:top w:val="single" w:color="000000" w:sz="6" w:space="0"/>
              <w:tl2br w:val="nil"/>
              <w:tr2bl w:val="nil"/>
            </w:tcBorders>
            <w:vAlign w:val="center"/>
          </w:tcPr>
          <w:p w14:paraId="367D950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-3.24</w:t>
            </w:r>
          </w:p>
        </w:tc>
        <w:tc>
          <w:tcPr>
            <w:tcW w:w="0" w:type="auto"/>
            <w:tcBorders>
              <w:top w:val="single" w:color="000000" w:sz="6" w:space="0"/>
              <w:tl2br w:val="nil"/>
              <w:tr2bl w:val="nil"/>
            </w:tcBorders>
            <w:vAlign w:val="center"/>
          </w:tcPr>
          <w:p w14:paraId="7917CBB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-3.31</w:t>
            </w:r>
          </w:p>
        </w:tc>
      </w:tr>
      <w:tr w14:paraId="381D966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15" w:type="dxa"/>
            <w:tcBorders>
              <w:tl2br w:val="nil"/>
              <w:tr2bl w:val="nil"/>
            </w:tcBorders>
            <w:vAlign w:val="center"/>
          </w:tcPr>
          <w:p w14:paraId="1009599B">
            <w:pPr>
              <w:widowControl/>
              <w:jc w:val="center"/>
              <w:textAlignment w:val="center"/>
              <w:rPr>
                <w:rFonts w:ascii="Times New Roman" w:hAnsi="Times New Roman" w:eastAsia="ZLKHBM-18" w:cs="Times New Roman"/>
                <w:color w:val="231F20"/>
                <w:sz w:val="18"/>
                <w:szCs w:val="18"/>
                <w:highlight w:val="none"/>
              </w:rPr>
            </w:pPr>
            <w:r>
              <w:rPr>
                <w:rFonts w:ascii="Times New Roman" w:hAnsi="Times New Roman" w:eastAsia="ZLKHBM-18" w:cs="Times New Roman"/>
                <w:color w:val="231F20"/>
                <w:kern w:val="0"/>
                <w:sz w:val="18"/>
                <w:szCs w:val="18"/>
                <w:highlight w:val="none"/>
                <w:lang w:bidi="ar"/>
              </w:rPr>
              <w:t>95%</w:t>
            </w:r>
            <w:r>
              <w:rPr>
                <w:rFonts w:ascii="Times New Roman" w:hAnsi="Times New Roman" w:eastAsia="ZLKHBM-18" w:cs="Times New Roman"/>
                <w:i/>
                <w:iCs/>
                <w:color w:val="231F20"/>
                <w:kern w:val="0"/>
                <w:sz w:val="18"/>
                <w:szCs w:val="18"/>
                <w:highlight w:val="none"/>
                <w:lang w:bidi="ar"/>
              </w:rPr>
              <w:t>CI</w:t>
            </w:r>
          </w:p>
        </w:tc>
        <w:tc>
          <w:tcPr>
            <w:tcW w:w="0" w:type="auto"/>
            <w:tcBorders>
              <w:tl2br w:val="nil"/>
              <w:tr2bl w:val="nil"/>
            </w:tcBorders>
            <w:vAlign w:val="center"/>
          </w:tcPr>
          <w:p w14:paraId="0A95183E">
            <w:pPr>
              <w:jc w:val="center"/>
              <w:rPr>
                <w:rFonts w:ascii="Times New Roman" w:hAnsi="Times New Roman" w:eastAsia="ZLKHBM-18" w:cs="Times New Roman"/>
                <w:color w:val="231F20"/>
                <w:sz w:val="18"/>
                <w:szCs w:val="18"/>
                <w:highlight w:val="none"/>
              </w:rPr>
            </w:pPr>
          </w:p>
        </w:tc>
        <w:tc>
          <w:tcPr>
            <w:tcW w:w="0" w:type="auto"/>
            <w:tcBorders>
              <w:tl2br w:val="nil"/>
              <w:tr2bl w:val="nil"/>
            </w:tcBorders>
            <w:vAlign w:val="center"/>
          </w:tcPr>
          <w:p w14:paraId="12879862">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-0.04~3.77</w:t>
            </w:r>
          </w:p>
        </w:tc>
        <w:tc>
          <w:tcPr>
            <w:tcW w:w="0" w:type="auto"/>
            <w:tcBorders>
              <w:tl2br w:val="nil"/>
              <w:tr2bl w:val="nil"/>
            </w:tcBorders>
            <w:vAlign w:val="center"/>
          </w:tcPr>
          <w:p w14:paraId="391D872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-3.56~-0.74</w:t>
            </w:r>
          </w:p>
        </w:tc>
        <w:tc>
          <w:tcPr>
            <w:tcW w:w="0" w:type="auto"/>
            <w:tcBorders>
              <w:tl2br w:val="nil"/>
              <w:tr2bl w:val="nil"/>
            </w:tcBorders>
            <w:vAlign w:val="center"/>
          </w:tcPr>
          <w:p w14:paraId="2FA1D7B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-3.74~-0.64</w:t>
            </w:r>
          </w:p>
        </w:tc>
        <w:tc>
          <w:tcPr>
            <w:tcW w:w="0" w:type="auto"/>
            <w:tcBorders>
              <w:tl2br w:val="nil"/>
              <w:tr2bl w:val="nil"/>
            </w:tcBorders>
            <w:vAlign w:val="center"/>
          </w:tcPr>
          <w:p w14:paraId="0C64A12E">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l2br w:val="nil"/>
              <w:tr2bl w:val="nil"/>
            </w:tcBorders>
            <w:vAlign w:val="center"/>
          </w:tcPr>
          <w:p w14:paraId="7B4163CA">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l2br w:val="nil"/>
              <w:tr2bl w:val="nil"/>
            </w:tcBorders>
            <w:vAlign w:val="center"/>
          </w:tcPr>
          <w:p w14:paraId="3061F45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0.56~3.95</w:t>
            </w:r>
          </w:p>
        </w:tc>
        <w:tc>
          <w:tcPr>
            <w:tcW w:w="0" w:type="auto"/>
            <w:tcBorders>
              <w:tl2br w:val="nil"/>
              <w:tr2bl w:val="nil"/>
            </w:tcBorders>
            <w:vAlign w:val="center"/>
          </w:tcPr>
          <w:p w14:paraId="7116AC3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-2.87~-0.32</w:t>
            </w:r>
          </w:p>
        </w:tc>
        <w:tc>
          <w:tcPr>
            <w:tcW w:w="0" w:type="auto"/>
            <w:tcBorders>
              <w:tl2br w:val="nil"/>
              <w:tr2bl w:val="nil"/>
            </w:tcBorders>
            <w:vAlign w:val="center"/>
          </w:tcPr>
          <w:p w14:paraId="01F5FD1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-2.86~-0.33</w:t>
            </w:r>
          </w:p>
        </w:tc>
        <w:tc>
          <w:tcPr>
            <w:tcW w:w="0" w:type="auto"/>
            <w:tcBorders>
              <w:tl2br w:val="nil"/>
              <w:tr2bl w:val="nil"/>
            </w:tcBorders>
            <w:vAlign w:val="center"/>
          </w:tcPr>
          <w:p w14:paraId="475A59AC">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l2br w:val="nil"/>
              <w:tr2bl w:val="nil"/>
            </w:tcBorders>
            <w:vAlign w:val="center"/>
          </w:tcPr>
          <w:p w14:paraId="4F6B36A0">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l2br w:val="nil"/>
              <w:tr2bl w:val="nil"/>
            </w:tcBorders>
            <w:vAlign w:val="center"/>
          </w:tcPr>
          <w:p w14:paraId="1561AD6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-1.05~3.17</w:t>
            </w:r>
          </w:p>
        </w:tc>
        <w:tc>
          <w:tcPr>
            <w:tcW w:w="0" w:type="auto"/>
            <w:tcBorders>
              <w:tl2br w:val="nil"/>
              <w:tr2bl w:val="nil"/>
            </w:tcBorders>
            <w:vAlign w:val="center"/>
          </w:tcPr>
          <w:p w14:paraId="5923D6D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-6.25~-0.22</w:t>
            </w:r>
          </w:p>
        </w:tc>
        <w:tc>
          <w:tcPr>
            <w:tcW w:w="0" w:type="auto"/>
            <w:tcBorders>
              <w:tl2br w:val="nil"/>
              <w:tr2bl w:val="nil"/>
            </w:tcBorders>
            <w:vAlign w:val="center"/>
          </w:tcPr>
          <w:p w14:paraId="232526C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-6.84~0.29</w:t>
            </w:r>
          </w:p>
        </w:tc>
      </w:tr>
      <w:tr w14:paraId="6E1BE5B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15" w:type="dxa"/>
            <w:tcBorders>
              <w:tl2br w:val="nil"/>
              <w:tr2bl w:val="nil"/>
            </w:tcBorders>
            <w:vAlign w:val="center"/>
          </w:tcPr>
          <w:p w14:paraId="60424276">
            <w:pPr>
              <w:widowControl/>
              <w:jc w:val="center"/>
              <w:textAlignment w:val="center"/>
              <w:rPr>
                <w:rFonts w:ascii="Times New Roman" w:hAnsi="Times New Roman" w:eastAsia="ZLKHBM-18" w:cs="Times New Roman"/>
                <w:i/>
                <w:iCs/>
                <w:color w:val="231F20"/>
                <w:sz w:val="18"/>
                <w:szCs w:val="18"/>
                <w:highlight w:val="none"/>
              </w:rPr>
            </w:pPr>
            <w:r>
              <w:rPr>
                <w:rFonts w:ascii="Times New Roman" w:hAnsi="Times New Roman" w:eastAsia="ZLKHBM-18" w:cs="Times New Roman"/>
                <w:i/>
                <w:iCs/>
                <w:color w:val="231F20"/>
                <w:kern w:val="0"/>
                <w:sz w:val="18"/>
                <w:szCs w:val="18"/>
                <w:highlight w:val="none"/>
                <w:lang w:bidi="ar"/>
              </w:rPr>
              <w:t>P</w:t>
            </w:r>
          </w:p>
        </w:tc>
        <w:tc>
          <w:tcPr>
            <w:tcW w:w="0" w:type="auto"/>
            <w:tcBorders>
              <w:bottom w:val="single" w:color="000000" w:sz="6" w:space="0"/>
              <w:tl2br w:val="nil"/>
              <w:tr2bl w:val="nil"/>
            </w:tcBorders>
            <w:vAlign w:val="center"/>
          </w:tcPr>
          <w:p w14:paraId="7F1CA69F">
            <w:pPr>
              <w:jc w:val="center"/>
              <w:rPr>
                <w:rFonts w:ascii="Times New Roman" w:hAnsi="Times New Roman" w:eastAsia="ZLKHBM-18" w:cs="Times New Roman"/>
                <w:color w:val="231F20"/>
                <w:sz w:val="18"/>
                <w:szCs w:val="18"/>
                <w:highlight w:val="none"/>
              </w:rPr>
            </w:pPr>
          </w:p>
        </w:tc>
        <w:tc>
          <w:tcPr>
            <w:tcW w:w="0" w:type="auto"/>
            <w:tcBorders>
              <w:bottom w:val="single" w:color="000000" w:sz="6" w:space="0"/>
              <w:tl2br w:val="nil"/>
              <w:tr2bl w:val="nil"/>
            </w:tcBorders>
            <w:vAlign w:val="center"/>
          </w:tcPr>
          <w:p w14:paraId="1D06887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0.059</w:t>
            </w:r>
          </w:p>
        </w:tc>
        <w:tc>
          <w:tcPr>
            <w:tcW w:w="0" w:type="auto"/>
            <w:tcBorders>
              <w:bottom w:val="single" w:color="000000" w:sz="6" w:space="0"/>
              <w:tl2br w:val="nil"/>
              <w:tr2bl w:val="nil"/>
            </w:tcBorders>
            <w:vAlign w:val="center"/>
          </w:tcPr>
          <w:p w14:paraId="02E52D4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0.003</w:t>
            </w:r>
          </w:p>
        </w:tc>
        <w:tc>
          <w:tcPr>
            <w:tcW w:w="0" w:type="auto"/>
            <w:tcBorders>
              <w:bottom w:val="single" w:color="000000" w:sz="6" w:space="0"/>
              <w:tl2br w:val="nil"/>
              <w:tr2bl w:val="nil"/>
            </w:tcBorders>
            <w:vAlign w:val="center"/>
          </w:tcPr>
          <w:p w14:paraId="735025C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0.004</w:t>
            </w:r>
          </w:p>
        </w:tc>
        <w:tc>
          <w:tcPr>
            <w:tcW w:w="0" w:type="auto"/>
            <w:tcBorders>
              <w:bottom w:val="single" w:color="000000" w:sz="6" w:space="0"/>
              <w:tl2br w:val="nil"/>
              <w:tr2bl w:val="nil"/>
            </w:tcBorders>
            <w:vAlign w:val="center"/>
          </w:tcPr>
          <w:p w14:paraId="44B5B971">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bottom w:val="single" w:color="000000" w:sz="6" w:space="0"/>
              <w:tl2br w:val="nil"/>
              <w:tr2bl w:val="nil"/>
            </w:tcBorders>
            <w:vAlign w:val="center"/>
          </w:tcPr>
          <w:p w14:paraId="707728E9">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bottom w:val="single" w:color="000000" w:sz="6" w:space="0"/>
              <w:tl2br w:val="nil"/>
              <w:tr2bl w:val="nil"/>
            </w:tcBorders>
            <w:vAlign w:val="center"/>
          </w:tcPr>
          <w:p w14:paraId="17AB029D">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0.008</w:t>
            </w:r>
          </w:p>
        </w:tc>
        <w:tc>
          <w:tcPr>
            <w:tcW w:w="0" w:type="auto"/>
            <w:tcBorders>
              <w:bottom w:val="single" w:color="000000" w:sz="6" w:space="0"/>
              <w:tl2br w:val="nil"/>
              <w:tr2bl w:val="nil"/>
            </w:tcBorders>
            <w:vAlign w:val="center"/>
          </w:tcPr>
          <w:p w14:paraId="49B4241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0.012</w:t>
            </w:r>
          </w:p>
        </w:tc>
        <w:tc>
          <w:tcPr>
            <w:tcW w:w="0" w:type="auto"/>
            <w:tcBorders>
              <w:bottom w:val="single" w:color="000000" w:sz="6" w:space="0"/>
              <w:tl2br w:val="nil"/>
              <w:tr2bl w:val="nil"/>
            </w:tcBorders>
            <w:vAlign w:val="center"/>
          </w:tcPr>
          <w:p w14:paraId="61A7269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0.013</w:t>
            </w:r>
          </w:p>
        </w:tc>
        <w:tc>
          <w:tcPr>
            <w:tcW w:w="0" w:type="auto"/>
            <w:tcBorders>
              <w:bottom w:val="single" w:color="000000" w:sz="6" w:space="0"/>
              <w:tl2br w:val="nil"/>
              <w:tr2bl w:val="nil"/>
            </w:tcBorders>
            <w:vAlign w:val="center"/>
          </w:tcPr>
          <w:p w14:paraId="1E7EFB33">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bottom w:val="single" w:color="000000" w:sz="6" w:space="0"/>
              <w:tl2br w:val="nil"/>
              <w:tr2bl w:val="nil"/>
            </w:tcBorders>
            <w:vAlign w:val="center"/>
          </w:tcPr>
          <w:p w14:paraId="0802F13B">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bottom w:val="single" w:color="000000" w:sz="6" w:space="0"/>
              <w:tl2br w:val="nil"/>
              <w:tr2bl w:val="nil"/>
            </w:tcBorders>
            <w:vAlign w:val="center"/>
          </w:tcPr>
          <w:p w14:paraId="1318804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0.303</w:t>
            </w:r>
          </w:p>
        </w:tc>
        <w:tc>
          <w:tcPr>
            <w:tcW w:w="0" w:type="auto"/>
            <w:tcBorders>
              <w:bottom w:val="single" w:color="000000" w:sz="6" w:space="0"/>
              <w:tl2br w:val="nil"/>
              <w:tr2bl w:val="nil"/>
            </w:tcBorders>
            <w:vAlign w:val="center"/>
          </w:tcPr>
          <w:p w14:paraId="2C9183C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0.039</w:t>
            </w:r>
          </w:p>
        </w:tc>
        <w:tc>
          <w:tcPr>
            <w:tcW w:w="0" w:type="auto"/>
            <w:tcBorders>
              <w:bottom w:val="single" w:color="000000" w:sz="6" w:space="0"/>
              <w:tl2br w:val="nil"/>
              <w:tr2bl w:val="nil"/>
            </w:tcBorders>
            <w:vAlign w:val="center"/>
          </w:tcPr>
          <w:p w14:paraId="2E68E85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0.069</w:t>
            </w:r>
          </w:p>
        </w:tc>
      </w:tr>
      <w:tr w14:paraId="5C57BF4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15" w:type="dxa"/>
            <w:tcBorders>
              <w:tl2br w:val="nil"/>
              <w:tr2bl w:val="nil"/>
            </w:tcBorders>
            <w:vAlign w:val="center"/>
          </w:tcPr>
          <w:p w14:paraId="290202A0">
            <w:pPr>
              <w:widowControl/>
              <w:jc w:val="center"/>
              <w:textAlignment w:val="center"/>
              <w:rPr>
                <w:rFonts w:hint="eastAsia" w:ascii="Times New Roman" w:hAnsi="Times New Roman" w:eastAsia="宋体" w:cs="Times New Roman"/>
                <w:color w:val="231F20"/>
                <w:sz w:val="18"/>
                <w:szCs w:val="18"/>
                <w:highlight w:val="none"/>
                <w:lang w:eastAsia="zh-CN"/>
              </w:rPr>
            </w:pPr>
            <w:r>
              <w:rPr>
                <w:rFonts w:hint="eastAsia" w:ascii="Times New Roman" w:hAnsi="Times New Roman" w:eastAsia="宋体" w:cs="Times New Roman"/>
                <w:color w:val="231F20"/>
                <w:kern w:val="0"/>
                <w:sz w:val="18"/>
                <w:szCs w:val="18"/>
                <w:highlight w:val="none"/>
                <w:lang w:eastAsia="zh-CN" w:bidi="ar"/>
              </w:rPr>
              <w:t>2018—2023</w:t>
            </w:r>
          </w:p>
        </w:tc>
        <w:tc>
          <w:tcPr>
            <w:tcW w:w="0" w:type="auto"/>
            <w:tcBorders>
              <w:top w:val="single" w:color="000000" w:sz="6" w:space="0"/>
              <w:tl2br w:val="nil"/>
              <w:tr2bl w:val="nil"/>
            </w:tcBorders>
            <w:vAlign w:val="center"/>
          </w:tcPr>
          <w:p w14:paraId="7D47899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41954</w:t>
            </w:r>
          </w:p>
        </w:tc>
        <w:tc>
          <w:tcPr>
            <w:tcW w:w="0" w:type="auto"/>
            <w:tcBorders>
              <w:top w:val="single" w:color="000000" w:sz="6" w:space="0"/>
              <w:tl2br w:val="nil"/>
              <w:tr2bl w:val="nil"/>
            </w:tcBorders>
            <w:vAlign w:val="center"/>
          </w:tcPr>
          <w:p w14:paraId="7D50752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194.95</w:t>
            </w:r>
          </w:p>
        </w:tc>
        <w:tc>
          <w:tcPr>
            <w:tcW w:w="0" w:type="auto"/>
            <w:tcBorders>
              <w:top w:val="single" w:color="000000" w:sz="6" w:space="0"/>
              <w:tl2br w:val="nil"/>
              <w:tr2bl w:val="nil"/>
            </w:tcBorders>
            <w:vAlign w:val="center"/>
          </w:tcPr>
          <w:p w14:paraId="637D1F4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 xml:space="preserve">94.08 </w:t>
            </w:r>
          </w:p>
        </w:tc>
        <w:tc>
          <w:tcPr>
            <w:tcW w:w="0" w:type="auto"/>
            <w:tcBorders>
              <w:top w:val="single" w:color="000000" w:sz="6" w:space="0"/>
              <w:tl2br w:val="nil"/>
              <w:tr2bl w:val="nil"/>
            </w:tcBorders>
            <w:vAlign w:val="center"/>
          </w:tcPr>
          <w:p w14:paraId="0BF9AC9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 xml:space="preserve">93.53 </w:t>
            </w:r>
          </w:p>
        </w:tc>
        <w:tc>
          <w:tcPr>
            <w:tcW w:w="0" w:type="auto"/>
            <w:tcBorders>
              <w:top w:val="single" w:color="000000" w:sz="6" w:space="0"/>
              <w:tl2br w:val="nil"/>
              <w:tr2bl w:val="nil"/>
            </w:tcBorders>
            <w:vAlign w:val="center"/>
          </w:tcPr>
          <w:p w14:paraId="30645CD7">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op w:val="single" w:color="000000" w:sz="6" w:space="0"/>
              <w:tl2br w:val="nil"/>
              <w:tr2bl w:val="nil"/>
            </w:tcBorders>
            <w:vAlign w:val="center"/>
          </w:tcPr>
          <w:p w14:paraId="7412707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28681</w:t>
            </w:r>
          </w:p>
        </w:tc>
        <w:tc>
          <w:tcPr>
            <w:tcW w:w="0" w:type="auto"/>
            <w:tcBorders>
              <w:top w:val="single" w:color="000000" w:sz="6" w:space="0"/>
              <w:tl2br w:val="nil"/>
              <w:tr2bl w:val="nil"/>
            </w:tcBorders>
            <w:vAlign w:val="center"/>
          </w:tcPr>
          <w:p w14:paraId="3885BA7D">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257.50</w:t>
            </w:r>
          </w:p>
        </w:tc>
        <w:tc>
          <w:tcPr>
            <w:tcW w:w="0" w:type="auto"/>
            <w:tcBorders>
              <w:top w:val="single" w:color="000000" w:sz="6" w:space="0"/>
              <w:tl2br w:val="nil"/>
              <w:tr2bl w:val="nil"/>
            </w:tcBorders>
            <w:vAlign w:val="center"/>
          </w:tcPr>
          <w:p w14:paraId="07447E8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 xml:space="preserve">128.75 </w:t>
            </w:r>
          </w:p>
        </w:tc>
        <w:tc>
          <w:tcPr>
            <w:tcW w:w="0" w:type="auto"/>
            <w:tcBorders>
              <w:top w:val="single" w:color="000000" w:sz="6" w:space="0"/>
              <w:tl2br w:val="nil"/>
              <w:tr2bl w:val="nil"/>
            </w:tcBorders>
            <w:vAlign w:val="center"/>
          </w:tcPr>
          <w:p w14:paraId="32037BDD">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 xml:space="preserve">128.31 </w:t>
            </w:r>
          </w:p>
        </w:tc>
        <w:tc>
          <w:tcPr>
            <w:tcW w:w="0" w:type="auto"/>
            <w:tcBorders>
              <w:top w:val="single" w:color="000000" w:sz="6" w:space="0"/>
              <w:tl2br w:val="nil"/>
              <w:tr2bl w:val="nil"/>
            </w:tcBorders>
            <w:vAlign w:val="center"/>
          </w:tcPr>
          <w:p w14:paraId="615FE795">
            <w:pPr>
              <w:widowControl/>
              <w:jc w:val="center"/>
              <w:textAlignment w:val="center"/>
              <w:rPr>
                <w:rFonts w:ascii="Times New Roman" w:hAnsi="Times New Roman" w:eastAsia="ZLKHBM-18" w:cs="Times New Roman"/>
                <w:color w:val="231F20"/>
                <w:kern w:val="0"/>
                <w:sz w:val="18"/>
                <w:szCs w:val="18"/>
                <w:highlight w:val="none"/>
                <w:lang w:bidi="ar"/>
              </w:rPr>
            </w:pPr>
          </w:p>
        </w:tc>
        <w:tc>
          <w:tcPr>
            <w:tcW w:w="0" w:type="auto"/>
            <w:tcBorders>
              <w:top w:val="single" w:color="000000" w:sz="6" w:space="0"/>
              <w:tl2br w:val="nil"/>
              <w:tr2bl w:val="nil"/>
            </w:tcBorders>
            <w:vAlign w:val="center"/>
          </w:tcPr>
          <w:p w14:paraId="404A24B0">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13273</w:t>
            </w:r>
          </w:p>
        </w:tc>
        <w:tc>
          <w:tcPr>
            <w:tcW w:w="0" w:type="auto"/>
            <w:tcBorders>
              <w:top w:val="single" w:color="000000" w:sz="6" w:space="0"/>
              <w:tl2br w:val="nil"/>
              <w:tr2bl w:val="nil"/>
            </w:tcBorders>
            <w:vAlign w:val="center"/>
          </w:tcPr>
          <w:p w14:paraId="3752815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127.85</w:t>
            </w:r>
          </w:p>
        </w:tc>
        <w:tc>
          <w:tcPr>
            <w:tcW w:w="0" w:type="auto"/>
            <w:tcBorders>
              <w:top w:val="single" w:color="000000" w:sz="6" w:space="0"/>
              <w:tl2br w:val="nil"/>
              <w:tr2bl w:val="nil"/>
            </w:tcBorders>
            <w:vAlign w:val="center"/>
          </w:tcPr>
          <w:p w14:paraId="1CA9C48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 xml:space="preserve">58.52 </w:t>
            </w:r>
          </w:p>
        </w:tc>
        <w:tc>
          <w:tcPr>
            <w:tcW w:w="0" w:type="auto"/>
            <w:tcBorders>
              <w:top w:val="single" w:color="000000" w:sz="6" w:space="0"/>
              <w:tl2br w:val="nil"/>
              <w:tr2bl w:val="nil"/>
            </w:tcBorders>
            <w:vAlign w:val="center"/>
          </w:tcPr>
          <w:p w14:paraId="45F943A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 xml:space="preserve">57.79 </w:t>
            </w:r>
          </w:p>
        </w:tc>
      </w:tr>
    </w:tbl>
    <w:p w14:paraId="50FE0368">
      <w:pPr>
        <w:spacing w:line="240" w:lineRule="auto"/>
        <w:jc w:val="both"/>
        <w:rPr>
          <w:rFonts w:ascii="Times New Roman" w:hAnsi="Times New Roman" w:eastAsia="宋体" w:cs="Times New Roman"/>
          <w:sz w:val="16"/>
          <w:szCs w:val="16"/>
          <w:highlight w:val="none"/>
        </w:rPr>
      </w:pPr>
      <w:r>
        <w:rPr>
          <w:rFonts w:hint="eastAsia" w:ascii="Times New Roman" w:hAnsi="Times New Roman" w:cs="Times New Roman"/>
          <w:sz w:val="16"/>
          <w:szCs w:val="16"/>
          <w:highlight w:val="none"/>
        </w:rPr>
        <w:t>Note</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rPr>
        <w:t>ASRC</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rPr>
        <w:t>age-standardized rate by Chinese standard population</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rPr>
        <w:t>ASRW</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rPr>
        <w:t>age-standardized rate by world standard population</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rPr>
        <w:t>AAPC</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lang w:eastAsia="zh-CN"/>
        </w:rPr>
        <w:t>average annual percentage change</w:t>
      </w:r>
      <w:r>
        <w:rPr>
          <w:rFonts w:hint="eastAsia" w:ascii="Times New Roman" w:hAnsi="Times New Roman" w:cs="Times New Roman"/>
          <w:sz w:val="16"/>
          <w:szCs w:val="16"/>
          <w:highlight w:val="none"/>
        </w:rPr>
        <w:t>.</w:t>
      </w:r>
      <w:r>
        <w:rPr>
          <w:rFonts w:ascii="Times New Roman" w:hAnsi="Times New Roman" w:cs="Times New Roman"/>
          <w:b/>
          <w:bCs/>
          <w:sz w:val="28"/>
          <w:szCs w:val="28"/>
          <w:highlight w:val="none"/>
        </w:rPr>
        <w:br w:type="page"/>
      </w:r>
    </w:p>
    <w:p w14:paraId="35C236F5">
      <w:pPr>
        <w:rPr>
          <w:rFonts w:ascii="Times New Roman" w:hAnsi="Times New Roman" w:cs="Times New Roman"/>
          <w:b/>
          <w:bCs/>
          <w:sz w:val="28"/>
          <w:szCs w:val="28"/>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0" w:num="1"/>
          <w:titlePg/>
          <w:rtlGutter w:val="0"/>
          <w:docGrid w:type="lines" w:linePitch="319" w:charSpace="0"/>
        </w:sectPr>
      </w:pPr>
    </w:p>
    <w:p w14:paraId="5DF603CD">
      <w:pPr>
        <w:rPr>
          <w:rFonts w:ascii="Times New Roman" w:hAnsi="Times New Roman" w:cs="Times New Roman"/>
          <w:b/>
          <w:bCs/>
          <w:sz w:val="28"/>
          <w:szCs w:val="28"/>
          <w:highlight w:val="none"/>
        </w:rPr>
      </w:pPr>
    </w:p>
    <w:p w14:paraId="574309F6">
      <w:pPr>
        <w:rPr>
          <w:rFonts w:hint="eastAsia" w:ascii="Times New Roman" w:hAnsi="Times New Roman" w:cs="Times New Roman" w:eastAsiaTheme="minorEastAsia"/>
          <w:b/>
          <w:bCs/>
          <w:sz w:val="28"/>
          <w:szCs w:val="28"/>
          <w:highlight w:val="none"/>
          <w:lang w:val="en-US" w:eastAsia="zh-CN"/>
        </w:rPr>
      </w:pPr>
      <w:r>
        <w:rPr>
          <w:rFonts w:ascii="Times New Roman" w:hAnsi="Times New Roman" w:cs="Times New Roman"/>
          <w:b/>
          <w:bCs/>
          <w:sz w:val="28"/>
          <w:szCs w:val="28"/>
          <w:highlight w:val="none"/>
        </w:rPr>
        <w:t>2.3恶性肿瘤年龄组发病</w:t>
      </w:r>
      <w:r>
        <w:rPr>
          <w:rFonts w:hint="eastAsia" w:ascii="Times New Roman" w:hAnsi="Times New Roman" w:cs="Times New Roman"/>
          <w:b/>
          <w:bCs/>
          <w:sz w:val="28"/>
          <w:szCs w:val="28"/>
          <w:highlight w:val="none"/>
          <w:lang w:val="en-US" w:eastAsia="zh-CN"/>
        </w:rPr>
        <w:t>和</w:t>
      </w:r>
      <w:r>
        <w:rPr>
          <w:rFonts w:ascii="Times New Roman" w:hAnsi="Times New Roman" w:cs="Times New Roman"/>
          <w:b/>
          <w:bCs/>
          <w:sz w:val="28"/>
          <w:szCs w:val="28"/>
          <w:highlight w:val="none"/>
        </w:rPr>
        <w:t>死亡</w:t>
      </w:r>
      <w:r>
        <w:rPr>
          <w:rFonts w:hint="eastAsia" w:ascii="Times New Roman" w:hAnsi="Times New Roman" w:cs="Times New Roman"/>
          <w:b/>
          <w:bCs/>
          <w:sz w:val="28"/>
          <w:szCs w:val="28"/>
          <w:highlight w:val="none"/>
          <w:lang w:val="en-US" w:eastAsia="zh-CN"/>
        </w:rPr>
        <w:t>情况</w:t>
      </w:r>
    </w:p>
    <w:p w14:paraId="41E20725">
      <w:pPr>
        <w:ind w:firstLine="560" w:firstLineChars="200"/>
        <w:rPr>
          <w:rFonts w:ascii="Times New Roman" w:hAnsi="Times New Roman" w:cs="Times New Roman"/>
          <w:sz w:val="28"/>
          <w:szCs w:val="28"/>
          <w:highlight w:val="none"/>
        </w:rPr>
      </w:pPr>
      <w:r>
        <w:rPr>
          <w:rFonts w:hint="eastAsia" w:ascii="Times New Roman" w:hAnsi="Times New Roman" w:cs="Times New Roman"/>
          <w:sz w:val="28"/>
          <w:szCs w:val="28"/>
          <w:highlight w:val="none"/>
          <w:lang w:eastAsia="zh-CN"/>
        </w:rPr>
        <w:t>2018—2023</w:t>
      </w:r>
      <w:r>
        <w:rPr>
          <w:rFonts w:ascii="Times New Roman" w:hAnsi="Times New Roman" w:cs="Times New Roman"/>
          <w:sz w:val="28"/>
          <w:szCs w:val="28"/>
          <w:highlight w:val="none"/>
        </w:rPr>
        <w:t>遂宁市全人群恶性肿瘤粗发病率在40岁前处于较低水平，40岁后缓慢增加，55岁后快速上升；粗发病率在80~84岁年龄组达峰值，随后略有下降。分性别粗发病率年龄变化趋势与全人群相似，男性粗发病率50岁以前总体低于女性，50岁以后高于女性（Figure 1）。</w:t>
      </w:r>
    </w:p>
    <w:p w14:paraId="12D8311C">
      <w:pPr>
        <w:ind w:firstLine="560" w:firstLineChars="200"/>
        <w:rPr>
          <w:rFonts w:ascii="Times New Roman" w:hAnsi="Times New Roman" w:cs="Times New Roman"/>
          <w:sz w:val="28"/>
          <w:szCs w:val="28"/>
          <w:highlight w:val="none"/>
        </w:rPr>
      </w:pPr>
      <w:r>
        <w:rPr>
          <w:rFonts w:ascii="Times New Roman" w:hAnsi="Times New Roman" w:cs="Times New Roman"/>
          <w:sz w:val="28"/>
          <w:szCs w:val="28"/>
          <w:highlight w:val="none"/>
        </w:rPr>
        <w:t>粗死亡率在45岁前处于较低水平，45岁后缓慢增加，55岁后快速上升；粗死亡率在80~84岁年龄组达峰值，随后略有下降。分性别粗死亡率年龄变化趋势与全人群相似，男性粗死亡率均高于女性（Figure 2）。</w:t>
      </w:r>
    </w:p>
    <w:p w14:paraId="1738FC0C">
      <w:pPr>
        <w:jc w:val="both"/>
        <w:rPr>
          <w:rFonts w:ascii="Times New Roman" w:hAnsi="Times New Roman" w:cs="Times New Roman"/>
          <w:highlight w:val="none"/>
        </w:rPr>
      </w:pPr>
      <w:r>
        <w:rPr>
          <w:highlight w:val="none"/>
        </w:rPr>
        <w:drawing>
          <wp:inline distT="0" distB="0" distL="114300" distR="114300">
            <wp:extent cx="5328920" cy="3060065"/>
            <wp:effectExtent l="0" t="0" r="508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328920" cy="3060065"/>
                    </a:xfrm>
                    <a:prstGeom prst="rect">
                      <a:avLst/>
                    </a:prstGeom>
                    <a:noFill/>
                    <a:ln>
                      <a:noFill/>
                    </a:ln>
                  </pic:spPr>
                </pic:pic>
              </a:graphicData>
            </a:graphic>
          </wp:inline>
        </w:drawing>
      </w:r>
    </w:p>
    <w:p w14:paraId="69D54E3D">
      <w:pPr>
        <w:ind w:firstLine="480" w:firstLineChars="200"/>
        <w:jc w:val="center"/>
        <w:rPr>
          <w:rFonts w:ascii="Times New Roman" w:hAnsi="Times New Roman" w:cs="Times New Roman"/>
          <w:sz w:val="28"/>
          <w:szCs w:val="28"/>
          <w:highlight w:val="none"/>
        </w:rPr>
      </w:pPr>
      <w:r>
        <w:rPr>
          <w:rFonts w:ascii="Times New Roman" w:hAnsi="Times New Roman" w:cs="Times New Roman"/>
          <w:sz w:val="24"/>
          <w:highlight w:val="none"/>
        </w:rPr>
        <w:t xml:space="preserve">Figure 1 </w:t>
      </w:r>
      <w:r>
        <w:rPr>
          <w:rFonts w:hint="eastAsia" w:ascii="Times New Roman" w:hAnsi="Times New Roman" w:cs="Times New Roman"/>
          <w:sz w:val="24"/>
          <w:highlight w:val="none"/>
          <w:lang w:val="en-US" w:eastAsia="zh-CN"/>
        </w:rPr>
        <w:t>I</w:t>
      </w:r>
      <w:r>
        <w:rPr>
          <w:rFonts w:hint="eastAsia" w:ascii="Times New Roman" w:hAnsi="Times New Roman" w:cs="Times New Roman"/>
          <w:sz w:val="24"/>
          <w:highlight w:val="none"/>
        </w:rPr>
        <w:t>ncidence rates of malignant neoplasms by age group in Suining from 2018 to 2023</w:t>
      </w:r>
    </w:p>
    <w:p w14:paraId="37275CD8">
      <w:pPr>
        <w:jc w:val="center"/>
        <w:rPr>
          <w:rFonts w:ascii="Times New Roman" w:hAnsi="Times New Roman" w:cs="Times New Roman"/>
          <w:highlight w:val="none"/>
        </w:rPr>
      </w:pPr>
      <w:r>
        <w:rPr>
          <w:highlight w:val="none"/>
        </w:rPr>
        <w:drawing>
          <wp:inline distT="0" distB="0" distL="114300" distR="114300">
            <wp:extent cx="5328920" cy="3060065"/>
            <wp:effectExtent l="0" t="0" r="5080"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328920" cy="3060065"/>
                    </a:xfrm>
                    <a:prstGeom prst="rect">
                      <a:avLst/>
                    </a:prstGeom>
                    <a:noFill/>
                    <a:ln>
                      <a:noFill/>
                    </a:ln>
                  </pic:spPr>
                </pic:pic>
              </a:graphicData>
            </a:graphic>
          </wp:inline>
        </w:drawing>
      </w:r>
    </w:p>
    <w:p w14:paraId="7C2194CB">
      <w:pPr>
        <w:ind w:firstLine="480" w:firstLineChars="200"/>
        <w:jc w:val="center"/>
        <w:rPr>
          <w:rFonts w:ascii="Times New Roman" w:hAnsi="Times New Roman" w:cs="Times New Roman"/>
          <w:highlight w:val="none"/>
        </w:rPr>
      </w:pPr>
      <w:r>
        <w:rPr>
          <w:rFonts w:ascii="Times New Roman" w:hAnsi="Times New Roman" w:cs="Times New Roman"/>
          <w:sz w:val="24"/>
          <w:highlight w:val="none"/>
        </w:rPr>
        <w:t xml:space="preserve">Figure 2 </w:t>
      </w:r>
      <w:r>
        <w:rPr>
          <w:rFonts w:hint="eastAsia" w:ascii="Times New Roman" w:hAnsi="Times New Roman" w:cs="Times New Roman"/>
          <w:sz w:val="24"/>
          <w:highlight w:val="none"/>
        </w:rPr>
        <w:t>Mortality rates of malignant neoplasms by age group in Suining from 2018 to 2023</w:t>
      </w:r>
    </w:p>
    <w:p w14:paraId="2EB70029">
      <w:pPr>
        <w:spacing w:line="360" w:lineRule="auto"/>
        <w:rPr>
          <w:rFonts w:hint="default" w:ascii="Times New Roman" w:hAnsi="Times New Roman" w:cs="Times New Roman"/>
          <w:b/>
          <w:bCs/>
          <w:sz w:val="28"/>
          <w:szCs w:val="28"/>
          <w:highlight w:val="none"/>
        </w:rPr>
      </w:pPr>
      <w:r>
        <w:rPr>
          <w:rFonts w:hint="default" w:ascii="Times New Roman" w:hAnsi="Times New Roman" w:cs="Times New Roman"/>
          <w:b/>
          <w:bCs/>
          <w:sz w:val="28"/>
          <w:szCs w:val="28"/>
          <w:highlight w:val="none"/>
        </w:rPr>
        <w:t>2.</w:t>
      </w:r>
      <w:r>
        <w:rPr>
          <w:rFonts w:hint="default" w:ascii="Times New Roman" w:hAnsi="Times New Roman" w:cs="Times New Roman"/>
          <w:b/>
          <w:bCs/>
          <w:sz w:val="28"/>
          <w:szCs w:val="28"/>
          <w:highlight w:val="none"/>
          <w:lang w:val="en-US" w:eastAsia="zh-CN"/>
        </w:rPr>
        <w:t>4</w:t>
      </w:r>
      <w:r>
        <w:rPr>
          <w:rFonts w:hint="default" w:ascii="Times New Roman" w:hAnsi="Times New Roman" w:cs="Times New Roman"/>
          <w:b/>
          <w:bCs/>
          <w:sz w:val="28"/>
          <w:szCs w:val="28"/>
          <w:highlight w:val="none"/>
        </w:rPr>
        <w:t xml:space="preserve"> 恶性肿瘤年龄组发病</w:t>
      </w:r>
      <w:r>
        <w:rPr>
          <w:rFonts w:hint="eastAsia" w:ascii="Times New Roman" w:hAnsi="Times New Roman" w:cs="Times New Roman"/>
          <w:b/>
          <w:bCs/>
          <w:sz w:val="28"/>
          <w:szCs w:val="28"/>
          <w:highlight w:val="none"/>
          <w:lang w:val="en-US" w:eastAsia="zh-CN"/>
        </w:rPr>
        <w:t>和</w:t>
      </w:r>
      <w:r>
        <w:rPr>
          <w:rFonts w:hint="default" w:ascii="Times New Roman" w:hAnsi="Times New Roman" w:cs="Times New Roman"/>
          <w:b/>
          <w:bCs/>
          <w:sz w:val="28"/>
          <w:szCs w:val="28"/>
          <w:highlight w:val="none"/>
        </w:rPr>
        <w:t>死亡变化趋势</w:t>
      </w:r>
    </w:p>
    <w:p w14:paraId="4BB0858C">
      <w:pPr>
        <w:ind w:firstLine="560" w:firstLineChars="200"/>
        <w:jc w:val="both"/>
        <w:rPr>
          <w:rFonts w:hint="eastAsia" w:ascii="Times New Roman" w:hAnsi="Times New Roman" w:cs="Times New Roman" w:eastAsiaTheme="minorEastAsia"/>
          <w:sz w:val="28"/>
          <w:szCs w:val="28"/>
          <w:highlight w:val="none"/>
          <w:lang w:val="en-US" w:eastAsia="zh-CN"/>
        </w:rPr>
      </w:pPr>
      <w:r>
        <w:rPr>
          <w:rFonts w:hint="default" w:ascii="Times New Roman" w:hAnsi="Times New Roman" w:cs="Times New Roman"/>
          <w:sz w:val="28"/>
          <w:szCs w:val="28"/>
          <w:highlight w:val="none"/>
          <w:lang w:eastAsia="zh-CN"/>
        </w:rPr>
        <w:t>2018—2023</w:t>
      </w:r>
      <w:r>
        <w:rPr>
          <w:rFonts w:hint="default" w:ascii="Times New Roman" w:hAnsi="Times New Roman" w:cs="Times New Roman"/>
          <w:sz w:val="28"/>
          <w:szCs w:val="28"/>
          <w:highlight w:val="none"/>
        </w:rPr>
        <w:t>遂宁市</w:t>
      </w:r>
      <w:r>
        <w:rPr>
          <w:rFonts w:hint="eastAsia" w:ascii="Times New Roman" w:hAnsi="Times New Roman" w:cs="Times New Roman"/>
          <w:sz w:val="28"/>
          <w:szCs w:val="28"/>
          <w:highlight w:val="none"/>
          <w:lang w:val="en-US" w:eastAsia="zh-CN"/>
        </w:rPr>
        <w:t>恶性肿</w:t>
      </w:r>
      <w:r>
        <w:rPr>
          <w:rFonts w:hint="default" w:ascii="Times New Roman" w:hAnsi="Times New Roman" w:cs="Times New Roman"/>
          <w:sz w:val="28"/>
          <w:szCs w:val="28"/>
          <w:highlight w:val="none"/>
        </w:rPr>
        <w:t>瘤</w:t>
      </w:r>
      <w:r>
        <w:rPr>
          <w:rFonts w:hint="eastAsia" w:ascii="Times New Roman" w:hAnsi="Times New Roman" w:cs="Times New Roman"/>
          <w:sz w:val="28"/>
          <w:szCs w:val="28"/>
          <w:highlight w:val="none"/>
          <w:lang w:val="en-US" w:eastAsia="zh-CN"/>
        </w:rPr>
        <w:t>全人群</w:t>
      </w:r>
      <w:r>
        <w:rPr>
          <w:rFonts w:hint="default" w:ascii="Times New Roman" w:hAnsi="Times New Roman" w:cs="Times New Roman"/>
          <w:sz w:val="28"/>
          <w:szCs w:val="28"/>
          <w:highlight w:val="none"/>
        </w:rPr>
        <w:t>年龄</w:t>
      </w:r>
      <w:r>
        <w:rPr>
          <w:rFonts w:hint="eastAsia" w:ascii="Times New Roman" w:hAnsi="Times New Roman" w:cs="Times New Roman"/>
          <w:sz w:val="28"/>
          <w:szCs w:val="28"/>
          <w:highlight w:val="none"/>
          <w:lang w:val="en-US" w:eastAsia="zh-CN"/>
        </w:rPr>
        <w:t>组</w:t>
      </w:r>
      <w:r>
        <w:rPr>
          <w:rFonts w:hint="default" w:ascii="Times New Roman" w:hAnsi="Times New Roman" w:cs="Times New Roman"/>
          <w:sz w:val="28"/>
          <w:szCs w:val="28"/>
          <w:highlight w:val="none"/>
        </w:rPr>
        <w:t>发病率在</w:t>
      </w:r>
      <w:r>
        <w:rPr>
          <w:rFonts w:hint="eastAsia" w:ascii="Times New Roman" w:hAnsi="Times New Roman" w:cs="Times New Roman"/>
          <w:sz w:val="28"/>
          <w:szCs w:val="28"/>
          <w:highlight w:val="none"/>
          <w:lang w:val="en-US" w:eastAsia="zh-CN"/>
        </w:rPr>
        <w:t>2</w:t>
      </w:r>
      <w:r>
        <w:rPr>
          <w:rFonts w:hint="default" w:ascii="Times New Roman" w:hAnsi="Times New Roman" w:cs="Times New Roman"/>
          <w:sz w:val="28"/>
          <w:szCs w:val="28"/>
          <w:highlight w:val="none"/>
        </w:rPr>
        <w:t>5~29岁组呈上升趋势，AAPC为</w:t>
      </w:r>
      <w:r>
        <w:rPr>
          <w:rFonts w:hint="eastAsia" w:ascii="Times New Roman" w:hAnsi="Times New Roman" w:cs="Times New Roman"/>
          <w:sz w:val="28"/>
          <w:szCs w:val="28"/>
          <w:highlight w:val="none"/>
          <w:lang w:val="en-US" w:eastAsia="zh-CN"/>
        </w:rPr>
        <w:t>7.7</w:t>
      </w:r>
      <w:r>
        <w:rPr>
          <w:rFonts w:hint="default" w:ascii="Times New Roman" w:hAnsi="Times New Roman" w:cs="Times New Roman"/>
          <w:sz w:val="28"/>
          <w:szCs w:val="28"/>
          <w:highlight w:val="none"/>
        </w:rPr>
        <w:t>7%</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hint="default" w:ascii="Times New Roman" w:hAnsi="Times New Roman" w:eastAsia="宋体" w:cs="Times New Roman"/>
          <w:i w:val="0"/>
          <w:iCs w:val="0"/>
          <w:color w:val="231F20"/>
          <w:kern w:val="0"/>
          <w:sz w:val="28"/>
          <w:szCs w:val="28"/>
          <w:u w:val="none"/>
          <w:lang w:val="en-US" w:eastAsia="zh-CN" w:bidi="ar"/>
        </w:rPr>
        <w:t>2.50~12.97</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sz w:val="28"/>
          <w:szCs w:val="28"/>
          <w:highlight w:val="none"/>
        </w:rPr>
        <w:t>=</w:t>
      </w:r>
      <w:r>
        <w:rPr>
          <w:rFonts w:ascii="Times New Roman" w:hAnsi="Times New Roman" w:cs="Times New Roman"/>
          <w:sz w:val="28"/>
          <w:szCs w:val="28"/>
          <w:highlight w:val="none"/>
        </w:rPr>
        <w:t>0.</w:t>
      </w:r>
      <w:r>
        <w:rPr>
          <w:rFonts w:hint="eastAsia" w:ascii="Times New Roman" w:hAnsi="Times New Roman" w:cs="Times New Roman"/>
          <w:sz w:val="28"/>
          <w:szCs w:val="28"/>
          <w:highlight w:val="none"/>
        </w:rPr>
        <w:t>0</w:t>
      </w:r>
      <w:r>
        <w:rPr>
          <w:rFonts w:hint="eastAsia" w:ascii="Times New Roman" w:hAnsi="Times New Roman" w:cs="Times New Roman"/>
          <w:sz w:val="28"/>
          <w:szCs w:val="28"/>
          <w:highlight w:val="none"/>
          <w:lang w:val="en-US" w:eastAsia="zh-CN"/>
        </w:rPr>
        <w:t>02</w:t>
      </w:r>
      <w:r>
        <w:rPr>
          <w:rFonts w:ascii="Times New Roman" w:hAnsi="Times New Roman" w:cs="Times New Roman"/>
          <w:sz w:val="28"/>
          <w:szCs w:val="28"/>
          <w:highlight w:val="none"/>
        </w:rPr>
        <w:t>）</w:t>
      </w:r>
      <w:r>
        <w:rPr>
          <w:rFonts w:hint="default"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85+</w:t>
      </w:r>
      <w:r>
        <w:rPr>
          <w:rFonts w:hint="default" w:ascii="Times New Roman" w:hAnsi="Times New Roman" w:cs="Times New Roman"/>
          <w:sz w:val="28"/>
          <w:szCs w:val="28"/>
          <w:highlight w:val="none"/>
        </w:rPr>
        <w:t>岁组呈</w:t>
      </w:r>
      <w:r>
        <w:rPr>
          <w:rFonts w:hint="eastAsia" w:ascii="Times New Roman" w:hAnsi="Times New Roman" w:cs="Times New Roman"/>
          <w:sz w:val="28"/>
          <w:szCs w:val="28"/>
          <w:highlight w:val="none"/>
          <w:lang w:val="en-US" w:eastAsia="zh-CN"/>
        </w:rPr>
        <w:t>下降</w:t>
      </w:r>
      <w:r>
        <w:rPr>
          <w:rFonts w:hint="default" w:ascii="Times New Roman" w:hAnsi="Times New Roman" w:cs="Times New Roman"/>
          <w:sz w:val="28"/>
          <w:szCs w:val="28"/>
          <w:highlight w:val="none"/>
        </w:rPr>
        <w:t>趋势，AAPC为</w:t>
      </w:r>
      <w:r>
        <w:rPr>
          <w:rFonts w:hint="eastAsia" w:ascii="Times New Roman" w:hAnsi="Times New Roman" w:cs="Times New Roman"/>
          <w:sz w:val="28"/>
          <w:szCs w:val="28"/>
          <w:highlight w:val="none"/>
          <w:lang w:val="en-US" w:eastAsia="zh-CN"/>
        </w:rPr>
        <w:t>6.4</w:t>
      </w:r>
      <w:r>
        <w:rPr>
          <w:rFonts w:hint="default" w:ascii="Times New Roman" w:hAnsi="Times New Roman" w:cs="Times New Roman"/>
          <w:sz w:val="28"/>
          <w:szCs w:val="28"/>
          <w:highlight w:val="none"/>
        </w:rPr>
        <w:t>7%</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hint="default" w:ascii="Times New Roman" w:hAnsi="Times New Roman" w:eastAsia="宋体" w:cs="Times New Roman"/>
          <w:i w:val="0"/>
          <w:iCs w:val="0"/>
          <w:color w:val="231F20"/>
          <w:kern w:val="0"/>
          <w:sz w:val="28"/>
          <w:szCs w:val="28"/>
          <w:u w:val="none"/>
          <w:lang w:val="en-US" w:eastAsia="zh-CN" w:bidi="ar"/>
        </w:rPr>
        <w:t>-10.56~-2.25</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sz w:val="28"/>
          <w:szCs w:val="28"/>
          <w:highlight w:val="none"/>
        </w:rPr>
        <w:t>=</w:t>
      </w:r>
      <w:r>
        <w:rPr>
          <w:rFonts w:ascii="Times New Roman" w:hAnsi="Times New Roman" w:cs="Times New Roman"/>
          <w:sz w:val="28"/>
          <w:szCs w:val="28"/>
          <w:highlight w:val="none"/>
        </w:rPr>
        <w:t>0.</w:t>
      </w:r>
      <w:r>
        <w:rPr>
          <w:rFonts w:hint="eastAsia" w:ascii="Times New Roman" w:hAnsi="Times New Roman" w:cs="Times New Roman"/>
          <w:sz w:val="28"/>
          <w:szCs w:val="28"/>
          <w:highlight w:val="none"/>
        </w:rPr>
        <w:t>0</w:t>
      </w:r>
      <w:r>
        <w:rPr>
          <w:rFonts w:hint="eastAsia" w:ascii="Times New Roman" w:hAnsi="Times New Roman" w:cs="Times New Roman"/>
          <w:sz w:val="28"/>
          <w:szCs w:val="28"/>
          <w:highlight w:val="none"/>
          <w:lang w:val="en-US" w:eastAsia="zh-CN"/>
        </w:rPr>
        <w:t>01</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男性</w:t>
      </w:r>
      <w:r>
        <w:rPr>
          <w:rFonts w:hint="default" w:ascii="Times New Roman" w:hAnsi="Times New Roman" w:cs="Times New Roman"/>
          <w:sz w:val="28"/>
          <w:szCs w:val="28"/>
          <w:highlight w:val="none"/>
        </w:rPr>
        <w:t>年龄</w:t>
      </w:r>
      <w:r>
        <w:rPr>
          <w:rFonts w:hint="eastAsia" w:ascii="Times New Roman" w:hAnsi="Times New Roman" w:cs="Times New Roman"/>
          <w:sz w:val="28"/>
          <w:szCs w:val="28"/>
          <w:highlight w:val="none"/>
          <w:lang w:val="en-US" w:eastAsia="zh-CN"/>
        </w:rPr>
        <w:t>组</w:t>
      </w:r>
      <w:r>
        <w:rPr>
          <w:rFonts w:hint="default" w:ascii="Times New Roman" w:hAnsi="Times New Roman" w:cs="Times New Roman"/>
          <w:sz w:val="28"/>
          <w:szCs w:val="28"/>
          <w:highlight w:val="none"/>
        </w:rPr>
        <w:t>发病率在</w:t>
      </w:r>
      <w:r>
        <w:rPr>
          <w:rFonts w:hint="eastAsia" w:ascii="Times New Roman" w:hAnsi="Times New Roman" w:cs="Times New Roman"/>
          <w:sz w:val="28"/>
          <w:szCs w:val="28"/>
          <w:highlight w:val="none"/>
          <w:lang w:val="en-US" w:eastAsia="zh-CN"/>
        </w:rPr>
        <w:t>35</w:t>
      </w:r>
      <w:r>
        <w:rPr>
          <w:rFonts w:hint="default"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5</w:t>
      </w:r>
      <w:r>
        <w:rPr>
          <w:rFonts w:hint="default" w:ascii="Times New Roman" w:hAnsi="Times New Roman" w:cs="Times New Roman"/>
          <w:sz w:val="28"/>
          <w:szCs w:val="28"/>
          <w:highlight w:val="none"/>
        </w:rPr>
        <w:t>9岁</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40~44岁和50~54岁</w:t>
      </w:r>
      <w:r>
        <w:rPr>
          <w:rFonts w:hint="default" w:ascii="Times New Roman" w:hAnsi="Times New Roman" w:cs="Times New Roman"/>
          <w:sz w:val="28"/>
          <w:szCs w:val="28"/>
          <w:highlight w:val="none"/>
        </w:rPr>
        <w:t>组</w:t>
      </w:r>
      <w:r>
        <w:rPr>
          <w:rFonts w:hint="eastAsia" w:ascii="Times New Roman" w:hAnsi="Times New Roman" w:cs="Times New Roman"/>
          <w:sz w:val="28"/>
          <w:szCs w:val="28"/>
          <w:highlight w:val="none"/>
          <w:lang w:val="en-US" w:eastAsia="zh-CN"/>
        </w:rPr>
        <w:t>均</w:t>
      </w:r>
      <w:r>
        <w:rPr>
          <w:rFonts w:hint="default" w:ascii="Times New Roman" w:hAnsi="Times New Roman" w:cs="Times New Roman"/>
          <w:sz w:val="28"/>
          <w:szCs w:val="28"/>
          <w:highlight w:val="none"/>
        </w:rPr>
        <w:t>呈</w:t>
      </w:r>
      <w:r>
        <w:rPr>
          <w:rFonts w:hint="eastAsia" w:ascii="Times New Roman" w:hAnsi="Times New Roman" w:cs="Times New Roman"/>
          <w:sz w:val="28"/>
          <w:szCs w:val="28"/>
          <w:highlight w:val="none"/>
          <w:lang w:val="en-US" w:eastAsia="zh-CN"/>
        </w:rPr>
        <w:t>下降</w:t>
      </w:r>
      <w:r>
        <w:rPr>
          <w:rFonts w:hint="default" w:ascii="Times New Roman" w:hAnsi="Times New Roman" w:cs="Times New Roman"/>
          <w:sz w:val="28"/>
          <w:szCs w:val="28"/>
          <w:highlight w:val="none"/>
        </w:rPr>
        <w:t>趋势，AAPC</w:t>
      </w:r>
      <w:r>
        <w:rPr>
          <w:rFonts w:hint="eastAsia" w:ascii="Times New Roman" w:hAnsi="Times New Roman" w:cs="Times New Roman"/>
          <w:sz w:val="28"/>
          <w:szCs w:val="28"/>
          <w:highlight w:val="none"/>
          <w:lang w:val="en-US" w:eastAsia="zh-CN"/>
        </w:rPr>
        <w:t>分别</w:t>
      </w:r>
      <w:r>
        <w:rPr>
          <w:rFonts w:hint="default" w:ascii="Times New Roman" w:hAnsi="Times New Roman" w:cs="Times New Roman"/>
          <w:sz w:val="28"/>
          <w:szCs w:val="28"/>
          <w:highlight w:val="none"/>
        </w:rPr>
        <w:t>为</w:t>
      </w:r>
      <w:r>
        <w:rPr>
          <w:rFonts w:hint="eastAsia" w:ascii="Times New Roman" w:hAnsi="Times New Roman" w:cs="Times New Roman"/>
          <w:sz w:val="28"/>
          <w:szCs w:val="28"/>
          <w:highlight w:val="none"/>
          <w:lang w:val="en-US" w:eastAsia="zh-CN"/>
        </w:rPr>
        <w:t>-11.04</w:t>
      </w:r>
      <w:r>
        <w:rPr>
          <w:rFonts w:hint="default" w:ascii="Times New Roman" w:hAnsi="Times New Roman" w:cs="Times New Roman"/>
          <w:sz w:val="28"/>
          <w:szCs w:val="28"/>
          <w:highlight w:val="none"/>
        </w:rPr>
        <w:t>%</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hint="default" w:ascii="Times New Roman" w:hAnsi="Times New Roman" w:eastAsia="宋体" w:cs="Times New Roman"/>
          <w:i w:val="0"/>
          <w:iCs w:val="0"/>
          <w:color w:val="231F20"/>
          <w:kern w:val="0"/>
          <w:sz w:val="28"/>
          <w:szCs w:val="28"/>
          <w:u w:val="none"/>
          <w:lang w:val="en-US" w:eastAsia="zh-CN" w:bidi="ar"/>
        </w:rPr>
        <w:t>-17.89~-4.19</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sz w:val="28"/>
          <w:szCs w:val="28"/>
          <w:highlight w:val="none"/>
        </w:rPr>
        <w:t>=</w:t>
      </w:r>
      <w:r>
        <w:rPr>
          <w:rFonts w:ascii="Times New Roman" w:hAnsi="Times New Roman" w:cs="Times New Roman"/>
          <w:sz w:val="28"/>
          <w:szCs w:val="28"/>
          <w:highlight w:val="none"/>
        </w:rPr>
        <w:t>0.</w:t>
      </w:r>
      <w:r>
        <w:rPr>
          <w:rFonts w:hint="eastAsia" w:ascii="Times New Roman" w:hAnsi="Times New Roman" w:cs="Times New Roman"/>
          <w:sz w:val="28"/>
          <w:szCs w:val="28"/>
          <w:highlight w:val="none"/>
        </w:rPr>
        <w:t>0</w:t>
      </w:r>
      <w:r>
        <w:rPr>
          <w:rFonts w:hint="eastAsia" w:ascii="Times New Roman" w:hAnsi="Times New Roman" w:cs="Times New Roman"/>
          <w:sz w:val="28"/>
          <w:szCs w:val="28"/>
          <w:highlight w:val="none"/>
          <w:lang w:val="en-US" w:eastAsia="zh-CN"/>
        </w:rPr>
        <w:t>02</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-8.69</w:t>
      </w:r>
      <w:r>
        <w:rPr>
          <w:rFonts w:hint="default" w:ascii="Times New Roman" w:hAnsi="Times New Roman" w:cs="Times New Roman"/>
          <w:sz w:val="28"/>
          <w:szCs w:val="28"/>
          <w:highlight w:val="none"/>
        </w:rPr>
        <w:t>%</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hint="default" w:ascii="Times New Roman" w:hAnsi="Times New Roman" w:eastAsia="宋体" w:cs="Times New Roman"/>
          <w:i w:val="0"/>
          <w:iCs w:val="0"/>
          <w:color w:val="231F20"/>
          <w:kern w:val="0"/>
          <w:sz w:val="28"/>
          <w:szCs w:val="28"/>
          <w:u w:val="none"/>
          <w:lang w:val="en-US" w:eastAsia="zh-CN" w:bidi="ar"/>
        </w:rPr>
        <w:t>-17.07~-1.40</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sz w:val="28"/>
          <w:szCs w:val="28"/>
          <w:highlight w:val="none"/>
        </w:rPr>
        <w:t>=</w:t>
      </w:r>
      <w:r>
        <w:rPr>
          <w:rFonts w:ascii="Times New Roman" w:hAnsi="Times New Roman" w:cs="Times New Roman"/>
          <w:sz w:val="28"/>
          <w:szCs w:val="28"/>
          <w:highlight w:val="none"/>
        </w:rPr>
        <w:t>0.</w:t>
      </w:r>
      <w:r>
        <w:rPr>
          <w:rFonts w:hint="eastAsia" w:ascii="Times New Roman" w:hAnsi="Times New Roman" w:cs="Times New Roman"/>
          <w:sz w:val="28"/>
          <w:szCs w:val="28"/>
          <w:highlight w:val="none"/>
        </w:rPr>
        <w:t>0</w:t>
      </w:r>
      <w:r>
        <w:rPr>
          <w:rFonts w:hint="eastAsia" w:ascii="Times New Roman" w:hAnsi="Times New Roman" w:cs="Times New Roman"/>
          <w:sz w:val="28"/>
          <w:szCs w:val="28"/>
          <w:highlight w:val="none"/>
          <w:lang w:val="en-US" w:eastAsia="zh-CN"/>
        </w:rPr>
        <w:t>20</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和-4.85</w:t>
      </w:r>
      <w:r>
        <w:rPr>
          <w:rFonts w:hint="default" w:ascii="Times New Roman" w:hAnsi="Times New Roman" w:cs="Times New Roman"/>
          <w:sz w:val="28"/>
          <w:szCs w:val="28"/>
          <w:highlight w:val="none"/>
        </w:rPr>
        <w:t>%</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hint="default" w:ascii="Times New Roman" w:hAnsi="Times New Roman" w:eastAsia="宋体" w:cs="Times New Roman"/>
          <w:i w:val="0"/>
          <w:iCs w:val="0"/>
          <w:color w:val="231F20"/>
          <w:kern w:val="0"/>
          <w:sz w:val="28"/>
          <w:szCs w:val="28"/>
          <w:u w:val="none"/>
          <w:lang w:val="en-US" w:eastAsia="zh-CN" w:bidi="ar"/>
        </w:rPr>
        <w:t>-7.93~-1.93</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i w:val="0"/>
          <w:iCs w:val="0"/>
          <w:sz w:val="28"/>
          <w:szCs w:val="28"/>
          <w:highlight w:val="none"/>
          <w:lang w:val="en-US" w:eastAsia="zh-CN"/>
        </w:rPr>
        <w:t>&lt;0.001</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女性</w:t>
      </w:r>
      <w:r>
        <w:rPr>
          <w:rFonts w:hint="default" w:ascii="Times New Roman" w:hAnsi="Times New Roman" w:cs="Times New Roman"/>
          <w:sz w:val="28"/>
          <w:szCs w:val="28"/>
          <w:highlight w:val="none"/>
        </w:rPr>
        <w:t>年龄</w:t>
      </w:r>
      <w:r>
        <w:rPr>
          <w:rFonts w:hint="eastAsia" w:ascii="Times New Roman" w:hAnsi="Times New Roman" w:cs="Times New Roman"/>
          <w:sz w:val="28"/>
          <w:szCs w:val="28"/>
          <w:highlight w:val="none"/>
          <w:lang w:val="en-US" w:eastAsia="zh-CN"/>
        </w:rPr>
        <w:t>组</w:t>
      </w:r>
      <w:r>
        <w:rPr>
          <w:rFonts w:hint="default" w:ascii="Times New Roman" w:hAnsi="Times New Roman" w:cs="Times New Roman"/>
          <w:sz w:val="28"/>
          <w:szCs w:val="28"/>
          <w:highlight w:val="none"/>
        </w:rPr>
        <w:t>发病率在</w:t>
      </w:r>
      <w:r>
        <w:rPr>
          <w:rFonts w:hint="eastAsia" w:ascii="Times New Roman" w:hAnsi="Times New Roman" w:cs="Times New Roman"/>
          <w:sz w:val="28"/>
          <w:szCs w:val="28"/>
          <w:highlight w:val="none"/>
          <w:lang w:val="en-US" w:eastAsia="zh-CN"/>
        </w:rPr>
        <w:t>80~84岁</w:t>
      </w:r>
      <w:r>
        <w:rPr>
          <w:rFonts w:hint="default" w:ascii="Times New Roman" w:hAnsi="Times New Roman" w:cs="Times New Roman"/>
          <w:sz w:val="28"/>
          <w:szCs w:val="28"/>
          <w:highlight w:val="none"/>
        </w:rPr>
        <w:t>组呈</w:t>
      </w:r>
      <w:r>
        <w:rPr>
          <w:rFonts w:hint="eastAsia" w:ascii="Times New Roman" w:hAnsi="Times New Roman" w:cs="Times New Roman"/>
          <w:sz w:val="28"/>
          <w:szCs w:val="28"/>
          <w:highlight w:val="none"/>
          <w:lang w:val="en-US" w:eastAsia="zh-CN"/>
        </w:rPr>
        <w:t>下降</w:t>
      </w:r>
      <w:r>
        <w:rPr>
          <w:rFonts w:hint="default" w:ascii="Times New Roman" w:hAnsi="Times New Roman" w:cs="Times New Roman"/>
          <w:sz w:val="28"/>
          <w:szCs w:val="28"/>
          <w:highlight w:val="none"/>
        </w:rPr>
        <w:t>趋势，AAPC为</w:t>
      </w:r>
      <w:r>
        <w:rPr>
          <w:rFonts w:hint="eastAsia" w:ascii="Times New Roman" w:hAnsi="Times New Roman" w:cs="Times New Roman"/>
          <w:sz w:val="28"/>
          <w:szCs w:val="28"/>
          <w:highlight w:val="none"/>
          <w:lang w:val="en-US" w:eastAsia="zh-CN"/>
        </w:rPr>
        <w:t>-4.00</w:t>
      </w:r>
      <w:r>
        <w:rPr>
          <w:rFonts w:hint="default" w:ascii="Times New Roman" w:hAnsi="Times New Roman" w:cs="Times New Roman"/>
          <w:sz w:val="28"/>
          <w:szCs w:val="28"/>
          <w:highlight w:val="none"/>
        </w:rPr>
        <w:t>%</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hint="default" w:ascii="Times New Roman" w:hAnsi="Times New Roman" w:eastAsia="宋体" w:cs="Times New Roman"/>
          <w:i w:val="0"/>
          <w:iCs w:val="0"/>
          <w:color w:val="231F20"/>
          <w:kern w:val="0"/>
          <w:sz w:val="28"/>
          <w:szCs w:val="28"/>
          <w:u w:val="none"/>
          <w:lang w:val="en-US" w:eastAsia="zh-CN" w:bidi="ar"/>
        </w:rPr>
        <w:t>-7.26~-0.69</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sz w:val="28"/>
          <w:szCs w:val="28"/>
          <w:highlight w:val="none"/>
        </w:rPr>
        <w:t>=</w:t>
      </w:r>
      <w:r>
        <w:rPr>
          <w:rFonts w:ascii="Times New Roman" w:hAnsi="Times New Roman" w:cs="Times New Roman"/>
          <w:sz w:val="28"/>
          <w:szCs w:val="28"/>
          <w:highlight w:val="none"/>
        </w:rPr>
        <w:t>0.</w:t>
      </w:r>
      <w:r>
        <w:rPr>
          <w:rFonts w:hint="eastAsia" w:ascii="Times New Roman" w:hAnsi="Times New Roman" w:cs="Times New Roman"/>
          <w:sz w:val="28"/>
          <w:szCs w:val="28"/>
          <w:highlight w:val="none"/>
        </w:rPr>
        <w:t>0</w:t>
      </w:r>
      <w:r>
        <w:rPr>
          <w:rFonts w:hint="eastAsia" w:ascii="Times New Roman" w:hAnsi="Times New Roman" w:cs="Times New Roman"/>
          <w:sz w:val="28"/>
          <w:szCs w:val="28"/>
          <w:highlight w:val="none"/>
          <w:lang w:val="en-US" w:eastAsia="zh-CN"/>
        </w:rPr>
        <w:t>17</w:t>
      </w:r>
      <w:r>
        <w:rPr>
          <w:rFonts w:ascii="Times New Roman" w:hAnsi="Times New Roman" w:cs="Times New Roman"/>
          <w:sz w:val="28"/>
          <w:szCs w:val="28"/>
          <w:highlight w:val="none"/>
        </w:rPr>
        <w:t xml:space="preserve">）（Table </w:t>
      </w:r>
      <w:r>
        <w:rPr>
          <w:rFonts w:hint="eastAsia" w:ascii="Times New Roman" w:hAnsi="Times New Roman" w:cs="Times New Roman"/>
          <w:sz w:val="28"/>
          <w:szCs w:val="28"/>
          <w:highlight w:val="none"/>
          <w:lang w:val="en-US" w:eastAsia="zh-CN"/>
        </w:rPr>
        <w:t>4</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eastAsia="zh-CN"/>
        </w:rPr>
        <w:t>。</w:t>
      </w:r>
    </w:p>
    <w:p w14:paraId="5DB8FD70">
      <w:pPr>
        <w:ind w:firstLine="560" w:firstLineChars="200"/>
        <w:jc w:val="both"/>
        <w:rPr>
          <w:rFonts w:hint="eastAsia" w:ascii="Times New Roman" w:hAnsi="Times New Roman" w:cs="Times New Roman"/>
          <w:sz w:val="28"/>
          <w:szCs w:val="28"/>
          <w:highlight w:val="none"/>
          <w:lang w:eastAsia="zh-CN"/>
        </w:rPr>
      </w:pPr>
      <w:r>
        <w:rPr>
          <w:rFonts w:hint="default" w:ascii="Times New Roman" w:hAnsi="Times New Roman" w:cs="Times New Roman"/>
          <w:sz w:val="28"/>
          <w:szCs w:val="28"/>
          <w:highlight w:val="none"/>
          <w:lang w:eastAsia="zh-CN"/>
        </w:rPr>
        <w:t>2018—2023</w:t>
      </w:r>
      <w:r>
        <w:rPr>
          <w:rFonts w:hint="default" w:ascii="Times New Roman" w:hAnsi="Times New Roman" w:cs="Times New Roman"/>
          <w:sz w:val="28"/>
          <w:szCs w:val="28"/>
          <w:highlight w:val="none"/>
        </w:rPr>
        <w:t>遂宁市</w:t>
      </w:r>
      <w:r>
        <w:rPr>
          <w:rFonts w:hint="eastAsia" w:ascii="Times New Roman" w:hAnsi="Times New Roman" w:cs="Times New Roman"/>
          <w:sz w:val="28"/>
          <w:szCs w:val="28"/>
          <w:highlight w:val="none"/>
          <w:lang w:val="en-US" w:eastAsia="zh-CN"/>
        </w:rPr>
        <w:t>恶性肿瘤全人群</w:t>
      </w:r>
      <w:r>
        <w:rPr>
          <w:rFonts w:hint="default" w:ascii="Times New Roman" w:hAnsi="Times New Roman" w:cs="Times New Roman"/>
          <w:sz w:val="28"/>
          <w:szCs w:val="28"/>
          <w:highlight w:val="none"/>
        </w:rPr>
        <w:t>年龄</w:t>
      </w:r>
      <w:r>
        <w:rPr>
          <w:rFonts w:hint="eastAsia" w:ascii="Times New Roman" w:hAnsi="Times New Roman" w:cs="Times New Roman"/>
          <w:sz w:val="28"/>
          <w:szCs w:val="28"/>
          <w:highlight w:val="none"/>
          <w:lang w:val="en-US" w:eastAsia="zh-CN"/>
        </w:rPr>
        <w:t>组死亡</w:t>
      </w:r>
      <w:r>
        <w:rPr>
          <w:rFonts w:hint="default" w:ascii="Times New Roman" w:hAnsi="Times New Roman" w:cs="Times New Roman"/>
          <w:sz w:val="28"/>
          <w:szCs w:val="28"/>
          <w:highlight w:val="none"/>
        </w:rPr>
        <w:t>率在</w:t>
      </w:r>
      <w:r>
        <w:rPr>
          <w:rFonts w:hint="eastAsia" w:ascii="Times New Roman" w:hAnsi="Times New Roman" w:cs="Times New Roman"/>
          <w:sz w:val="28"/>
          <w:szCs w:val="28"/>
          <w:highlight w:val="none"/>
          <w:lang w:val="en-US" w:eastAsia="zh-CN"/>
        </w:rPr>
        <w:t>30</w:t>
      </w:r>
      <w:r>
        <w:rPr>
          <w:rFonts w:hint="default"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34</w:t>
      </w:r>
      <w:r>
        <w:rPr>
          <w:rFonts w:hint="default" w:ascii="Times New Roman" w:hAnsi="Times New Roman" w:cs="Times New Roman"/>
          <w:sz w:val="28"/>
          <w:szCs w:val="28"/>
          <w:highlight w:val="none"/>
        </w:rPr>
        <w:t>岁</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45~49岁、50~54岁和60~64岁</w:t>
      </w:r>
      <w:r>
        <w:rPr>
          <w:rFonts w:hint="default" w:ascii="Times New Roman" w:hAnsi="Times New Roman" w:cs="Times New Roman"/>
          <w:sz w:val="28"/>
          <w:szCs w:val="28"/>
          <w:highlight w:val="none"/>
        </w:rPr>
        <w:t>组</w:t>
      </w:r>
      <w:r>
        <w:rPr>
          <w:rFonts w:hint="eastAsia" w:ascii="Times New Roman" w:hAnsi="Times New Roman" w:cs="Times New Roman"/>
          <w:sz w:val="28"/>
          <w:szCs w:val="28"/>
          <w:highlight w:val="none"/>
          <w:lang w:val="en-US" w:eastAsia="zh-CN"/>
        </w:rPr>
        <w:t>均</w:t>
      </w:r>
      <w:r>
        <w:rPr>
          <w:rFonts w:hint="default" w:ascii="Times New Roman" w:hAnsi="Times New Roman" w:cs="Times New Roman"/>
          <w:sz w:val="28"/>
          <w:szCs w:val="28"/>
          <w:highlight w:val="none"/>
        </w:rPr>
        <w:t>呈</w:t>
      </w:r>
      <w:r>
        <w:rPr>
          <w:rFonts w:hint="eastAsia" w:ascii="Times New Roman" w:hAnsi="Times New Roman" w:cs="Times New Roman"/>
          <w:sz w:val="28"/>
          <w:szCs w:val="28"/>
          <w:highlight w:val="none"/>
          <w:lang w:val="en-US" w:eastAsia="zh-CN"/>
        </w:rPr>
        <w:t>下降</w:t>
      </w:r>
      <w:r>
        <w:rPr>
          <w:rFonts w:hint="default" w:ascii="Times New Roman" w:hAnsi="Times New Roman" w:cs="Times New Roman"/>
          <w:sz w:val="28"/>
          <w:szCs w:val="28"/>
          <w:highlight w:val="none"/>
        </w:rPr>
        <w:t>趋势，AAPC</w:t>
      </w:r>
      <w:r>
        <w:rPr>
          <w:rFonts w:hint="eastAsia" w:ascii="Times New Roman" w:hAnsi="Times New Roman" w:cs="Times New Roman"/>
          <w:sz w:val="28"/>
          <w:szCs w:val="28"/>
          <w:highlight w:val="none"/>
          <w:lang w:val="en-US" w:eastAsia="zh-CN"/>
        </w:rPr>
        <w:t>分别</w:t>
      </w:r>
      <w:r>
        <w:rPr>
          <w:rFonts w:hint="default" w:ascii="Times New Roman" w:hAnsi="Times New Roman" w:cs="Times New Roman"/>
          <w:sz w:val="28"/>
          <w:szCs w:val="28"/>
          <w:highlight w:val="none"/>
        </w:rPr>
        <w:t>为</w:t>
      </w:r>
      <w:r>
        <w:rPr>
          <w:rFonts w:hint="eastAsia" w:ascii="Times New Roman" w:hAnsi="Times New Roman" w:cs="Times New Roman"/>
          <w:sz w:val="28"/>
          <w:szCs w:val="28"/>
          <w:highlight w:val="none"/>
          <w:lang w:val="en-US" w:eastAsia="zh-CN"/>
        </w:rPr>
        <w:t>-8.88</w:t>
      </w:r>
      <w:r>
        <w:rPr>
          <w:rFonts w:hint="default" w:ascii="Times New Roman" w:hAnsi="Times New Roman" w:cs="Times New Roman"/>
          <w:sz w:val="28"/>
          <w:szCs w:val="28"/>
          <w:highlight w:val="none"/>
        </w:rPr>
        <w:t>%</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hint="default" w:ascii="Times New Roman" w:hAnsi="Times New Roman" w:eastAsia="宋体" w:cs="Times New Roman"/>
          <w:i w:val="0"/>
          <w:iCs w:val="0"/>
          <w:color w:val="231F20"/>
          <w:kern w:val="0"/>
          <w:sz w:val="28"/>
          <w:szCs w:val="28"/>
          <w:u w:val="none"/>
          <w:lang w:val="en-US" w:eastAsia="zh-CN" w:bidi="ar"/>
        </w:rPr>
        <w:t>-17.72~-0.13</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i w:val="0"/>
          <w:iCs w:val="0"/>
          <w:sz w:val="28"/>
          <w:szCs w:val="28"/>
          <w:highlight w:val="none"/>
        </w:rPr>
        <w:t>=</w:t>
      </w:r>
      <w:r>
        <w:rPr>
          <w:rFonts w:ascii="Times New Roman" w:hAnsi="Times New Roman" w:cs="Times New Roman"/>
          <w:sz w:val="28"/>
          <w:szCs w:val="28"/>
          <w:highlight w:val="none"/>
        </w:rPr>
        <w:t>0.</w:t>
      </w:r>
      <w:r>
        <w:rPr>
          <w:rFonts w:hint="eastAsia" w:ascii="Times New Roman" w:hAnsi="Times New Roman" w:cs="Times New Roman"/>
          <w:sz w:val="28"/>
          <w:szCs w:val="28"/>
          <w:highlight w:val="none"/>
        </w:rPr>
        <w:t>0</w:t>
      </w:r>
      <w:r>
        <w:rPr>
          <w:rFonts w:hint="eastAsia" w:ascii="Times New Roman" w:hAnsi="Times New Roman" w:cs="Times New Roman"/>
          <w:sz w:val="28"/>
          <w:szCs w:val="28"/>
          <w:highlight w:val="none"/>
          <w:lang w:val="en-US" w:eastAsia="zh-CN"/>
        </w:rPr>
        <w:t>46</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-3.35</w:t>
      </w:r>
      <w:r>
        <w:rPr>
          <w:rFonts w:hint="default" w:ascii="Times New Roman" w:hAnsi="Times New Roman" w:cs="Times New Roman"/>
          <w:sz w:val="28"/>
          <w:szCs w:val="28"/>
          <w:highlight w:val="none"/>
        </w:rPr>
        <w:t>%</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hint="default" w:ascii="Times New Roman" w:hAnsi="Times New Roman" w:eastAsia="宋体" w:cs="Times New Roman"/>
          <w:i w:val="0"/>
          <w:iCs w:val="0"/>
          <w:color w:val="231F20"/>
          <w:kern w:val="0"/>
          <w:sz w:val="28"/>
          <w:szCs w:val="28"/>
          <w:u w:val="none"/>
          <w:lang w:val="en-US" w:eastAsia="zh-CN" w:bidi="ar"/>
        </w:rPr>
        <w:t>-5.72~-1.13</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i w:val="0"/>
          <w:iCs w:val="0"/>
          <w:sz w:val="28"/>
          <w:szCs w:val="28"/>
          <w:highlight w:val="none"/>
          <w:lang w:val="en-US" w:eastAsia="zh-CN"/>
        </w:rPr>
        <w:t>&lt;0.001</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-4.10</w:t>
      </w:r>
      <w:r>
        <w:rPr>
          <w:rFonts w:hint="default" w:ascii="Times New Roman" w:hAnsi="Times New Roman" w:cs="Times New Roman"/>
          <w:sz w:val="28"/>
          <w:szCs w:val="28"/>
          <w:highlight w:val="none"/>
        </w:rPr>
        <w:t>%</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hint="default" w:ascii="Times New Roman" w:hAnsi="Times New Roman" w:eastAsia="宋体" w:cs="Times New Roman"/>
          <w:i w:val="0"/>
          <w:iCs w:val="0"/>
          <w:color w:val="231F20"/>
          <w:kern w:val="0"/>
          <w:sz w:val="28"/>
          <w:szCs w:val="28"/>
          <w:u w:val="none"/>
          <w:lang w:val="en-US" w:eastAsia="zh-CN" w:bidi="ar"/>
        </w:rPr>
        <w:t>-7.51~-0.72</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sz w:val="28"/>
          <w:szCs w:val="28"/>
          <w:highlight w:val="none"/>
        </w:rPr>
        <w:t>=</w:t>
      </w:r>
      <w:r>
        <w:rPr>
          <w:rFonts w:ascii="Times New Roman" w:hAnsi="Times New Roman" w:cs="Times New Roman"/>
          <w:sz w:val="28"/>
          <w:szCs w:val="28"/>
          <w:highlight w:val="none"/>
        </w:rPr>
        <w:t>0.</w:t>
      </w:r>
      <w:r>
        <w:rPr>
          <w:rFonts w:hint="eastAsia" w:ascii="Times New Roman" w:hAnsi="Times New Roman" w:cs="Times New Roman"/>
          <w:sz w:val="28"/>
          <w:szCs w:val="28"/>
          <w:highlight w:val="none"/>
        </w:rPr>
        <w:t>0</w:t>
      </w:r>
      <w:r>
        <w:rPr>
          <w:rFonts w:hint="eastAsia" w:ascii="Times New Roman" w:hAnsi="Times New Roman" w:cs="Times New Roman"/>
          <w:sz w:val="28"/>
          <w:szCs w:val="28"/>
          <w:highlight w:val="none"/>
          <w:lang w:val="en-US" w:eastAsia="zh-CN"/>
        </w:rPr>
        <w:t>19</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和-4.32</w:t>
      </w:r>
      <w:r>
        <w:rPr>
          <w:rFonts w:hint="default" w:ascii="Times New Roman" w:hAnsi="Times New Roman" w:cs="Times New Roman"/>
          <w:sz w:val="28"/>
          <w:szCs w:val="28"/>
          <w:highlight w:val="none"/>
        </w:rPr>
        <w:t>%</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hint="default" w:ascii="Times New Roman" w:hAnsi="Times New Roman" w:eastAsia="宋体" w:cs="Times New Roman"/>
          <w:i w:val="0"/>
          <w:iCs w:val="0"/>
          <w:color w:val="231F20"/>
          <w:kern w:val="0"/>
          <w:sz w:val="28"/>
          <w:szCs w:val="28"/>
          <w:u w:val="none"/>
          <w:lang w:val="en-US" w:eastAsia="zh-CN" w:bidi="ar"/>
        </w:rPr>
        <w:t>-8.19~-0.89</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i w:val="0"/>
          <w:iCs w:val="0"/>
          <w:sz w:val="28"/>
          <w:szCs w:val="28"/>
          <w:highlight w:val="none"/>
          <w:lang w:val="en-US" w:eastAsia="zh-CN"/>
        </w:rPr>
        <w:t>=0.015</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男性</w:t>
      </w:r>
      <w:r>
        <w:rPr>
          <w:rFonts w:hint="default" w:ascii="Times New Roman" w:hAnsi="Times New Roman" w:cs="Times New Roman"/>
          <w:sz w:val="28"/>
          <w:szCs w:val="28"/>
          <w:highlight w:val="none"/>
        </w:rPr>
        <w:t>年龄</w:t>
      </w:r>
      <w:r>
        <w:rPr>
          <w:rFonts w:hint="eastAsia" w:ascii="Times New Roman" w:hAnsi="Times New Roman" w:cs="Times New Roman"/>
          <w:sz w:val="28"/>
          <w:szCs w:val="28"/>
          <w:highlight w:val="none"/>
          <w:lang w:val="en-US" w:eastAsia="zh-CN"/>
        </w:rPr>
        <w:t>组死亡</w:t>
      </w:r>
      <w:r>
        <w:rPr>
          <w:rFonts w:hint="default" w:ascii="Times New Roman" w:hAnsi="Times New Roman" w:cs="Times New Roman"/>
          <w:sz w:val="28"/>
          <w:szCs w:val="28"/>
          <w:highlight w:val="none"/>
        </w:rPr>
        <w:t>率在</w:t>
      </w:r>
      <w:r>
        <w:rPr>
          <w:rFonts w:hint="eastAsia" w:ascii="Times New Roman" w:hAnsi="Times New Roman" w:cs="Times New Roman"/>
          <w:sz w:val="28"/>
          <w:szCs w:val="28"/>
          <w:highlight w:val="none"/>
          <w:lang w:val="en-US" w:eastAsia="zh-CN"/>
        </w:rPr>
        <w:t>40~44岁和50~54岁</w:t>
      </w:r>
      <w:r>
        <w:rPr>
          <w:rFonts w:hint="default" w:ascii="Times New Roman" w:hAnsi="Times New Roman" w:cs="Times New Roman"/>
          <w:sz w:val="28"/>
          <w:szCs w:val="28"/>
          <w:highlight w:val="none"/>
        </w:rPr>
        <w:t>组</w:t>
      </w:r>
      <w:r>
        <w:rPr>
          <w:rFonts w:hint="eastAsia" w:ascii="Times New Roman" w:hAnsi="Times New Roman" w:cs="Times New Roman"/>
          <w:sz w:val="28"/>
          <w:szCs w:val="28"/>
          <w:highlight w:val="none"/>
          <w:lang w:val="en-US" w:eastAsia="zh-CN"/>
        </w:rPr>
        <w:t>均</w:t>
      </w:r>
      <w:r>
        <w:rPr>
          <w:rFonts w:hint="default" w:ascii="Times New Roman" w:hAnsi="Times New Roman" w:cs="Times New Roman"/>
          <w:sz w:val="28"/>
          <w:szCs w:val="28"/>
          <w:highlight w:val="none"/>
        </w:rPr>
        <w:t>呈</w:t>
      </w:r>
      <w:r>
        <w:rPr>
          <w:rFonts w:hint="eastAsia" w:ascii="Times New Roman" w:hAnsi="Times New Roman" w:cs="Times New Roman"/>
          <w:sz w:val="28"/>
          <w:szCs w:val="28"/>
          <w:highlight w:val="none"/>
          <w:lang w:val="en-US" w:eastAsia="zh-CN"/>
        </w:rPr>
        <w:t>下降</w:t>
      </w:r>
      <w:r>
        <w:rPr>
          <w:rFonts w:hint="default" w:ascii="Times New Roman" w:hAnsi="Times New Roman" w:cs="Times New Roman"/>
          <w:sz w:val="28"/>
          <w:szCs w:val="28"/>
          <w:highlight w:val="none"/>
        </w:rPr>
        <w:t>趋势，AAPC</w:t>
      </w:r>
      <w:r>
        <w:rPr>
          <w:rFonts w:hint="eastAsia" w:ascii="Times New Roman" w:hAnsi="Times New Roman" w:cs="Times New Roman"/>
          <w:sz w:val="28"/>
          <w:szCs w:val="28"/>
          <w:highlight w:val="none"/>
          <w:lang w:val="en-US" w:eastAsia="zh-CN"/>
        </w:rPr>
        <w:t>分别</w:t>
      </w:r>
      <w:r>
        <w:rPr>
          <w:rFonts w:hint="default" w:ascii="Times New Roman" w:hAnsi="Times New Roman" w:cs="Times New Roman"/>
          <w:sz w:val="28"/>
          <w:szCs w:val="28"/>
          <w:highlight w:val="none"/>
        </w:rPr>
        <w:t>为</w:t>
      </w:r>
      <w:r>
        <w:rPr>
          <w:rFonts w:hint="eastAsia" w:ascii="Times New Roman" w:hAnsi="Times New Roman" w:cs="Times New Roman"/>
          <w:sz w:val="28"/>
          <w:szCs w:val="28"/>
          <w:highlight w:val="none"/>
          <w:lang w:val="en-US" w:eastAsia="zh-CN"/>
        </w:rPr>
        <w:t>-3.27</w:t>
      </w:r>
      <w:r>
        <w:rPr>
          <w:rFonts w:hint="default" w:ascii="Times New Roman" w:hAnsi="Times New Roman" w:cs="Times New Roman"/>
          <w:sz w:val="28"/>
          <w:szCs w:val="28"/>
          <w:highlight w:val="none"/>
        </w:rPr>
        <w:t>%</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hint="default" w:ascii="Times New Roman" w:hAnsi="Times New Roman" w:eastAsia="宋体" w:cs="Times New Roman"/>
          <w:i w:val="0"/>
          <w:iCs w:val="0"/>
          <w:color w:val="231F20"/>
          <w:kern w:val="0"/>
          <w:sz w:val="28"/>
          <w:szCs w:val="28"/>
          <w:u w:val="none"/>
          <w:lang w:val="en-US" w:eastAsia="zh-CN" w:bidi="ar"/>
        </w:rPr>
        <w:t>-6.75~-0.09</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sz w:val="28"/>
          <w:szCs w:val="28"/>
          <w:highlight w:val="none"/>
        </w:rPr>
        <w:t>=</w:t>
      </w:r>
      <w:r>
        <w:rPr>
          <w:rFonts w:ascii="Times New Roman" w:hAnsi="Times New Roman" w:cs="Times New Roman"/>
          <w:sz w:val="28"/>
          <w:szCs w:val="28"/>
          <w:highlight w:val="none"/>
        </w:rPr>
        <w:t>0.</w:t>
      </w:r>
      <w:r>
        <w:rPr>
          <w:rFonts w:hint="eastAsia" w:ascii="Times New Roman" w:hAnsi="Times New Roman" w:cs="Times New Roman"/>
          <w:sz w:val="28"/>
          <w:szCs w:val="28"/>
          <w:highlight w:val="none"/>
        </w:rPr>
        <w:t>0</w:t>
      </w:r>
      <w:r>
        <w:rPr>
          <w:rFonts w:hint="eastAsia" w:ascii="Times New Roman" w:hAnsi="Times New Roman" w:cs="Times New Roman"/>
          <w:sz w:val="28"/>
          <w:szCs w:val="28"/>
          <w:highlight w:val="none"/>
          <w:lang w:val="en-US" w:eastAsia="zh-CN"/>
        </w:rPr>
        <w:t>45</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和-4.01</w:t>
      </w:r>
      <w:r>
        <w:rPr>
          <w:rFonts w:hint="default" w:ascii="Times New Roman" w:hAnsi="Times New Roman" w:cs="Times New Roman"/>
          <w:sz w:val="28"/>
          <w:szCs w:val="28"/>
          <w:highlight w:val="none"/>
        </w:rPr>
        <w:t>%</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hint="default" w:ascii="Times New Roman" w:hAnsi="Times New Roman" w:eastAsia="宋体" w:cs="Times New Roman"/>
          <w:i w:val="0"/>
          <w:iCs w:val="0"/>
          <w:color w:val="231F20"/>
          <w:kern w:val="0"/>
          <w:sz w:val="28"/>
          <w:szCs w:val="28"/>
          <w:u w:val="none"/>
          <w:lang w:val="en-US" w:eastAsia="zh-CN" w:bidi="ar"/>
        </w:rPr>
        <w:t>-7.01~-1.04</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i w:val="0"/>
          <w:iCs w:val="0"/>
          <w:sz w:val="28"/>
          <w:szCs w:val="28"/>
          <w:highlight w:val="none"/>
          <w:lang w:val="en-US" w:eastAsia="zh-CN"/>
        </w:rPr>
        <w:t>=0.008</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女性</w:t>
      </w:r>
      <w:r>
        <w:rPr>
          <w:rFonts w:hint="default" w:ascii="Times New Roman" w:hAnsi="Times New Roman" w:cs="Times New Roman"/>
          <w:sz w:val="28"/>
          <w:szCs w:val="28"/>
          <w:highlight w:val="none"/>
        </w:rPr>
        <w:t>年龄</w:t>
      </w:r>
      <w:r>
        <w:rPr>
          <w:rFonts w:hint="eastAsia" w:ascii="Times New Roman" w:hAnsi="Times New Roman" w:cs="Times New Roman"/>
          <w:sz w:val="28"/>
          <w:szCs w:val="28"/>
          <w:highlight w:val="none"/>
          <w:lang w:val="en-US" w:eastAsia="zh-CN"/>
        </w:rPr>
        <w:t>组死亡</w:t>
      </w:r>
      <w:r>
        <w:rPr>
          <w:rFonts w:hint="default" w:ascii="Times New Roman" w:hAnsi="Times New Roman" w:cs="Times New Roman"/>
          <w:sz w:val="28"/>
          <w:szCs w:val="28"/>
          <w:highlight w:val="none"/>
        </w:rPr>
        <w:t>率在</w:t>
      </w:r>
      <w:r>
        <w:rPr>
          <w:rFonts w:hint="eastAsia" w:ascii="Times New Roman" w:hAnsi="Times New Roman" w:cs="Times New Roman"/>
          <w:sz w:val="28"/>
          <w:szCs w:val="28"/>
          <w:highlight w:val="none"/>
          <w:lang w:val="en-US" w:eastAsia="zh-CN"/>
        </w:rPr>
        <w:t>70~74岁</w:t>
      </w:r>
      <w:r>
        <w:rPr>
          <w:rFonts w:hint="default" w:ascii="Times New Roman" w:hAnsi="Times New Roman" w:cs="Times New Roman"/>
          <w:sz w:val="28"/>
          <w:szCs w:val="28"/>
          <w:highlight w:val="none"/>
        </w:rPr>
        <w:t>组呈</w:t>
      </w:r>
      <w:r>
        <w:rPr>
          <w:rFonts w:hint="eastAsia" w:ascii="Times New Roman" w:hAnsi="Times New Roman" w:cs="Times New Roman"/>
          <w:sz w:val="28"/>
          <w:szCs w:val="28"/>
          <w:highlight w:val="none"/>
          <w:lang w:val="en-US" w:eastAsia="zh-CN"/>
        </w:rPr>
        <w:t>下降</w:t>
      </w:r>
      <w:r>
        <w:rPr>
          <w:rFonts w:hint="default" w:ascii="Times New Roman" w:hAnsi="Times New Roman" w:cs="Times New Roman"/>
          <w:sz w:val="28"/>
          <w:szCs w:val="28"/>
          <w:highlight w:val="none"/>
        </w:rPr>
        <w:t>趋势，AAPC为</w:t>
      </w:r>
      <w:r>
        <w:rPr>
          <w:rFonts w:hint="eastAsia" w:ascii="Times New Roman" w:hAnsi="Times New Roman" w:cs="Times New Roman"/>
          <w:sz w:val="28"/>
          <w:szCs w:val="28"/>
          <w:highlight w:val="none"/>
          <w:lang w:val="en-US" w:eastAsia="zh-CN"/>
        </w:rPr>
        <w:t>-3.28</w:t>
      </w:r>
      <w:r>
        <w:rPr>
          <w:rFonts w:hint="default" w:ascii="Times New Roman" w:hAnsi="Times New Roman" w:cs="Times New Roman"/>
          <w:sz w:val="28"/>
          <w:szCs w:val="28"/>
          <w:highlight w:val="none"/>
        </w:rPr>
        <w:t>%</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hint="default" w:ascii="Times New Roman" w:hAnsi="Times New Roman" w:eastAsia="宋体" w:cs="Times New Roman"/>
          <w:i w:val="0"/>
          <w:iCs w:val="0"/>
          <w:color w:val="231F20"/>
          <w:kern w:val="0"/>
          <w:sz w:val="28"/>
          <w:szCs w:val="28"/>
          <w:u w:val="none"/>
          <w:lang w:val="en-US" w:eastAsia="zh-CN" w:bidi="ar"/>
        </w:rPr>
        <w:t>-5.50~-0.88</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sz w:val="28"/>
          <w:szCs w:val="28"/>
          <w:highlight w:val="none"/>
        </w:rPr>
        <w:t>=</w:t>
      </w:r>
      <w:r>
        <w:rPr>
          <w:rFonts w:ascii="Times New Roman" w:hAnsi="Times New Roman" w:cs="Times New Roman"/>
          <w:sz w:val="28"/>
          <w:szCs w:val="28"/>
          <w:highlight w:val="none"/>
        </w:rPr>
        <w:t>0.</w:t>
      </w:r>
      <w:r>
        <w:rPr>
          <w:rFonts w:hint="eastAsia" w:ascii="Times New Roman" w:hAnsi="Times New Roman" w:cs="Times New Roman"/>
          <w:sz w:val="28"/>
          <w:szCs w:val="28"/>
          <w:highlight w:val="none"/>
        </w:rPr>
        <w:t>0</w:t>
      </w:r>
      <w:r>
        <w:rPr>
          <w:rFonts w:hint="eastAsia" w:ascii="Times New Roman" w:hAnsi="Times New Roman" w:cs="Times New Roman"/>
          <w:sz w:val="28"/>
          <w:szCs w:val="28"/>
          <w:highlight w:val="none"/>
          <w:lang w:val="en-US" w:eastAsia="zh-CN"/>
        </w:rPr>
        <w:t>06</w:t>
      </w:r>
      <w:r>
        <w:rPr>
          <w:rFonts w:ascii="Times New Roman" w:hAnsi="Times New Roman" w:cs="Times New Roman"/>
          <w:sz w:val="28"/>
          <w:szCs w:val="28"/>
          <w:highlight w:val="none"/>
        </w:rPr>
        <w:t xml:space="preserve">）（Table </w:t>
      </w:r>
      <w:r>
        <w:rPr>
          <w:rFonts w:hint="eastAsia" w:ascii="Times New Roman" w:hAnsi="Times New Roman" w:cs="Times New Roman"/>
          <w:sz w:val="28"/>
          <w:szCs w:val="28"/>
          <w:highlight w:val="none"/>
          <w:lang w:val="en-US" w:eastAsia="zh-CN"/>
        </w:rPr>
        <w:t>5</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eastAsia="zh-CN"/>
        </w:rPr>
        <w:t>。</w:t>
      </w:r>
    </w:p>
    <w:p w14:paraId="209865D9">
      <w:pPr>
        <w:rPr>
          <w:rFonts w:hint="eastAsia" w:ascii="Times New Roman" w:hAnsi="Times New Roman" w:cs="Times New Roman"/>
          <w:sz w:val="28"/>
          <w:szCs w:val="28"/>
          <w:highlight w:val="none"/>
          <w:lang w:eastAsia="zh-CN"/>
        </w:rPr>
      </w:pPr>
      <w:r>
        <w:rPr>
          <w:rFonts w:hint="eastAsia" w:ascii="Times New Roman" w:hAnsi="Times New Roman" w:cs="Times New Roman"/>
          <w:sz w:val="28"/>
          <w:szCs w:val="28"/>
          <w:highlight w:val="none"/>
          <w:lang w:eastAsia="zh-CN"/>
        </w:rPr>
        <w:br w:type="page"/>
      </w:r>
    </w:p>
    <w:p w14:paraId="5918A744">
      <w:pPr>
        <w:spacing w:line="360" w:lineRule="auto"/>
        <w:jc w:val="center"/>
        <w:rPr>
          <w:rFonts w:hint="default" w:ascii="Times New Roman" w:hAnsi="Times New Roman" w:cs="Times New Roman"/>
          <w:lang w:val="en-US" w:eastAsia="zh-CN"/>
        </w:rPr>
        <w:sectPr>
          <w:pgSz w:w="11906" w:h="16838"/>
          <w:pgMar w:top="1440" w:right="1803" w:bottom="1440" w:left="1803" w:header="851" w:footer="992" w:gutter="0"/>
          <w:pgBorders>
            <w:top w:val="none" w:sz="0" w:space="0"/>
            <w:left w:val="none" w:sz="0" w:space="0"/>
            <w:bottom w:val="none" w:sz="0" w:space="0"/>
            <w:right w:val="none" w:sz="0" w:space="0"/>
          </w:pgBorders>
          <w:cols w:space="0" w:num="1"/>
          <w:titlePg/>
          <w:rtlGutter w:val="0"/>
          <w:docGrid w:type="lines" w:linePitch="319" w:charSpace="0"/>
        </w:sectPr>
      </w:pPr>
    </w:p>
    <w:p w14:paraId="72E24CD9">
      <w:pPr>
        <w:spacing w:line="360" w:lineRule="auto"/>
        <w:jc w:val="center"/>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Table 4 </w:t>
      </w:r>
      <w:r>
        <w:rPr>
          <w:rFonts w:hint="default" w:ascii="Times New Roman" w:hAnsi="Times New Roman" w:cs="Times New Roman"/>
          <w:highlight w:val="none"/>
        </w:rPr>
        <w:t xml:space="preserve">Trends in </w:t>
      </w:r>
      <w:r>
        <w:rPr>
          <w:rFonts w:hint="default" w:ascii="Times New Roman" w:hAnsi="Times New Roman" w:cs="Times New Roman"/>
          <w:sz w:val="24"/>
          <w:highlight w:val="none"/>
          <w:lang w:val="en-US" w:eastAsia="zh-CN"/>
        </w:rPr>
        <w:t>m</w:t>
      </w:r>
      <w:r>
        <w:rPr>
          <w:rFonts w:hint="default" w:ascii="Times New Roman" w:hAnsi="Times New Roman" w:cs="Times New Roman"/>
          <w:sz w:val="24"/>
          <w:highlight w:val="none"/>
        </w:rPr>
        <w:t>ortality</w:t>
      </w:r>
      <w:r>
        <w:rPr>
          <w:rFonts w:hint="default" w:ascii="Times New Roman" w:hAnsi="Times New Roman" w:cs="Times New Roman"/>
          <w:highlight w:val="none"/>
        </w:rPr>
        <w:t xml:space="preserve"> rates of malignant neoplasms by age group in Suining from 2018 to 2023</w:t>
      </w:r>
    </w:p>
    <w:tbl>
      <w:tblPr>
        <w:tblStyle w:val="7"/>
        <w:tblW w:w="14085"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0"/>
        <w:gridCol w:w="825"/>
        <w:gridCol w:w="810"/>
        <w:gridCol w:w="675"/>
        <w:gridCol w:w="1185"/>
        <w:gridCol w:w="780"/>
        <w:gridCol w:w="240"/>
        <w:gridCol w:w="855"/>
        <w:gridCol w:w="840"/>
        <w:gridCol w:w="735"/>
        <w:gridCol w:w="1185"/>
        <w:gridCol w:w="782"/>
        <w:gridCol w:w="222"/>
        <w:gridCol w:w="841"/>
        <w:gridCol w:w="735"/>
        <w:gridCol w:w="765"/>
        <w:gridCol w:w="1230"/>
        <w:gridCol w:w="690"/>
      </w:tblGrid>
      <w:tr w14:paraId="76CED540">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90" w:type="dxa"/>
            <w:vMerge w:val="restart"/>
            <w:tcBorders>
              <w:left w:val="nil"/>
              <w:bottom w:val="nil"/>
              <w:right w:val="nil"/>
            </w:tcBorders>
            <w:shd w:val="clear" w:color="auto" w:fill="auto"/>
            <w:noWrap/>
            <w:vAlign w:val="center"/>
          </w:tcPr>
          <w:p w14:paraId="0792908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Age group</w:t>
            </w:r>
          </w:p>
        </w:tc>
        <w:tc>
          <w:tcPr>
            <w:tcW w:w="4275" w:type="dxa"/>
            <w:gridSpan w:val="5"/>
            <w:tcBorders>
              <w:left w:val="nil"/>
              <w:bottom w:val="nil"/>
              <w:right w:val="nil"/>
            </w:tcBorders>
            <w:shd w:val="clear" w:color="auto" w:fill="auto"/>
            <w:noWrap/>
            <w:vAlign w:val="center"/>
          </w:tcPr>
          <w:p w14:paraId="31781E9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Both</w:t>
            </w:r>
          </w:p>
        </w:tc>
        <w:tc>
          <w:tcPr>
            <w:tcW w:w="240" w:type="dxa"/>
            <w:tcBorders>
              <w:left w:val="nil"/>
              <w:bottom w:val="nil"/>
              <w:right w:val="nil"/>
            </w:tcBorders>
            <w:shd w:val="clear" w:color="auto" w:fill="auto"/>
            <w:noWrap/>
            <w:vAlign w:val="center"/>
          </w:tcPr>
          <w:p w14:paraId="420F8C85">
            <w:pPr>
              <w:jc w:val="both"/>
              <w:rPr>
                <w:rFonts w:hint="default" w:ascii="Times New Roman" w:hAnsi="Times New Roman" w:eastAsia="宋体" w:cs="Times New Roman"/>
                <w:i w:val="0"/>
                <w:iCs w:val="0"/>
                <w:color w:val="000000"/>
                <w:sz w:val="18"/>
                <w:szCs w:val="18"/>
                <w:highlight w:val="none"/>
                <w:u w:val="none"/>
              </w:rPr>
            </w:pPr>
          </w:p>
        </w:tc>
        <w:tc>
          <w:tcPr>
            <w:tcW w:w="4397" w:type="dxa"/>
            <w:gridSpan w:val="5"/>
            <w:tcBorders>
              <w:left w:val="nil"/>
              <w:bottom w:val="nil"/>
              <w:right w:val="nil"/>
            </w:tcBorders>
            <w:shd w:val="clear" w:color="auto" w:fill="auto"/>
            <w:noWrap/>
            <w:vAlign w:val="center"/>
          </w:tcPr>
          <w:p w14:paraId="20D5CD1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Male</w:t>
            </w:r>
          </w:p>
        </w:tc>
        <w:tc>
          <w:tcPr>
            <w:tcW w:w="222" w:type="dxa"/>
            <w:tcBorders>
              <w:left w:val="nil"/>
              <w:bottom w:val="nil"/>
              <w:right w:val="nil"/>
            </w:tcBorders>
            <w:shd w:val="clear" w:color="auto" w:fill="auto"/>
            <w:noWrap/>
            <w:vAlign w:val="center"/>
          </w:tcPr>
          <w:p w14:paraId="6CD45DB7">
            <w:pPr>
              <w:jc w:val="both"/>
              <w:rPr>
                <w:rFonts w:hint="default" w:ascii="Times New Roman" w:hAnsi="Times New Roman" w:eastAsia="宋体" w:cs="Times New Roman"/>
                <w:i w:val="0"/>
                <w:iCs w:val="0"/>
                <w:color w:val="000000"/>
                <w:sz w:val="18"/>
                <w:szCs w:val="18"/>
                <w:highlight w:val="none"/>
                <w:u w:val="none"/>
              </w:rPr>
            </w:pPr>
          </w:p>
        </w:tc>
        <w:tc>
          <w:tcPr>
            <w:tcW w:w="4261" w:type="dxa"/>
            <w:gridSpan w:val="5"/>
            <w:tcBorders>
              <w:left w:val="nil"/>
              <w:bottom w:val="single" w:color="auto" w:sz="6" w:space="0"/>
              <w:right w:val="nil"/>
            </w:tcBorders>
            <w:shd w:val="clear" w:color="auto" w:fill="auto"/>
            <w:noWrap/>
            <w:vAlign w:val="center"/>
          </w:tcPr>
          <w:p w14:paraId="0F5F20C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Female</w:t>
            </w:r>
          </w:p>
        </w:tc>
      </w:tr>
      <w:tr w14:paraId="32F083E9">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vMerge w:val="continue"/>
            <w:tcBorders>
              <w:top w:val="nil"/>
              <w:left w:val="nil"/>
              <w:bottom w:val="nil"/>
              <w:right w:val="nil"/>
            </w:tcBorders>
            <w:shd w:val="clear" w:color="auto" w:fill="auto"/>
            <w:noWrap/>
            <w:vAlign w:val="center"/>
          </w:tcPr>
          <w:p w14:paraId="149689DD">
            <w:pPr>
              <w:jc w:val="center"/>
              <w:rPr>
                <w:rFonts w:hint="default" w:ascii="Times New Roman" w:hAnsi="Times New Roman" w:eastAsia="宋体" w:cs="Times New Roman"/>
                <w:i w:val="0"/>
                <w:iCs w:val="0"/>
                <w:color w:val="231F20"/>
                <w:sz w:val="18"/>
                <w:szCs w:val="18"/>
                <w:highlight w:val="none"/>
                <w:u w:val="none"/>
              </w:rPr>
            </w:pPr>
          </w:p>
        </w:tc>
        <w:tc>
          <w:tcPr>
            <w:tcW w:w="1635" w:type="dxa"/>
            <w:gridSpan w:val="2"/>
            <w:tcBorders>
              <w:top w:val="single" w:color="auto" w:sz="6" w:space="0"/>
              <w:left w:val="nil"/>
              <w:bottom w:val="single" w:color="auto" w:sz="6" w:space="0"/>
              <w:right w:val="nil"/>
            </w:tcBorders>
            <w:shd w:val="clear" w:color="auto" w:fill="auto"/>
            <w:noWrap/>
            <w:vAlign w:val="center"/>
          </w:tcPr>
          <w:p w14:paraId="2E99FAC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Crude rate（1/10</w:t>
            </w:r>
            <w:r>
              <w:rPr>
                <w:rFonts w:hint="default" w:ascii="Times New Roman" w:hAnsi="Times New Roman" w:eastAsia="宋体" w:cs="Times New Roman"/>
                <w:i w:val="0"/>
                <w:iCs w:val="0"/>
                <w:color w:val="231F20"/>
                <w:kern w:val="0"/>
                <w:sz w:val="18"/>
                <w:szCs w:val="18"/>
                <w:highlight w:val="none"/>
                <w:u w:val="none"/>
                <w:vertAlign w:val="superscript"/>
                <w:lang w:val="en-US" w:eastAsia="zh-CN" w:bidi="ar"/>
              </w:rPr>
              <w:t>5</w:t>
            </w:r>
            <w:r>
              <w:rPr>
                <w:rFonts w:hint="default" w:ascii="Times New Roman" w:hAnsi="Times New Roman" w:eastAsia="宋体" w:cs="Times New Roman"/>
                <w:i w:val="0"/>
                <w:iCs w:val="0"/>
                <w:color w:val="231F20"/>
                <w:kern w:val="0"/>
                <w:sz w:val="18"/>
                <w:szCs w:val="18"/>
                <w:highlight w:val="none"/>
                <w:u w:val="none"/>
                <w:lang w:val="en-US" w:eastAsia="zh-CN" w:bidi="ar"/>
              </w:rPr>
              <w:t>）</w:t>
            </w:r>
          </w:p>
        </w:tc>
        <w:tc>
          <w:tcPr>
            <w:tcW w:w="675" w:type="dxa"/>
            <w:vMerge w:val="restart"/>
            <w:tcBorders>
              <w:top w:val="single" w:color="auto" w:sz="6" w:space="0"/>
              <w:left w:val="nil"/>
              <w:bottom w:val="nil"/>
              <w:right w:val="nil"/>
            </w:tcBorders>
            <w:shd w:val="clear" w:color="auto" w:fill="auto"/>
            <w:vAlign w:val="center"/>
          </w:tcPr>
          <w:p w14:paraId="0F68641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AAPC（%）</w:t>
            </w:r>
          </w:p>
        </w:tc>
        <w:tc>
          <w:tcPr>
            <w:tcW w:w="1185" w:type="dxa"/>
            <w:vMerge w:val="restart"/>
            <w:tcBorders>
              <w:top w:val="single" w:color="auto" w:sz="6" w:space="0"/>
              <w:left w:val="nil"/>
              <w:bottom w:val="nil"/>
              <w:right w:val="nil"/>
            </w:tcBorders>
            <w:shd w:val="clear" w:color="auto" w:fill="auto"/>
            <w:vAlign w:val="center"/>
          </w:tcPr>
          <w:p w14:paraId="24C2493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95%</w:t>
            </w:r>
            <w:r>
              <w:rPr>
                <w:rFonts w:hint="default" w:ascii="Times New Roman" w:hAnsi="Times New Roman" w:eastAsia="宋体" w:cs="Times New Roman"/>
                <w:i/>
                <w:iCs/>
                <w:color w:val="231F20"/>
                <w:kern w:val="0"/>
                <w:sz w:val="18"/>
                <w:szCs w:val="18"/>
                <w:highlight w:val="none"/>
                <w:u w:val="none"/>
                <w:lang w:val="en-US" w:eastAsia="zh-CN" w:bidi="ar"/>
              </w:rPr>
              <w:t>CI</w:t>
            </w:r>
          </w:p>
        </w:tc>
        <w:tc>
          <w:tcPr>
            <w:tcW w:w="780" w:type="dxa"/>
            <w:vMerge w:val="restart"/>
            <w:tcBorders>
              <w:top w:val="nil"/>
              <w:left w:val="nil"/>
              <w:bottom w:val="nil"/>
              <w:right w:val="nil"/>
            </w:tcBorders>
            <w:shd w:val="clear" w:color="auto" w:fill="auto"/>
            <w:vAlign w:val="center"/>
          </w:tcPr>
          <w:p w14:paraId="1D27409E">
            <w:pPr>
              <w:keepNext w:val="0"/>
              <w:keepLines w:val="0"/>
              <w:widowControl/>
              <w:suppressLineNumbers w:val="0"/>
              <w:jc w:val="center"/>
              <w:textAlignment w:val="center"/>
              <w:rPr>
                <w:rFonts w:hint="default" w:ascii="Times New Roman" w:hAnsi="Times New Roman" w:eastAsia="宋体" w:cs="Times New Roman"/>
                <w:i/>
                <w:iCs/>
                <w:color w:val="231F20"/>
                <w:sz w:val="18"/>
                <w:szCs w:val="18"/>
                <w:highlight w:val="none"/>
                <w:u w:val="none"/>
              </w:rPr>
            </w:pPr>
            <w:r>
              <w:rPr>
                <w:rFonts w:hint="default" w:ascii="Times New Roman" w:hAnsi="Times New Roman" w:eastAsia="宋体" w:cs="Times New Roman"/>
                <w:i/>
                <w:iCs/>
                <w:color w:val="231F20"/>
                <w:kern w:val="0"/>
                <w:sz w:val="18"/>
                <w:szCs w:val="18"/>
                <w:highlight w:val="none"/>
                <w:u w:val="none"/>
                <w:lang w:val="en-US" w:eastAsia="zh-CN" w:bidi="ar"/>
              </w:rPr>
              <w:t>P</w:t>
            </w:r>
          </w:p>
        </w:tc>
        <w:tc>
          <w:tcPr>
            <w:tcW w:w="240" w:type="dxa"/>
            <w:tcBorders>
              <w:top w:val="nil"/>
              <w:left w:val="nil"/>
              <w:bottom w:val="nil"/>
              <w:right w:val="nil"/>
            </w:tcBorders>
            <w:shd w:val="clear" w:color="auto" w:fill="auto"/>
            <w:noWrap/>
            <w:vAlign w:val="center"/>
          </w:tcPr>
          <w:p w14:paraId="3FCBB9C6">
            <w:pPr>
              <w:jc w:val="center"/>
              <w:rPr>
                <w:rFonts w:hint="default" w:ascii="Times New Roman" w:hAnsi="Times New Roman" w:eastAsia="宋体" w:cs="Times New Roman"/>
                <w:i w:val="0"/>
                <w:iCs w:val="0"/>
                <w:color w:val="000000"/>
                <w:sz w:val="18"/>
                <w:szCs w:val="18"/>
                <w:highlight w:val="none"/>
                <w:u w:val="none"/>
              </w:rPr>
            </w:pPr>
          </w:p>
        </w:tc>
        <w:tc>
          <w:tcPr>
            <w:tcW w:w="1695" w:type="dxa"/>
            <w:gridSpan w:val="2"/>
            <w:tcBorders>
              <w:top w:val="single" w:color="auto" w:sz="6" w:space="0"/>
              <w:left w:val="nil"/>
              <w:bottom w:val="single" w:color="000000" w:sz="6" w:space="0"/>
              <w:right w:val="nil"/>
            </w:tcBorders>
            <w:shd w:val="clear" w:color="auto" w:fill="auto"/>
            <w:noWrap/>
            <w:vAlign w:val="center"/>
          </w:tcPr>
          <w:p w14:paraId="7D26E65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Crude rate（1/10</w:t>
            </w:r>
            <w:r>
              <w:rPr>
                <w:rFonts w:hint="default" w:ascii="Times New Roman" w:hAnsi="Times New Roman" w:eastAsia="宋体" w:cs="Times New Roman"/>
                <w:i w:val="0"/>
                <w:iCs w:val="0"/>
                <w:color w:val="231F20"/>
                <w:kern w:val="0"/>
                <w:sz w:val="18"/>
                <w:szCs w:val="18"/>
                <w:highlight w:val="none"/>
                <w:u w:val="none"/>
                <w:vertAlign w:val="superscript"/>
                <w:lang w:val="en-US" w:eastAsia="zh-CN" w:bidi="ar"/>
              </w:rPr>
              <w:t>5</w:t>
            </w:r>
            <w:r>
              <w:rPr>
                <w:rFonts w:hint="default" w:ascii="Times New Roman" w:hAnsi="Times New Roman" w:eastAsia="宋体" w:cs="Times New Roman"/>
                <w:i w:val="0"/>
                <w:iCs w:val="0"/>
                <w:color w:val="231F20"/>
                <w:kern w:val="0"/>
                <w:sz w:val="18"/>
                <w:szCs w:val="18"/>
                <w:highlight w:val="none"/>
                <w:u w:val="none"/>
                <w:lang w:val="en-US" w:eastAsia="zh-CN" w:bidi="ar"/>
              </w:rPr>
              <w:t>）</w:t>
            </w:r>
          </w:p>
        </w:tc>
        <w:tc>
          <w:tcPr>
            <w:tcW w:w="735" w:type="dxa"/>
            <w:vMerge w:val="restart"/>
            <w:tcBorders>
              <w:top w:val="single" w:color="auto" w:sz="6" w:space="0"/>
              <w:left w:val="nil"/>
              <w:bottom w:val="nil"/>
              <w:right w:val="nil"/>
            </w:tcBorders>
            <w:shd w:val="clear" w:color="auto" w:fill="auto"/>
            <w:vAlign w:val="center"/>
          </w:tcPr>
          <w:p w14:paraId="68B56C4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AAPC（%）</w:t>
            </w:r>
          </w:p>
        </w:tc>
        <w:tc>
          <w:tcPr>
            <w:tcW w:w="1185" w:type="dxa"/>
            <w:vMerge w:val="restart"/>
            <w:tcBorders>
              <w:top w:val="single" w:color="auto" w:sz="6" w:space="0"/>
              <w:left w:val="nil"/>
              <w:bottom w:val="nil"/>
              <w:right w:val="nil"/>
            </w:tcBorders>
            <w:shd w:val="clear" w:color="auto" w:fill="auto"/>
            <w:vAlign w:val="center"/>
          </w:tcPr>
          <w:p w14:paraId="674C1B7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95%</w:t>
            </w:r>
            <w:r>
              <w:rPr>
                <w:rFonts w:hint="default" w:ascii="Times New Roman" w:hAnsi="Times New Roman" w:eastAsia="宋体" w:cs="Times New Roman"/>
                <w:i/>
                <w:iCs/>
                <w:color w:val="231F20"/>
                <w:kern w:val="0"/>
                <w:sz w:val="18"/>
                <w:szCs w:val="18"/>
                <w:highlight w:val="none"/>
                <w:u w:val="none"/>
                <w:lang w:val="en-US" w:eastAsia="zh-CN" w:bidi="ar"/>
              </w:rPr>
              <w:t>CI</w:t>
            </w:r>
          </w:p>
        </w:tc>
        <w:tc>
          <w:tcPr>
            <w:tcW w:w="782" w:type="dxa"/>
            <w:vMerge w:val="restart"/>
            <w:tcBorders>
              <w:top w:val="nil"/>
              <w:left w:val="nil"/>
              <w:bottom w:val="nil"/>
              <w:right w:val="nil"/>
            </w:tcBorders>
            <w:shd w:val="clear" w:color="auto" w:fill="auto"/>
            <w:vAlign w:val="center"/>
          </w:tcPr>
          <w:p w14:paraId="3275D60E">
            <w:pPr>
              <w:keepNext w:val="0"/>
              <w:keepLines w:val="0"/>
              <w:widowControl/>
              <w:suppressLineNumbers w:val="0"/>
              <w:jc w:val="center"/>
              <w:textAlignment w:val="center"/>
              <w:rPr>
                <w:rFonts w:hint="default" w:ascii="Times New Roman" w:hAnsi="Times New Roman" w:eastAsia="宋体" w:cs="Times New Roman"/>
                <w:i/>
                <w:iCs/>
                <w:color w:val="231F20"/>
                <w:sz w:val="18"/>
                <w:szCs w:val="18"/>
                <w:highlight w:val="none"/>
                <w:u w:val="none"/>
              </w:rPr>
            </w:pPr>
            <w:r>
              <w:rPr>
                <w:rFonts w:hint="default" w:ascii="Times New Roman" w:hAnsi="Times New Roman" w:eastAsia="宋体" w:cs="Times New Roman"/>
                <w:i/>
                <w:iCs/>
                <w:color w:val="231F20"/>
                <w:kern w:val="0"/>
                <w:sz w:val="18"/>
                <w:szCs w:val="18"/>
                <w:highlight w:val="none"/>
                <w:u w:val="none"/>
                <w:lang w:val="en-US" w:eastAsia="zh-CN" w:bidi="ar"/>
              </w:rPr>
              <w:t>P</w:t>
            </w:r>
          </w:p>
        </w:tc>
        <w:tc>
          <w:tcPr>
            <w:tcW w:w="222" w:type="dxa"/>
            <w:tcBorders>
              <w:top w:val="nil"/>
              <w:left w:val="nil"/>
              <w:bottom w:val="nil"/>
              <w:right w:val="nil"/>
            </w:tcBorders>
            <w:shd w:val="clear" w:color="auto" w:fill="auto"/>
            <w:noWrap/>
            <w:vAlign w:val="center"/>
          </w:tcPr>
          <w:p w14:paraId="5589D1E7">
            <w:pPr>
              <w:jc w:val="center"/>
              <w:rPr>
                <w:rFonts w:hint="default" w:ascii="Times New Roman" w:hAnsi="Times New Roman" w:eastAsia="宋体" w:cs="Times New Roman"/>
                <w:i w:val="0"/>
                <w:iCs w:val="0"/>
                <w:color w:val="000000"/>
                <w:sz w:val="18"/>
                <w:szCs w:val="18"/>
                <w:highlight w:val="none"/>
                <w:u w:val="none"/>
              </w:rPr>
            </w:pPr>
          </w:p>
        </w:tc>
        <w:tc>
          <w:tcPr>
            <w:tcW w:w="1576" w:type="dxa"/>
            <w:gridSpan w:val="2"/>
            <w:tcBorders>
              <w:top w:val="single" w:color="auto" w:sz="6" w:space="0"/>
              <w:left w:val="nil"/>
              <w:bottom w:val="single" w:color="000000" w:sz="6" w:space="0"/>
              <w:right w:val="nil"/>
            </w:tcBorders>
            <w:shd w:val="clear" w:color="auto" w:fill="auto"/>
            <w:noWrap/>
            <w:vAlign w:val="center"/>
          </w:tcPr>
          <w:p w14:paraId="64E1519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Crude rate（1/10</w:t>
            </w:r>
            <w:r>
              <w:rPr>
                <w:rFonts w:hint="default" w:ascii="Times New Roman" w:hAnsi="Times New Roman" w:eastAsia="宋体" w:cs="Times New Roman"/>
                <w:i w:val="0"/>
                <w:iCs w:val="0"/>
                <w:color w:val="231F20"/>
                <w:kern w:val="0"/>
                <w:sz w:val="18"/>
                <w:szCs w:val="18"/>
                <w:highlight w:val="none"/>
                <w:u w:val="none"/>
                <w:vertAlign w:val="superscript"/>
                <w:lang w:val="en-US" w:eastAsia="zh-CN" w:bidi="ar"/>
              </w:rPr>
              <w:t>5</w:t>
            </w:r>
            <w:r>
              <w:rPr>
                <w:rFonts w:hint="default" w:ascii="Times New Roman" w:hAnsi="Times New Roman" w:eastAsia="宋体" w:cs="Times New Roman"/>
                <w:i w:val="0"/>
                <w:iCs w:val="0"/>
                <w:color w:val="231F20"/>
                <w:kern w:val="0"/>
                <w:sz w:val="18"/>
                <w:szCs w:val="18"/>
                <w:highlight w:val="none"/>
                <w:u w:val="none"/>
                <w:lang w:val="en-US" w:eastAsia="zh-CN" w:bidi="ar"/>
              </w:rPr>
              <w:t>）</w:t>
            </w:r>
          </w:p>
        </w:tc>
        <w:tc>
          <w:tcPr>
            <w:tcW w:w="765" w:type="dxa"/>
            <w:vMerge w:val="restart"/>
            <w:tcBorders>
              <w:top w:val="single" w:color="auto" w:sz="6" w:space="0"/>
              <w:left w:val="nil"/>
              <w:bottom w:val="nil"/>
              <w:right w:val="nil"/>
            </w:tcBorders>
            <w:shd w:val="clear" w:color="auto" w:fill="auto"/>
            <w:vAlign w:val="center"/>
          </w:tcPr>
          <w:p w14:paraId="63AC8BA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AAPC（%）</w:t>
            </w:r>
          </w:p>
        </w:tc>
        <w:tc>
          <w:tcPr>
            <w:tcW w:w="1230" w:type="dxa"/>
            <w:vMerge w:val="restart"/>
            <w:tcBorders>
              <w:top w:val="single" w:color="auto" w:sz="6" w:space="0"/>
              <w:left w:val="nil"/>
              <w:bottom w:val="nil"/>
              <w:right w:val="nil"/>
            </w:tcBorders>
            <w:shd w:val="clear" w:color="auto" w:fill="auto"/>
            <w:vAlign w:val="center"/>
          </w:tcPr>
          <w:p w14:paraId="3FCA24E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95%</w:t>
            </w:r>
            <w:r>
              <w:rPr>
                <w:rFonts w:hint="default" w:ascii="Times New Roman" w:hAnsi="Times New Roman" w:eastAsia="宋体" w:cs="Times New Roman"/>
                <w:i/>
                <w:iCs/>
                <w:color w:val="231F20"/>
                <w:kern w:val="0"/>
                <w:sz w:val="18"/>
                <w:szCs w:val="18"/>
                <w:highlight w:val="none"/>
                <w:u w:val="none"/>
                <w:lang w:val="en-US" w:eastAsia="zh-CN" w:bidi="ar"/>
              </w:rPr>
              <w:t>CI</w:t>
            </w:r>
          </w:p>
        </w:tc>
        <w:tc>
          <w:tcPr>
            <w:tcW w:w="690" w:type="dxa"/>
            <w:vMerge w:val="restart"/>
            <w:tcBorders>
              <w:top w:val="single" w:color="auto" w:sz="6" w:space="0"/>
              <w:left w:val="nil"/>
              <w:bottom w:val="nil"/>
              <w:right w:val="nil"/>
            </w:tcBorders>
            <w:shd w:val="clear" w:color="auto" w:fill="auto"/>
            <w:vAlign w:val="center"/>
          </w:tcPr>
          <w:p w14:paraId="49EBA084">
            <w:pPr>
              <w:keepNext w:val="0"/>
              <w:keepLines w:val="0"/>
              <w:widowControl/>
              <w:suppressLineNumbers w:val="0"/>
              <w:jc w:val="center"/>
              <w:textAlignment w:val="center"/>
              <w:rPr>
                <w:rFonts w:hint="default" w:ascii="Times New Roman" w:hAnsi="Times New Roman" w:eastAsia="宋体" w:cs="Times New Roman"/>
                <w:i/>
                <w:iCs/>
                <w:color w:val="231F20"/>
                <w:sz w:val="18"/>
                <w:szCs w:val="18"/>
                <w:highlight w:val="none"/>
                <w:u w:val="none"/>
              </w:rPr>
            </w:pPr>
            <w:r>
              <w:rPr>
                <w:rFonts w:hint="default" w:ascii="Times New Roman" w:hAnsi="Times New Roman" w:eastAsia="宋体" w:cs="Times New Roman"/>
                <w:i/>
                <w:iCs/>
                <w:color w:val="231F20"/>
                <w:kern w:val="0"/>
                <w:sz w:val="18"/>
                <w:szCs w:val="18"/>
                <w:highlight w:val="none"/>
                <w:u w:val="none"/>
                <w:lang w:val="en-US" w:eastAsia="zh-CN" w:bidi="ar"/>
              </w:rPr>
              <w:t>P</w:t>
            </w:r>
          </w:p>
        </w:tc>
      </w:tr>
      <w:tr w14:paraId="58D1B31C">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vMerge w:val="continue"/>
            <w:tcBorders>
              <w:top w:val="nil"/>
              <w:left w:val="nil"/>
              <w:bottom w:val="single" w:color="auto" w:sz="6" w:space="0"/>
              <w:right w:val="nil"/>
            </w:tcBorders>
            <w:shd w:val="clear" w:color="auto" w:fill="auto"/>
            <w:noWrap/>
            <w:vAlign w:val="center"/>
          </w:tcPr>
          <w:p w14:paraId="26003B5B">
            <w:pPr>
              <w:jc w:val="center"/>
              <w:rPr>
                <w:rFonts w:hint="default" w:ascii="Times New Roman" w:hAnsi="Times New Roman" w:eastAsia="宋体" w:cs="Times New Roman"/>
                <w:i w:val="0"/>
                <w:iCs w:val="0"/>
                <w:color w:val="231F20"/>
                <w:sz w:val="18"/>
                <w:szCs w:val="18"/>
                <w:highlight w:val="none"/>
                <w:u w:val="none"/>
              </w:rPr>
            </w:pPr>
          </w:p>
        </w:tc>
        <w:tc>
          <w:tcPr>
            <w:tcW w:w="825" w:type="dxa"/>
            <w:tcBorders>
              <w:top w:val="single" w:color="auto" w:sz="6" w:space="0"/>
              <w:left w:val="nil"/>
              <w:bottom w:val="single" w:color="auto" w:sz="6" w:space="0"/>
              <w:right w:val="nil"/>
            </w:tcBorders>
            <w:shd w:val="clear" w:color="auto" w:fill="auto"/>
            <w:noWrap/>
            <w:vAlign w:val="center"/>
          </w:tcPr>
          <w:p w14:paraId="3426938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2018</w:t>
            </w:r>
          </w:p>
        </w:tc>
        <w:tc>
          <w:tcPr>
            <w:tcW w:w="810" w:type="dxa"/>
            <w:tcBorders>
              <w:top w:val="single" w:color="auto" w:sz="6" w:space="0"/>
              <w:left w:val="nil"/>
              <w:bottom w:val="single" w:color="auto" w:sz="6" w:space="0"/>
              <w:right w:val="nil"/>
            </w:tcBorders>
            <w:shd w:val="clear" w:color="auto" w:fill="auto"/>
            <w:noWrap/>
            <w:vAlign w:val="center"/>
          </w:tcPr>
          <w:p w14:paraId="6384DD9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2023</w:t>
            </w:r>
          </w:p>
        </w:tc>
        <w:tc>
          <w:tcPr>
            <w:tcW w:w="675" w:type="dxa"/>
            <w:vMerge w:val="continue"/>
            <w:tcBorders>
              <w:top w:val="nil"/>
              <w:left w:val="nil"/>
              <w:bottom w:val="single" w:color="auto" w:sz="6" w:space="0"/>
              <w:right w:val="nil"/>
            </w:tcBorders>
            <w:shd w:val="clear" w:color="auto" w:fill="auto"/>
            <w:vAlign w:val="center"/>
          </w:tcPr>
          <w:p w14:paraId="5F4A2FDE">
            <w:pPr>
              <w:jc w:val="center"/>
              <w:rPr>
                <w:rFonts w:hint="default" w:ascii="Times New Roman" w:hAnsi="Times New Roman" w:eastAsia="宋体" w:cs="Times New Roman"/>
                <w:i w:val="0"/>
                <w:iCs w:val="0"/>
                <w:color w:val="231F20"/>
                <w:sz w:val="18"/>
                <w:szCs w:val="18"/>
                <w:highlight w:val="none"/>
                <w:u w:val="none"/>
              </w:rPr>
            </w:pPr>
          </w:p>
        </w:tc>
        <w:tc>
          <w:tcPr>
            <w:tcW w:w="1185" w:type="dxa"/>
            <w:vMerge w:val="continue"/>
            <w:tcBorders>
              <w:top w:val="nil"/>
              <w:left w:val="nil"/>
              <w:bottom w:val="single" w:color="auto" w:sz="6" w:space="0"/>
              <w:right w:val="nil"/>
            </w:tcBorders>
            <w:shd w:val="clear" w:color="auto" w:fill="auto"/>
            <w:vAlign w:val="center"/>
          </w:tcPr>
          <w:p w14:paraId="39749B8E">
            <w:pPr>
              <w:jc w:val="center"/>
              <w:rPr>
                <w:rFonts w:hint="default" w:ascii="Times New Roman" w:hAnsi="Times New Roman" w:eastAsia="宋体" w:cs="Times New Roman"/>
                <w:i w:val="0"/>
                <w:iCs w:val="0"/>
                <w:color w:val="231F20"/>
                <w:sz w:val="18"/>
                <w:szCs w:val="18"/>
                <w:highlight w:val="none"/>
                <w:u w:val="none"/>
              </w:rPr>
            </w:pPr>
          </w:p>
        </w:tc>
        <w:tc>
          <w:tcPr>
            <w:tcW w:w="780" w:type="dxa"/>
            <w:vMerge w:val="continue"/>
            <w:tcBorders>
              <w:top w:val="nil"/>
              <w:left w:val="nil"/>
              <w:bottom w:val="single" w:color="auto" w:sz="6" w:space="0"/>
              <w:right w:val="nil"/>
            </w:tcBorders>
            <w:shd w:val="clear" w:color="auto" w:fill="auto"/>
            <w:vAlign w:val="center"/>
          </w:tcPr>
          <w:p w14:paraId="732AF2F6">
            <w:pPr>
              <w:jc w:val="center"/>
              <w:rPr>
                <w:rFonts w:hint="default" w:ascii="Times New Roman" w:hAnsi="Times New Roman" w:eastAsia="宋体" w:cs="Times New Roman"/>
                <w:i/>
                <w:iCs/>
                <w:color w:val="231F20"/>
                <w:sz w:val="18"/>
                <w:szCs w:val="18"/>
                <w:highlight w:val="none"/>
                <w:u w:val="none"/>
              </w:rPr>
            </w:pPr>
          </w:p>
        </w:tc>
        <w:tc>
          <w:tcPr>
            <w:tcW w:w="240" w:type="dxa"/>
            <w:tcBorders>
              <w:top w:val="nil"/>
              <w:left w:val="nil"/>
              <w:bottom w:val="single" w:color="auto" w:sz="6" w:space="0"/>
              <w:right w:val="nil"/>
            </w:tcBorders>
            <w:shd w:val="clear" w:color="auto" w:fill="auto"/>
            <w:noWrap/>
            <w:vAlign w:val="center"/>
          </w:tcPr>
          <w:p w14:paraId="69354F93">
            <w:pPr>
              <w:jc w:val="center"/>
              <w:rPr>
                <w:rFonts w:hint="default" w:ascii="Times New Roman" w:hAnsi="Times New Roman" w:eastAsia="宋体" w:cs="Times New Roman"/>
                <w:i w:val="0"/>
                <w:iCs w:val="0"/>
                <w:color w:val="000000"/>
                <w:sz w:val="18"/>
                <w:szCs w:val="18"/>
                <w:highlight w:val="none"/>
                <w:u w:val="none"/>
              </w:rPr>
            </w:pPr>
          </w:p>
        </w:tc>
        <w:tc>
          <w:tcPr>
            <w:tcW w:w="855" w:type="dxa"/>
            <w:tcBorders>
              <w:top w:val="single" w:color="000000" w:sz="6" w:space="0"/>
              <w:left w:val="nil"/>
              <w:bottom w:val="single" w:color="auto" w:sz="6" w:space="0"/>
              <w:right w:val="nil"/>
            </w:tcBorders>
            <w:shd w:val="clear" w:color="auto" w:fill="auto"/>
            <w:noWrap/>
            <w:vAlign w:val="center"/>
          </w:tcPr>
          <w:p w14:paraId="00623D6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2018</w:t>
            </w:r>
          </w:p>
        </w:tc>
        <w:tc>
          <w:tcPr>
            <w:tcW w:w="840" w:type="dxa"/>
            <w:tcBorders>
              <w:top w:val="single" w:color="000000" w:sz="6" w:space="0"/>
              <w:left w:val="nil"/>
              <w:bottom w:val="single" w:color="auto" w:sz="6" w:space="0"/>
              <w:right w:val="nil"/>
            </w:tcBorders>
            <w:shd w:val="clear" w:color="auto" w:fill="auto"/>
            <w:noWrap/>
            <w:vAlign w:val="center"/>
          </w:tcPr>
          <w:p w14:paraId="74DDCCC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2023</w:t>
            </w:r>
          </w:p>
        </w:tc>
        <w:tc>
          <w:tcPr>
            <w:tcW w:w="735" w:type="dxa"/>
            <w:vMerge w:val="continue"/>
            <w:tcBorders>
              <w:top w:val="nil"/>
              <w:left w:val="nil"/>
              <w:bottom w:val="single" w:color="auto" w:sz="6" w:space="0"/>
              <w:right w:val="nil"/>
            </w:tcBorders>
            <w:shd w:val="clear" w:color="auto" w:fill="auto"/>
            <w:vAlign w:val="center"/>
          </w:tcPr>
          <w:p w14:paraId="6DABC2EA">
            <w:pPr>
              <w:jc w:val="center"/>
              <w:rPr>
                <w:rFonts w:hint="default" w:ascii="Times New Roman" w:hAnsi="Times New Roman" w:eastAsia="宋体" w:cs="Times New Roman"/>
                <w:i w:val="0"/>
                <w:iCs w:val="0"/>
                <w:color w:val="231F20"/>
                <w:sz w:val="18"/>
                <w:szCs w:val="18"/>
                <w:highlight w:val="none"/>
                <w:u w:val="none"/>
              </w:rPr>
            </w:pPr>
          </w:p>
        </w:tc>
        <w:tc>
          <w:tcPr>
            <w:tcW w:w="1185" w:type="dxa"/>
            <w:vMerge w:val="continue"/>
            <w:tcBorders>
              <w:top w:val="nil"/>
              <w:left w:val="nil"/>
              <w:bottom w:val="single" w:color="auto" w:sz="6" w:space="0"/>
              <w:right w:val="nil"/>
            </w:tcBorders>
            <w:shd w:val="clear" w:color="auto" w:fill="auto"/>
            <w:vAlign w:val="center"/>
          </w:tcPr>
          <w:p w14:paraId="2BE98EA4">
            <w:pPr>
              <w:jc w:val="center"/>
              <w:rPr>
                <w:rFonts w:hint="default" w:ascii="Times New Roman" w:hAnsi="Times New Roman" w:eastAsia="宋体" w:cs="Times New Roman"/>
                <w:i w:val="0"/>
                <w:iCs w:val="0"/>
                <w:color w:val="231F20"/>
                <w:sz w:val="18"/>
                <w:szCs w:val="18"/>
                <w:highlight w:val="none"/>
                <w:u w:val="none"/>
              </w:rPr>
            </w:pPr>
          </w:p>
        </w:tc>
        <w:tc>
          <w:tcPr>
            <w:tcW w:w="782" w:type="dxa"/>
            <w:vMerge w:val="continue"/>
            <w:tcBorders>
              <w:top w:val="nil"/>
              <w:left w:val="nil"/>
              <w:bottom w:val="single" w:color="auto" w:sz="6" w:space="0"/>
              <w:right w:val="nil"/>
            </w:tcBorders>
            <w:shd w:val="clear" w:color="auto" w:fill="auto"/>
            <w:vAlign w:val="center"/>
          </w:tcPr>
          <w:p w14:paraId="68437CB7">
            <w:pPr>
              <w:jc w:val="center"/>
              <w:rPr>
                <w:rFonts w:hint="default" w:ascii="Times New Roman" w:hAnsi="Times New Roman" w:eastAsia="宋体" w:cs="Times New Roman"/>
                <w:i/>
                <w:iCs/>
                <w:color w:val="231F20"/>
                <w:sz w:val="18"/>
                <w:szCs w:val="18"/>
                <w:highlight w:val="none"/>
                <w:u w:val="none"/>
              </w:rPr>
            </w:pPr>
          </w:p>
        </w:tc>
        <w:tc>
          <w:tcPr>
            <w:tcW w:w="222" w:type="dxa"/>
            <w:tcBorders>
              <w:top w:val="nil"/>
              <w:left w:val="nil"/>
              <w:bottom w:val="single" w:color="auto" w:sz="6" w:space="0"/>
              <w:right w:val="nil"/>
            </w:tcBorders>
            <w:shd w:val="clear" w:color="auto" w:fill="auto"/>
            <w:noWrap/>
            <w:vAlign w:val="center"/>
          </w:tcPr>
          <w:p w14:paraId="730E6B37">
            <w:pPr>
              <w:jc w:val="center"/>
              <w:rPr>
                <w:rFonts w:hint="default" w:ascii="Times New Roman" w:hAnsi="Times New Roman" w:eastAsia="宋体" w:cs="Times New Roman"/>
                <w:i w:val="0"/>
                <w:iCs w:val="0"/>
                <w:color w:val="000000"/>
                <w:sz w:val="18"/>
                <w:szCs w:val="18"/>
                <w:highlight w:val="none"/>
                <w:u w:val="none"/>
              </w:rPr>
            </w:pPr>
          </w:p>
        </w:tc>
        <w:tc>
          <w:tcPr>
            <w:tcW w:w="841" w:type="dxa"/>
            <w:tcBorders>
              <w:top w:val="single" w:color="000000" w:sz="6" w:space="0"/>
              <w:left w:val="nil"/>
              <w:bottom w:val="single" w:color="auto" w:sz="6" w:space="0"/>
              <w:right w:val="nil"/>
            </w:tcBorders>
            <w:shd w:val="clear" w:color="auto" w:fill="auto"/>
            <w:noWrap/>
            <w:vAlign w:val="center"/>
          </w:tcPr>
          <w:p w14:paraId="105C7C7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2018</w:t>
            </w:r>
          </w:p>
        </w:tc>
        <w:tc>
          <w:tcPr>
            <w:tcW w:w="735" w:type="dxa"/>
            <w:tcBorders>
              <w:top w:val="single" w:color="000000" w:sz="6" w:space="0"/>
              <w:left w:val="nil"/>
              <w:bottom w:val="single" w:color="auto" w:sz="6" w:space="0"/>
              <w:right w:val="nil"/>
            </w:tcBorders>
            <w:shd w:val="clear" w:color="auto" w:fill="auto"/>
            <w:noWrap/>
            <w:vAlign w:val="center"/>
          </w:tcPr>
          <w:p w14:paraId="7306D58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2023</w:t>
            </w:r>
          </w:p>
        </w:tc>
        <w:tc>
          <w:tcPr>
            <w:tcW w:w="765" w:type="dxa"/>
            <w:vMerge w:val="continue"/>
            <w:tcBorders>
              <w:top w:val="nil"/>
              <w:left w:val="nil"/>
              <w:bottom w:val="single" w:color="auto" w:sz="6" w:space="0"/>
              <w:right w:val="nil"/>
            </w:tcBorders>
            <w:shd w:val="clear" w:color="auto" w:fill="auto"/>
            <w:vAlign w:val="center"/>
          </w:tcPr>
          <w:p w14:paraId="1F3BCE14">
            <w:pPr>
              <w:jc w:val="center"/>
              <w:rPr>
                <w:rFonts w:hint="default" w:ascii="Times New Roman" w:hAnsi="Times New Roman" w:eastAsia="宋体" w:cs="Times New Roman"/>
                <w:i w:val="0"/>
                <w:iCs w:val="0"/>
                <w:color w:val="231F20"/>
                <w:sz w:val="18"/>
                <w:szCs w:val="18"/>
                <w:highlight w:val="none"/>
                <w:u w:val="none"/>
              </w:rPr>
            </w:pPr>
          </w:p>
        </w:tc>
        <w:tc>
          <w:tcPr>
            <w:tcW w:w="1230" w:type="dxa"/>
            <w:vMerge w:val="continue"/>
            <w:tcBorders>
              <w:top w:val="nil"/>
              <w:left w:val="nil"/>
              <w:bottom w:val="single" w:color="auto" w:sz="6" w:space="0"/>
              <w:right w:val="nil"/>
            </w:tcBorders>
            <w:shd w:val="clear" w:color="auto" w:fill="auto"/>
            <w:vAlign w:val="center"/>
          </w:tcPr>
          <w:p w14:paraId="3C8B11CD">
            <w:pPr>
              <w:jc w:val="center"/>
              <w:rPr>
                <w:rFonts w:hint="default" w:ascii="Times New Roman" w:hAnsi="Times New Roman" w:eastAsia="宋体" w:cs="Times New Roman"/>
                <w:i w:val="0"/>
                <w:iCs w:val="0"/>
                <w:color w:val="231F20"/>
                <w:sz w:val="18"/>
                <w:szCs w:val="18"/>
                <w:highlight w:val="none"/>
                <w:u w:val="none"/>
              </w:rPr>
            </w:pPr>
          </w:p>
        </w:tc>
        <w:tc>
          <w:tcPr>
            <w:tcW w:w="690" w:type="dxa"/>
            <w:vMerge w:val="continue"/>
            <w:tcBorders>
              <w:top w:val="nil"/>
              <w:left w:val="nil"/>
              <w:bottom w:val="single" w:color="auto" w:sz="6" w:space="0"/>
              <w:right w:val="nil"/>
            </w:tcBorders>
            <w:shd w:val="clear" w:color="auto" w:fill="auto"/>
            <w:vAlign w:val="center"/>
          </w:tcPr>
          <w:p w14:paraId="5E2D3267">
            <w:pPr>
              <w:jc w:val="center"/>
              <w:rPr>
                <w:rFonts w:hint="default" w:ascii="Times New Roman" w:hAnsi="Times New Roman" w:eastAsia="宋体" w:cs="Times New Roman"/>
                <w:i/>
                <w:iCs/>
                <w:color w:val="231F20"/>
                <w:sz w:val="18"/>
                <w:szCs w:val="18"/>
                <w:highlight w:val="none"/>
                <w:u w:val="none"/>
              </w:rPr>
            </w:pPr>
          </w:p>
        </w:tc>
      </w:tr>
      <w:tr w14:paraId="6FA593CF">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single" w:color="auto" w:sz="6" w:space="0"/>
              <w:left w:val="nil"/>
              <w:bottom w:val="nil"/>
              <w:right w:val="nil"/>
            </w:tcBorders>
            <w:shd w:val="clear" w:color="auto" w:fill="auto"/>
            <w:noWrap/>
            <w:vAlign w:val="center"/>
          </w:tcPr>
          <w:p w14:paraId="78BB3B9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0~19</w:t>
            </w:r>
          </w:p>
        </w:tc>
        <w:tc>
          <w:tcPr>
            <w:tcW w:w="825" w:type="dxa"/>
            <w:tcBorders>
              <w:top w:val="single" w:color="auto" w:sz="6" w:space="0"/>
              <w:left w:val="nil"/>
              <w:bottom w:val="nil"/>
              <w:right w:val="nil"/>
            </w:tcBorders>
            <w:shd w:val="clear" w:color="auto" w:fill="auto"/>
            <w:noWrap/>
            <w:vAlign w:val="center"/>
          </w:tcPr>
          <w:p w14:paraId="3CABDE7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8.06 </w:t>
            </w:r>
          </w:p>
        </w:tc>
        <w:tc>
          <w:tcPr>
            <w:tcW w:w="810" w:type="dxa"/>
            <w:tcBorders>
              <w:top w:val="single" w:color="auto" w:sz="6" w:space="0"/>
              <w:left w:val="nil"/>
              <w:bottom w:val="nil"/>
              <w:right w:val="nil"/>
            </w:tcBorders>
            <w:shd w:val="clear" w:color="auto" w:fill="auto"/>
            <w:noWrap/>
            <w:vAlign w:val="center"/>
          </w:tcPr>
          <w:p w14:paraId="6329E54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7.70 </w:t>
            </w:r>
          </w:p>
        </w:tc>
        <w:tc>
          <w:tcPr>
            <w:tcW w:w="675" w:type="dxa"/>
            <w:tcBorders>
              <w:top w:val="single" w:color="auto" w:sz="6" w:space="0"/>
              <w:left w:val="nil"/>
              <w:bottom w:val="nil"/>
              <w:right w:val="nil"/>
            </w:tcBorders>
            <w:shd w:val="clear" w:color="auto" w:fill="auto"/>
            <w:noWrap/>
            <w:vAlign w:val="center"/>
          </w:tcPr>
          <w:p w14:paraId="0C34168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-3.03 </w:t>
            </w:r>
          </w:p>
        </w:tc>
        <w:tc>
          <w:tcPr>
            <w:tcW w:w="1185" w:type="dxa"/>
            <w:tcBorders>
              <w:top w:val="single" w:color="auto" w:sz="6" w:space="0"/>
              <w:left w:val="nil"/>
              <w:bottom w:val="nil"/>
              <w:right w:val="nil"/>
            </w:tcBorders>
            <w:shd w:val="clear" w:color="auto" w:fill="auto"/>
            <w:noWrap/>
            <w:vAlign w:val="center"/>
          </w:tcPr>
          <w:p w14:paraId="116729C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-16.45~11.07</w:t>
            </w:r>
          </w:p>
        </w:tc>
        <w:tc>
          <w:tcPr>
            <w:tcW w:w="780" w:type="dxa"/>
            <w:tcBorders>
              <w:top w:val="single" w:color="auto" w:sz="6" w:space="0"/>
              <w:left w:val="nil"/>
              <w:bottom w:val="nil"/>
              <w:right w:val="nil"/>
            </w:tcBorders>
            <w:shd w:val="clear" w:color="auto" w:fill="auto"/>
            <w:noWrap/>
            <w:vAlign w:val="center"/>
          </w:tcPr>
          <w:p w14:paraId="68DDDDB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0.579 </w:t>
            </w:r>
          </w:p>
        </w:tc>
        <w:tc>
          <w:tcPr>
            <w:tcW w:w="240" w:type="dxa"/>
            <w:tcBorders>
              <w:top w:val="single" w:color="auto" w:sz="6" w:space="0"/>
              <w:left w:val="nil"/>
              <w:bottom w:val="nil"/>
              <w:right w:val="nil"/>
            </w:tcBorders>
            <w:shd w:val="clear" w:color="auto" w:fill="auto"/>
            <w:noWrap/>
            <w:vAlign w:val="center"/>
          </w:tcPr>
          <w:p w14:paraId="43463357">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single" w:color="auto" w:sz="6" w:space="0"/>
              <w:left w:val="nil"/>
              <w:bottom w:val="nil"/>
              <w:right w:val="nil"/>
            </w:tcBorders>
            <w:shd w:val="clear" w:color="auto" w:fill="auto"/>
            <w:noWrap/>
            <w:vAlign w:val="center"/>
          </w:tcPr>
          <w:p w14:paraId="2CC5DA4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9.11 </w:t>
            </w:r>
          </w:p>
        </w:tc>
        <w:tc>
          <w:tcPr>
            <w:tcW w:w="840" w:type="dxa"/>
            <w:tcBorders>
              <w:top w:val="single" w:color="auto" w:sz="6" w:space="0"/>
              <w:left w:val="nil"/>
              <w:bottom w:val="nil"/>
              <w:right w:val="nil"/>
            </w:tcBorders>
            <w:shd w:val="clear" w:color="auto" w:fill="auto"/>
            <w:noWrap/>
            <w:vAlign w:val="center"/>
          </w:tcPr>
          <w:p w14:paraId="7CF64A1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7.06 </w:t>
            </w:r>
          </w:p>
        </w:tc>
        <w:tc>
          <w:tcPr>
            <w:tcW w:w="735" w:type="dxa"/>
            <w:tcBorders>
              <w:top w:val="single" w:color="auto" w:sz="6" w:space="0"/>
              <w:left w:val="nil"/>
              <w:bottom w:val="nil"/>
              <w:right w:val="nil"/>
            </w:tcBorders>
            <w:shd w:val="clear" w:color="auto" w:fill="auto"/>
            <w:noWrap/>
            <w:vAlign w:val="center"/>
          </w:tcPr>
          <w:p w14:paraId="067B50E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-4.49 </w:t>
            </w:r>
          </w:p>
        </w:tc>
        <w:tc>
          <w:tcPr>
            <w:tcW w:w="1185" w:type="dxa"/>
            <w:tcBorders>
              <w:top w:val="single" w:color="auto" w:sz="6" w:space="0"/>
              <w:left w:val="nil"/>
              <w:bottom w:val="nil"/>
              <w:right w:val="nil"/>
            </w:tcBorders>
            <w:shd w:val="clear" w:color="auto" w:fill="auto"/>
            <w:noWrap/>
            <w:vAlign w:val="center"/>
          </w:tcPr>
          <w:p w14:paraId="5EB95D5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-13.07~3.81</w:t>
            </w:r>
          </w:p>
        </w:tc>
        <w:tc>
          <w:tcPr>
            <w:tcW w:w="782" w:type="dxa"/>
            <w:tcBorders>
              <w:top w:val="single" w:color="auto" w:sz="6" w:space="0"/>
              <w:left w:val="nil"/>
              <w:bottom w:val="nil"/>
              <w:right w:val="nil"/>
            </w:tcBorders>
            <w:shd w:val="clear" w:color="auto" w:fill="auto"/>
            <w:noWrap/>
            <w:vAlign w:val="center"/>
          </w:tcPr>
          <w:p w14:paraId="0C6DB91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0.280 </w:t>
            </w:r>
          </w:p>
        </w:tc>
        <w:tc>
          <w:tcPr>
            <w:tcW w:w="222" w:type="dxa"/>
            <w:tcBorders>
              <w:top w:val="single" w:color="auto" w:sz="6" w:space="0"/>
              <w:left w:val="nil"/>
              <w:bottom w:val="nil"/>
              <w:right w:val="nil"/>
            </w:tcBorders>
            <w:shd w:val="clear" w:color="auto" w:fill="auto"/>
            <w:noWrap/>
            <w:vAlign w:val="center"/>
          </w:tcPr>
          <w:p w14:paraId="11651F4A">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single" w:color="auto" w:sz="6" w:space="0"/>
              <w:left w:val="nil"/>
              <w:bottom w:val="nil"/>
              <w:right w:val="nil"/>
            </w:tcBorders>
            <w:shd w:val="clear" w:color="auto" w:fill="auto"/>
            <w:noWrap/>
            <w:vAlign w:val="center"/>
          </w:tcPr>
          <w:p w14:paraId="7E3CC75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6.91 </w:t>
            </w:r>
          </w:p>
        </w:tc>
        <w:tc>
          <w:tcPr>
            <w:tcW w:w="735" w:type="dxa"/>
            <w:tcBorders>
              <w:top w:val="single" w:color="auto" w:sz="6" w:space="0"/>
              <w:left w:val="nil"/>
              <w:bottom w:val="nil"/>
              <w:right w:val="nil"/>
            </w:tcBorders>
            <w:shd w:val="clear" w:color="auto" w:fill="auto"/>
            <w:noWrap/>
            <w:vAlign w:val="center"/>
          </w:tcPr>
          <w:p w14:paraId="21BB0DD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8.40 </w:t>
            </w:r>
          </w:p>
        </w:tc>
        <w:tc>
          <w:tcPr>
            <w:tcW w:w="765" w:type="dxa"/>
            <w:tcBorders>
              <w:top w:val="single" w:color="auto" w:sz="6" w:space="0"/>
              <w:left w:val="nil"/>
              <w:bottom w:val="nil"/>
              <w:right w:val="nil"/>
            </w:tcBorders>
            <w:shd w:val="clear" w:color="auto" w:fill="auto"/>
            <w:noWrap/>
            <w:vAlign w:val="center"/>
          </w:tcPr>
          <w:p w14:paraId="6D52242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-0.36 </w:t>
            </w:r>
          </w:p>
        </w:tc>
        <w:tc>
          <w:tcPr>
            <w:tcW w:w="1230" w:type="dxa"/>
            <w:tcBorders>
              <w:top w:val="single" w:color="auto" w:sz="6" w:space="0"/>
              <w:left w:val="nil"/>
              <w:bottom w:val="nil"/>
              <w:right w:val="nil"/>
            </w:tcBorders>
            <w:shd w:val="clear" w:color="auto" w:fill="auto"/>
            <w:noWrap/>
            <w:vAlign w:val="center"/>
          </w:tcPr>
          <w:p w14:paraId="5FC7AB1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-19.78~20.84</w:t>
            </w:r>
          </w:p>
        </w:tc>
        <w:tc>
          <w:tcPr>
            <w:tcW w:w="690" w:type="dxa"/>
            <w:tcBorders>
              <w:top w:val="single" w:color="auto" w:sz="6" w:space="0"/>
              <w:left w:val="nil"/>
              <w:bottom w:val="nil"/>
              <w:right w:val="nil"/>
            </w:tcBorders>
            <w:shd w:val="clear" w:color="auto" w:fill="auto"/>
            <w:noWrap/>
            <w:vAlign w:val="center"/>
          </w:tcPr>
          <w:p w14:paraId="43BE3AE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0.937 </w:t>
            </w:r>
          </w:p>
        </w:tc>
      </w:tr>
      <w:tr w14:paraId="77EBDD98">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5C3167D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20~24</w:t>
            </w:r>
          </w:p>
        </w:tc>
        <w:tc>
          <w:tcPr>
            <w:tcW w:w="825" w:type="dxa"/>
            <w:tcBorders>
              <w:top w:val="nil"/>
              <w:left w:val="nil"/>
              <w:bottom w:val="nil"/>
              <w:right w:val="nil"/>
            </w:tcBorders>
            <w:shd w:val="clear" w:color="auto" w:fill="auto"/>
            <w:noWrap/>
            <w:vAlign w:val="center"/>
          </w:tcPr>
          <w:p w14:paraId="61746BD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15.88 </w:t>
            </w:r>
          </w:p>
        </w:tc>
        <w:tc>
          <w:tcPr>
            <w:tcW w:w="810" w:type="dxa"/>
            <w:tcBorders>
              <w:top w:val="nil"/>
              <w:left w:val="nil"/>
              <w:bottom w:val="nil"/>
              <w:right w:val="nil"/>
            </w:tcBorders>
            <w:shd w:val="clear" w:color="auto" w:fill="auto"/>
            <w:noWrap/>
            <w:vAlign w:val="center"/>
          </w:tcPr>
          <w:p w14:paraId="3F063F9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12.93 </w:t>
            </w:r>
          </w:p>
        </w:tc>
        <w:tc>
          <w:tcPr>
            <w:tcW w:w="675" w:type="dxa"/>
            <w:tcBorders>
              <w:top w:val="nil"/>
              <w:left w:val="nil"/>
              <w:bottom w:val="nil"/>
              <w:right w:val="nil"/>
            </w:tcBorders>
            <w:shd w:val="clear" w:color="auto" w:fill="auto"/>
            <w:noWrap/>
            <w:vAlign w:val="center"/>
          </w:tcPr>
          <w:p w14:paraId="2312854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-4.51 </w:t>
            </w:r>
          </w:p>
        </w:tc>
        <w:tc>
          <w:tcPr>
            <w:tcW w:w="1185" w:type="dxa"/>
            <w:tcBorders>
              <w:top w:val="nil"/>
              <w:left w:val="nil"/>
              <w:bottom w:val="nil"/>
              <w:right w:val="nil"/>
            </w:tcBorders>
            <w:shd w:val="clear" w:color="auto" w:fill="auto"/>
            <w:noWrap/>
            <w:vAlign w:val="center"/>
          </w:tcPr>
          <w:p w14:paraId="3A4C8AB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-15.64~5.81</w:t>
            </w:r>
          </w:p>
        </w:tc>
        <w:tc>
          <w:tcPr>
            <w:tcW w:w="780" w:type="dxa"/>
            <w:tcBorders>
              <w:top w:val="nil"/>
              <w:left w:val="nil"/>
              <w:bottom w:val="nil"/>
              <w:right w:val="nil"/>
            </w:tcBorders>
            <w:shd w:val="clear" w:color="auto" w:fill="auto"/>
            <w:noWrap/>
            <w:vAlign w:val="center"/>
          </w:tcPr>
          <w:p w14:paraId="65B6FD8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0.345 </w:t>
            </w:r>
          </w:p>
        </w:tc>
        <w:tc>
          <w:tcPr>
            <w:tcW w:w="240" w:type="dxa"/>
            <w:tcBorders>
              <w:top w:val="nil"/>
              <w:left w:val="nil"/>
              <w:bottom w:val="nil"/>
              <w:right w:val="nil"/>
            </w:tcBorders>
            <w:shd w:val="clear" w:color="auto" w:fill="auto"/>
            <w:noWrap/>
            <w:vAlign w:val="center"/>
          </w:tcPr>
          <w:p w14:paraId="22A51777">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05D5F94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13.49 </w:t>
            </w:r>
          </w:p>
        </w:tc>
        <w:tc>
          <w:tcPr>
            <w:tcW w:w="840" w:type="dxa"/>
            <w:tcBorders>
              <w:top w:val="nil"/>
              <w:left w:val="nil"/>
              <w:bottom w:val="nil"/>
              <w:right w:val="nil"/>
            </w:tcBorders>
            <w:shd w:val="clear" w:color="auto" w:fill="auto"/>
            <w:noWrap/>
            <w:vAlign w:val="center"/>
          </w:tcPr>
          <w:p w14:paraId="59CD447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9.77 </w:t>
            </w:r>
          </w:p>
        </w:tc>
        <w:tc>
          <w:tcPr>
            <w:tcW w:w="735" w:type="dxa"/>
            <w:tcBorders>
              <w:top w:val="nil"/>
              <w:left w:val="nil"/>
              <w:bottom w:val="nil"/>
              <w:right w:val="nil"/>
            </w:tcBorders>
            <w:shd w:val="clear" w:color="auto" w:fill="auto"/>
            <w:noWrap/>
            <w:vAlign w:val="center"/>
          </w:tcPr>
          <w:p w14:paraId="6D9CE36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-8.49 </w:t>
            </w:r>
          </w:p>
        </w:tc>
        <w:tc>
          <w:tcPr>
            <w:tcW w:w="1185" w:type="dxa"/>
            <w:tcBorders>
              <w:top w:val="nil"/>
              <w:left w:val="nil"/>
              <w:bottom w:val="nil"/>
              <w:right w:val="nil"/>
            </w:tcBorders>
            <w:shd w:val="clear" w:color="auto" w:fill="auto"/>
            <w:noWrap/>
            <w:vAlign w:val="center"/>
          </w:tcPr>
          <w:p w14:paraId="61E5BB5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-23.02~4.66</w:t>
            </w:r>
          </w:p>
        </w:tc>
        <w:tc>
          <w:tcPr>
            <w:tcW w:w="782" w:type="dxa"/>
            <w:tcBorders>
              <w:top w:val="nil"/>
              <w:left w:val="nil"/>
              <w:bottom w:val="nil"/>
              <w:right w:val="nil"/>
            </w:tcBorders>
            <w:shd w:val="clear" w:color="auto" w:fill="auto"/>
            <w:noWrap/>
            <w:vAlign w:val="center"/>
          </w:tcPr>
          <w:p w14:paraId="49DBC80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0.164 </w:t>
            </w:r>
          </w:p>
        </w:tc>
        <w:tc>
          <w:tcPr>
            <w:tcW w:w="222" w:type="dxa"/>
            <w:tcBorders>
              <w:top w:val="nil"/>
              <w:left w:val="nil"/>
              <w:bottom w:val="nil"/>
              <w:right w:val="nil"/>
            </w:tcBorders>
            <w:shd w:val="clear" w:color="auto" w:fill="auto"/>
            <w:noWrap/>
            <w:vAlign w:val="center"/>
          </w:tcPr>
          <w:p w14:paraId="0F567797">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4C3F0DF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18.51 </w:t>
            </w:r>
          </w:p>
        </w:tc>
        <w:tc>
          <w:tcPr>
            <w:tcW w:w="735" w:type="dxa"/>
            <w:tcBorders>
              <w:top w:val="nil"/>
              <w:left w:val="nil"/>
              <w:bottom w:val="nil"/>
              <w:right w:val="nil"/>
            </w:tcBorders>
            <w:shd w:val="clear" w:color="auto" w:fill="auto"/>
            <w:noWrap/>
            <w:vAlign w:val="center"/>
          </w:tcPr>
          <w:p w14:paraId="067D3F0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16.48 </w:t>
            </w:r>
          </w:p>
        </w:tc>
        <w:tc>
          <w:tcPr>
            <w:tcW w:w="765" w:type="dxa"/>
            <w:tcBorders>
              <w:top w:val="nil"/>
              <w:left w:val="nil"/>
              <w:bottom w:val="nil"/>
              <w:right w:val="nil"/>
            </w:tcBorders>
            <w:shd w:val="clear" w:color="auto" w:fill="auto"/>
            <w:noWrap/>
            <w:vAlign w:val="center"/>
          </w:tcPr>
          <w:p w14:paraId="7502CFF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-1.31 </w:t>
            </w:r>
          </w:p>
        </w:tc>
        <w:tc>
          <w:tcPr>
            <w:tcW w:w="1230" w:type="dxa"/>
            <w:tcBorders>
              <w:top w:val="nil"/>
              <w:left w:val="nil"/>
              <w:bottom w:val="nil"/>
              <w:right w:val="nil"/>
            </w:tcBorders>
            <w:shd w:val="clear" w:color="auto" w:fill="auto"/>
            <w:noWrap/>
            <w:vAlign w:val="center"/>
          </w:tcPr>
          <w:p w14:paraId="245F865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-11.80~8.58</w:t>
            </w:r>
          </w:p>
        </w:tc>
        <w:tc>
          <w:tcPr>
            <w:tcW w:w="690" w:type="dxa"/>
            <w:tcBorders>
              <w:top w:val="nil"/>
              <w:left w:val="nil"/>
              <w:bottom w:val="nil"/>
              <w:right w:val="nil"/>
            </w:tcBorders>
            <w:shd w:val="clear" w:color="auto" w:fill="auto"/>
            <w:noWrap/>
            <w:vAlign w:val="center"/>
          </w:tcPr>
          <w:p w14:paraId="00D0160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0.680 </w:t>
            </w:r>
          </w:p>
        </w:tc>
      </w:tr>
      <w:tr w14:paraId="160E48C5">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520429A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25~29</w:t>
            </w:r>
          </w:p>
        </w:tc>
        <w:tc>
          <w:tcPr>
            <w:tcW w:w="825" w:type="dxa"/>
            <w:tcBorders>
              <w:top w:val="nil"/>
              <w:left w:val="nil"/>
              <w:bottom w:val="nil"/>
              <w:right w:val="nil"/>
            </w:tcBorders>
            <w:shd w:val="clear" w:color="auto" w:fill="auto"/>
            <w:noWrap/>
            <w:vAlign w:val="center"/>
          </w:tcPr>
          <w:p w14:paraId="1ECAB56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19.86 </w:t>
            </w:r>
          </w:p>
        </w:tc>
        <w:tc>
          <w:tcPr>
            <w:tcW w:w="810" w:type="dxa"/>
            <w:tcBorders>
              <w:top w:val="nil"/>
              <w:left w:val="nil"/>
              <w:bottom w:val="nil"/>
              <w:right w:val="nil"/>
            </w:tcBorders>
            <w:shd w:val="clear" w:color="auto" w:fill="auto"/>
            <w:noWrap/>
            <w:vAlign w:val="center"/>
          </w:tcPr>
          <w:p w14:paraId="0F185CB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27.78 </w:t>
            </w:r>
          </w:p>
        </w:tc>
        <w:tc>
          <w:tcPr>
            <w:tcW w:w="675" w:type="dxa"/>
            <w:tcBorders>
              <w:top w:val="nil"/>
              <w:left w:val="nil"/>
              <w:bottom w:val="nil"/>
              <w:right w:val="nil"/>
            </w:tcBorders>
            <w:shd w:val="clear" w:color="auto" w:fill="auto"/>
            <w:noWrap/>
            <w:vAlign w:val="center"/>
          </w:tcPr>
          <w:p w14:paraId="05E1B90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7.77 </w:t>
            </w:r>
          </w:p>
        </w:tc>
        <w:tc>
          <w:tcPr>
            <w:tcW w:w="1185" w:type="dxa"/>
            <w:tcBorders>
              <w:top w:val="nil"/>
              <w:left w:val="nil"/>
              <w:bottom w:val="nil"/>
              <w:right w:val="nil"/>
            </w:tcBorders>
            <w:shd w:val="clear" w:color="auto" w:fill="auto"/>
            <w:noWrap/>
            <w:vAlign w:val="center"/>
          </w:tcPr>
          <w:p w14:paraId="2EC2032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2.50~12.97</w:t>
            </w:r>
          </w:p>
        </w:tc>
        <w:tc>
          <w:tcPr>
            <w:tcW w:w="780" w:type="dxa"/>
            <w:tcBorders>
              <w:top w:val="nil"/>
              <w:left w:val="nil"/>
              <w:bottom w:val="nil"/>
              <w:right w:val="nil"/>
            </w:tcBorders>
            <w:shd w:val="clear" w:color="auto" w:fill="auto"/>
            <w:noWrap/>
            <w:vAlign w:val="center"/>
          </w:tcPr>
          <w:p w14:paraId="3B82A91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0.002 </w:t>
            </w:r>
          </w:p>
        </w:tc>
        <w:tc>
          <w:tcPr>
            <w:tcW w:w="240" w:type="dxa"/>
            <w:tcBorders>
              <w:top w:val="nil"/>
              <w:left w:val="nil"/>
              <w:bottom w:val="nil"/>
              <w:right w:val="nil"/>
            </w:tcBorders>
            <w:shd w:val="clear" w:color="auto" w:fill="auto"/>
            <w:noWrap/>
            <w:vAlign w:val="center"/>
          </w:tcPr>
          <w:p w14:paraId="37F237D6">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59C8E28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13.47 </w:t>
            </w:r>
          </w:p>
        </w:tc>
        <w:tc>
          <w:tcPr>
            <w:tcW w:w="840" w:type="dxa"/>
            <w:tcBorders>
              <w:top w:val="nil"/>
              <w:left w:val="nil"/>
              <w:bottom w:val="nil"/>
              <w:right w:val="nil"/>
            </w:tcBorders>
            <w:shd w:val="clear" w:color="auto" w:fill="auto"/>
            <w:noWrap/>
            <w:vAlign w:val="center"/>
          </w:tcPr>
          <w:p w14:paraId="40D30E8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18.33 </w:t>
            </w:r>
          </w:p>
        </w:tc>
        <w:tc>
          <w:tcPr>
            <w:tcW w:w="735" w:type="dxa"/>
            <w:tcBorders>
              <w:top w:val="nil"/>
              <w:left w:val="nil"/>
              <w:bottom w:val="nil"/>
              <w:right w:val="nil"/>
            </w:tcBorders>
            <w:shd w:val="clear" w:color="auto" w:fill="auto"/>
            <w:noWrap/>
            <w:vAlign w:val="center"/>
          </w:tcPr>
          <w:p w14:paraId="314D1E0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8.87 </w:t>
            </w:r>
          </w:p>
        </w:tc>
        <w:tc>
          <w:tcPr>
            <w:tcW w:w="1185" w:type="dxa"/>
            <w:tcBorders>
              <w:top w:val="nil"/>
              <w:left w:val="nil"/>
              <w:bottom w:val="nil"/>
              <w:right w:val="nil"/>
            </w:tcBorders>
            <w:shd w:val="clear" w:color="auto" w:fill="auto"/>
            <w:noWrap/>
            <w:vAlign w:val="center"/>
          </w:tcPr>
          <w:p w14:paraId="1D6CC74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-7.74~29.28</w:t>
            </w:r>
          </w:p>
        </w:tc>
        <w:tc>
          <w:tcPr>
            <w:tcW w:w="782" w:type="dxa"/>
            <w:tcBorders>
              <w:top w:val="nil"/>
              <w:left w:val="nil"/>
              <w:bottom w:val="nil"/>
              <w:right w:val="nil"/>
            </w:tcBorders>
            <w:shd w:val="clear" w:color="auto" w:fill="auto"/>
            <w:noWrap/>
            <w:vAlign w:val="center"/>
          </w:tcPr>
          <w:p w14:paraId="0C1030A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0.294 </w:t>
            </w:r>
          </w:p>
        </w:tc>
        <w:tc>
          <w:tcPr>
            <w:tcW w:w="222" w:type="dxa"/>
            <w:tcBorders>
              <w:top w:val="nil"/>
              <w:left w:val="nil"/>
              <w:bottom w:val="nil"/>
              <w:right w:val="nil"/>
            </w:tcBorders>
            <w:shd w:val="clear" w:color="auto" w:fill="auto"/>
            <w:noWrap/>
            <w:vAlign w:val="center"/>
          </w:tcPr>
          <w:p w14:paraId="2F24019E">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30BF6F1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27.31 </w:t>
            </w:r>
          </w:p>
        </w:tc>
        <w:tc>
          <w:tcPr>
            <w:tcW w:w="735" w:type="dxa"/>
            <w:tcBorders>
              <w:top w:val="nil"/>
              <w:left w:val="nil"/>
              <w:bottom w:val="nil"/>
              <w:right w:val="nil"/>
            </w:tcBorders>
            <w:shd w:val="clear" w:color="auto" w:fill="auto"/>
            <w:noWrap/>
            <w:vAlign w:val="center"/>
          </w:tcPr>
          <w:p w14:paraId="4F7ACC1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38.44 </w:t>
            </w:r>
          </w:p>
        </w:tc>
        <w:tc>
          <w:tcPr>
            <w:tcW w:w="765" w:type="dxa"/>
            <w:tcBorders>
              <w:top w:val="nil"/>
              <w:left w:val="nil"/>
              <w:bottom w:val="nil"/>
              <w:right w:val="nil"/>
            </w:tcBorders>
            <w:shd w:val="clear" w:color="auto" w:fill="auto"/>
            <w:noWrap/>
            <w:vAlign w:val="center"/>
          </w:tcPr>
          <w:p w14:paraId="2DDD1E3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7.19 </w:t>
            </w:r>
          </w:p>
        </w:tc>
        <w:tc>
          <w:tcPr>
            <w:tcW w:w="1230" w:type="dxa"/>
            <w:tcBorders>
              <w:top w:val="nil"/>
              <w:left w:val="nil"/>
              <w:bottom w:val="nil"/>
              <w:right w:val="nil"/>
            </w:tcBorders>
            <w:shd w:val="clear" w:color="auto" w:fill="auto"/>
            <w:noWrap/>
            <w:vAlign w:val="center"/>
          </w:tcPr>
          <w:p w14:paraId="24771D5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-3.29~18.42</w:t>
            </w:r>
          </w:p>
        </w:tc>
        <w:tc>
          <w:tcPr>
            <w:tcW w:w="690" w:type="dxa"/>
            <w:tcBorders>
              <w:top w:val="nil"/>
              <w:left w:val="nil"/>
              <w:bottom w:val="nil"/>
              <w:right w:val="nil"/>
            </w:tcBorders>
            <w:shd w:val="clear" w:color="auto" w:fill="auto"/>
            <w:noWrap/>
            <w:vAlign w:val="center"/>
          </w:tcPr>
          <w:p w14:paraId="54244EE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0.180 </w:t>
            </w:r>
          </w:p>
        </w:tc>
      </w:tr>
      <w:tr w14:paraId="361BF813">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704A279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30~34</w:t>
            </w:r>
          </w:p>
        </w:tc>
        <w:tc>
          <w:tcPr>
            <w:tcW w:w="825" w:type="dxa"/>
            <w:tcBorders>
              <w:top w:val="nil"/>
              <w:left w:val="nil"/>
              <w:bottom w:val="nil"/>
              <w:right w:val="nil"/>
            </w:tcBorders>
            <w:shd w:val="clear" w:color="auto" w:fill="auto"/>
            <w:noWrap/>
            <w:vAlign w:val="center"/>
          </w:tcPr>
          <w:p w14:paraId="3FB4C0E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36.12 </w:t>
            </w:r>
          </w:p>
        </w:tc>
        <w:tc>
          <w:tcPr>
            <w:tcW w:w="810" w:type="dxa"/>
            <w:tcBorders>
              <w:top w:val="nil"/>
              <w:left w:val="nil"/>
              <w:bottom w:val="nil"/>
              <w:right w:val="nil"/>
            </w:tcBorders>
            <w:shd w:val="clear" w:color="auto" w:fill="auto"/>
            <w:noWrap/>
            <w:vAlign w:val="center"/>
          </w:tcPr>
          <w:p w14:paraId="4FA292F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41.99 </w:t>
            </w:r>
          </w:p>
        </w:tc>
        <w:tc>
          <w:tcPr>
            <w:tcW w:w="675" w:type="dxa"/>
            <w:tcBorders>
              <w:top w:val="nil"/>
              <w:left w:val="nil"/>
              <w:bottom w:val="nil"/>
              <w:right w:val="nil"/>
            </w:tcBorders>
            <w:shd w:val="clear" w:color="auto" w:fill="auto"/>
            <w:noWrap/>
            <w:vAlign w:val="center"/>
          </w:tcPr>
          <w:p w14:paraId="7C6E50E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-0.20 </w:t>
            </w:r>
          </w:p>
        </w:tc>
        <w:tc>
          <w:tcPr>
            <w:tcW w:w="1185" w:type="dxa"/>
            <w:tcBorders>
              <w:top w:val="nil"/>
              <w:left w:val="nil"/>
              <w:bottom w:val="nil"/>
              <w:right w:val="nil"/>
            </w:tcBorders>
            <w:shd w:val="clear" w:color="auto" w:fill="auto"/>
            <w:noWrap/>
            <w:vAlign w:val="center"/>
          </w:tcPr>
          <w:p w14:paraId="7D098B7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-8.77~8.93</w:t>
            </w:r>
          </w:p>
        </w:tc>
        <w:tc>
          <w:tcPr>
            <w:tcW w:w="780" w:type="dxa"/>
            <w:tcBorders>
              <w:top w:val="nil"/>
              <w:left w:val="nil"/>
              <w:bottom w:val="nil"/>
              <w:right w:val="nil"/>
            </w:tcBorders>
            <w:shd w:val="clear" w:color="auto" w:fill="auto"/>
            <w:noWrap/>
            <w:vAlign w:val="center"/>
          </w:tcPr>
          <w:p w14:paraId="2C5F4D0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0.963 </w:t>
            </w:r>
          </w:p>
        </w:tc>
        <w:tc>
          <w:tcPr>
            <w:tcW w:w="240" w:type="dxa"/>
            <w:tcBorders>
              <w:top w:val="nil"/>
              <w:left w:val="nil"/>
              <w:bottom w:val="nil"/>
              <w:right w:val="nil"/>
            </w:tcBorders>
            <w:shd w:val="clear" w:color="auto" w:fill="auto"/>
            <w:noWrap/>
            <w:vAlign w:val="center"/>
          </w:tcPr>
          <w:p w14:paraId="1C0EBBAF">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321B9AE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27.75 </w:t>
            </w:r>
          </w:p>
        </w:tc>
        <w:tc>
          <w:tcPr>
            <w:tcW w:w="840" w:type="dxa"/>
            <w:tcBorders>
              <w:top w:val="nil"/>
              <w:left w:val="nil"/>
              <w:bottom w:val="nil"/>
              <w:right w:val="nil"/>
            </w:tcBorders>
            <w:shd w:val="clear" w:color="auto" w:fill="auto"/>
            <w:noWrap/>
            <w:vAlign w:val="center"/>
          </w:tcPr>
          <w:p w14:paraId="0D2B480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29.44 </w:t>
            </w:r>
          </w:p>
        </w:tc>
        <w:tc>
          <w:tcPr>
            <w:tcW w:w="735" w:type="dxa"/>
            <w:tcBorders>
              <w:top w:val="nil"/>
              <w:left w:val="nil"/>
              <w:bottom w:val="nil"/>
              <w:right w:val="nil"/>
            </w:tcBorders>
            <w:shd w:val="clear" w:color="auto" w:fill="auto"/>
            <w:noWrap/>
            <w:vAlign w:val="center"/>
          </w:tcPr>
          <w:p w14:paraId="43267B7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0.03 </w:t>
            </w:r>
          </w:p>
        </w:tc>
        <w:tc>
          <w:tcPr>
            <w:tcW w:w="1185" w:type="dxa"/>
            <w:tcBorders>
              <w:top w:val="nil"/>
              <w:left w:val="nil"/>
              <w:bottom w:val="nil"/>
              <w:right w:val="nil"/>
            </w:tcBorders>
            <w:shd w:val="clear" w:color="auto" w:fill="auto"/>
            <w:noWrap/>
            <w:vAlign w:val="center"/>
          </w:tcPr>
          <w:p w14:paraId="1705B39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-7.32~7.84</w:t>
            </w:r>
          </w:p>
        </w:tc>
        <w:tc>
          <w:tcPr>
            <w:tcW w:w="782" w:type="dxa"/>
            <w:tcBorders>
              <w:top w:val="nil"/>
              <w:left w:val="nil"/>
              <w:bottom w:val="nil"/>
              <w:right w:val="nil"/>
            </w:tcBorders>
            <w:shd w:val="clear" w:color="auto" w:fill="auto"/>
            <w:noWrap/>
            <w:vAlign w:val="center"/>
          </w:tcPr>
          <w:p w14:paraId="0ACAA4A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0.996 </w:t>
            </w:r>
          </w:p>
        </w:tc>
        <w:tc>
          <w:tcPr>
            <w:tcW w:w="222" w:type="dxa"/>
            <w:tcBorders>
              <w:top w:val="nil"/>
              <w:left w:val="nil"/>
              <w:bottom w:val="nil"/>
              <w:right w:val="nil"/>
            </w:tcBorders>
            <w:shd w:val="clear" w:color="auto" w:fill="auto"/>
            <w:noWrap/>
            <w:vAlign w:val="center"/>
          </w:tcPr>
          <w:p w14:paraId="0C1C4CED">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25E1FC3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46.07 </w:t>
            </w:r>
          </w:p>
        </w:tc>
        <w:tc>
          <w:tcPr>
            <w:tcW w:w="735" w:type="dxa"/>
            <w:tcBorders>
              <w:top w:val="nil"/>
              <w:left w:val="nil"/>
              <w:bottom w:val="nil"/>
              <w:right w:val="nil"/>
            </w:tcBorders>
            <w:shd w:val="clear" w:color="auto" w:fill="auto"/>
            <w:noWrap/>
            <w:vAlign w:val="center"/>
          </w:tcPr>
          <w:p w14:paraId="0FFDFE4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57.19 </w:t>
            </w:r>
          </w:p>
        </w:tc>
        <w:tc>
          <w:tcPr>
            <w:tcW w:w="765" w:type="dxa"/>
            <w:tcBorders>
              <w:top w:val="nil"/>
              <w:left w:val="nil"/>
              <w:bottom w:val="nil"/>
              <w:right w:val="nil"/>
            </w:tcBorders>
            <w:shd w:val="clear" w:color="auto" w:fill="auto"/>
            <w:noWrap/>
            <w:vAlign w:val="center"/>
          </w:tcPr>
          <w:p w14:paraId="2F7B8E5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-0.34 </w:t>
            </w:r>
          </w:p>
        </w:tc>
        <w:tc>
          <w:tcPr>
            <w:tcW w:w="1230" w:type="dxa"/>
            <w:tcBorders>
              <w:top w:val="nil"/>
              <w:left w:val="nil"/>
              <w:bottom w:val="nil"/>
              <w:right w:val="nil"/>
            </w:tcBorders>
            <w:shd w:val="clear" w:color="auto" w:fill="auto"/>
            <w:noWrap/>
            <w:vAlign w:val="center"/>
          </w:tcPr>
          <w:p w14:paraId="0BBF7DB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-13.47~13.91</w:t>
            </w:r>
          </w:p>
        </w:tc>
        <w:tc>
          <w:tcPr>
            <w:tcW w:w="690" w:type="dxa"/>
            <w:tcBorders>
              <w:top w:val="nil"/>
              <w:left w:val="nil"/>
              <w:bottom w:val="nil"/>
              <w:right w:val="nil"/>
            </w:tcBorders>
            <w:shd w:val="clear" w:color="auto" w:fill="auto"/>
            <w:noWrap/>
            <w:vAlign w:val="center"/>
          </w:tcPr>
          <w:p w14:paraId="4982B57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0.942 </w:t>
            </w:r>
          </w:p>
        </w:tc>
      </w:tr>
      <w:tr w14:paraId="05A637FC">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7DB50D1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35~39</w:t>
            </w:r>
          </w:p>
        </w:tc>
        <w:tc>
          <w:tcPr>
            <w:tcW w:w="825" w:type="dxa"/>
            <w:tcBorders>
              <w:top w:val="nil"/>
              <w:left w:val="nil"/>
              <w:bottom w:val="nil"/>
              <w:right w:val="nil"/>
            </w:tcBorders>
            <w:shd w:val="clear" w:color="auto" w:fill="auto"/>
            <w:noWrap/>
            <w:vAlign w:val="center"/>
          </w:tcPr>
          <w:p w14:paraId="2152B9E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69.28 </w:t>
            </w:r>
          </w:p>
        </w:tc>
        <w:tc>
          <w:tcPr>
            <w:tcW w:w="810" w:type="dxa"/>
            <w:tcBorders>
              <w:top w:val="nil"/>
              <w:left w:val="nil"/>
              <w:bottom w:val="nil"/>
              <w:right w:val="nil"/>
            </w:tcBorders>
            <w:shd w:val="clear" w:color="auto" w:fill="auto"/>
            <w:noWrap/>
            <w:vAlign w:val="center"/>
          </w:tcPr>
          <w:p w14:paraId="182B3BC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58.88 </w:t>
            </w:r>
          </w:p>
        </w:tc>
        <w:tc>
          <w:tcPr>
            <w:tcW w:w="675" w:type="dxa"/>
            <w:tcBorders>
              <w:top w:val="nil"/>
              <w:left w:val="nil"/>
              <w:bottom w:val="nil"/>
              <w:right w:val="nil"/>
            </w:tcBorders>
            <w:shd w:val="clear" w:color="auto" w:fill="auto"/>
            <w:noWrap/>
            <w:vAlign w:val="center"/>
          </w:tcPr>
          <w:p w14:paraId="1993141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-4.45 </w:t>
            </w:r>
          </w:p>
        </w:tc>
        <w:tc>
          <w:tcPr>
            <w:tcW w:w="1185" w:type="dxa"/>
            <w:tcBorders>
              <w:top w:val="nil"/>
              <w:left w:val="nil"/>
              <w:bottom w:val="nil"/>
              <w:right w:val="nil"/>
            </w:tcBorders>
            <w:shd w:val="clear" w:color="auto" w:fill="auto"/>
            <w:noWrap/>
            <w:vAlign w:val="center"/>
          </w:tcPr>
          <w:p w14:paraId="485F80D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-12.29~3.9</w:t>
            </w:r>
          </w:p>
        </w:tc>
        <w:tc>
          <w:tcPr>
            <w:tcW w:w="780" w:type="dxa"/>
            <w:tcBorders>
              <w:top w:val="nil"/>
              <w:left w:val="nil"/>
              <w:bottom w:val="nil"/>
              <w:right w:val="nil"/>
            </w:tcBorders>
            <w:shd w:val="clear" w:color="auto" w:fill="auto"/>
            <w:noWrap/>
            <w:vAlign w:val="center"/>
          </w:tcPr>
          <w:p w14:paraId="78C3C13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0.292 </w:t>
            </w:r>
          </w:p>
        </w:tc>
        <w:tc>
          <w:tcPr>
            <w:tcW w:w="240" w:type="dxa"/>
            <w:tcBorders>
              <w:top w:val="nil"/>
              <w:left w:val="nil"/>
              <w:bottom w:val="nil"/>
              <w:right w:val="nil"/>
            </w:tcBorders>
            <w:shd w:val="clear" w:color="auto" w:fill="auto"/>
            <w:noWrap/>
            <w:vAlign w:val="center"/>
          </w:tcPr>
          <w:p w14:paraId="78BB291E">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6D826F1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62.78 </w:t>
            </w:r>
          </w:p>
        </w:tc>
        <w:tc>
          <w:tcPr>
            <w:tcW w:w="840" w:type="dxa"/>
            <w:tcBorders>
              <w:top w:val="nil"/>
              <w:left w:val="nil"/>
              <w:bottom w:val="nil"/>
              <w:right w:val="nil"/>
            </w:tcBorders>
            <w:shd w:val="clear" w:color="auto" w:fill="auto"/>
            <w:noWrap/>
            <w:vAlign w:val="center"/>
          </w:tcPr>
          <w:p w14:paraId="5DBA952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36.28 </w:t>
            </w:r>
          </w:p>
        </w:tc>
        <w:tc>
          <w:tcPr>
            <w:tcW w:w="735" w:type="dxa"/>
            <w:tcBorders>
              <w:top w:val="nil"/>
              <w:left w:val="nil"/>
              <w:bottom w:val="nil"/>
              <w:right w:val="nil"/>
            </w:tcBorders>
            <w:shd w:val="clear" w:color="auto" w:fill="auto"/>
            <w:noWrap/>
            <w:vAlign w:val="center"/>
          </w:tcPr>
          <w:p w14:paraId="5DAB223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-11.04 </w:t>
            </w:r>
          </w:p>
        </w:tc>
        <w:tc>
          <w:tcPr>
            <w:tcW w:w="1185" w:type="dxa"/>
            <w:tcBorders>
              <w:top w:val="nil"/>
              <w:left w:val="nil"/>
              <w:bottom w:val="nil"/>
              <w:right w:val="nil"/>
            </w:tcBorders>
            <w:shd w:val="clear" w:color="auto" w:fill="auto"/>
            <w:noWrap/>
            <w:vAlign w:val="center"/>
          </w:tcPr>
          <w:p w14:paraId="46EA200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-17.89~-4.19</w:t>
            </w:r>
          </w:p>
        </w:tc>
        <w:tc>
          <w:tcPr>
            <w:tcW w:w="782" w:type="dxa"/>
            <w:tcBorders>
              <w:top w:val="nil"/>
              <w:left w:val="nil"/>
              <w:bottom w:val="nil"/>
              <w:right w:val="nil"/>
            </w:tcBorders>
            <w:shd w:val="clear" w:color="auto" w:fill="auto"/>
            <w:noWrap/>
            <w:vAlign w:val="center"/>
          </w:tcPr>
          <w:p w14:paraId="459909C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0.002 </w:t>
            </w:r>
          </w:p>
        </w:tc>
        <w:tc>
          <w:tcPr>
            <w:tcW w:w="222" w:type="dxa"/>
            <w:tcBorders>
              <w:top w:val="nil"/>
              <w:left w:val="nil"/>
              <w:bottom w:val="nil"/>
              <w:right w:val="nil"/>
            </w:tcBorders>
            <w:shd w:val="clear" w:color="auto" w:fill="auto"/>
            <w:noWrap/>
            <w:vAlign w:val="center"/>
          </w:tcPr>
          <w:p w14:paraId="10DFE61F">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58C623B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76.77 </w:t>
            </w:r>
          </w:p>
        </w:tc>
        <w:tc>
          <w:tcPr>
            <w:tcW w:w="735" w:type="dxa"/>
            <w:tcBorders>
              <w:top w:val="nil"/>
              <w:left w:val="nil"/>
              <w:bottom w:val="nil"/>
              <w:right w:val="nil"/>
            </w:tcBorders>
            <w:shd w:val="clear" w:color="auto" w:fill="auto"/>
            <w:noWrap/>
            <w:vAlign w:val="center"/>
          </w:tcPr>
          <w:p w14:paraId="2FEC205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86.63 </w:t>
            </w:r>
          </w:p>
        </w:tc>
        <w:tc>
          <w:tcPr>
            <w:tcW w:w="765" w:type="dxa"/>
            <w:tcBorders>
              <w:top w:val="nil"/>
              <w:left w:val="nil"/>
              <w:bottom w:val="nil"/>
              <w:right w:val="nil"/>
            </w:tcBorders>
            <w:shd w:val="clear" w:color="auto" w:fill="auto"/>
            <w:noWrap/>
            <w:vAlign w:val="center"/>
          </w:tcPr>
          <w:p w14:paraId="72BBB3F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0.38 </w:t>
            </w:r>
          </w:p>
        </w:tc>
        <w:tc>
          <w:tcPr>
            <w:tcW w:w="1230" w:type="dxa"/>
            <w:tcBorders>
              <w:top w:val="nil"/>
              <w:left w:val="nil"/>
              <w:bottom w:val="nil"/>
              <w:right w:val="nil"/>
            </w:tcBorders>
            <w:shd w:val="clear" w:color="auto" w:fill="auto"/>
            <w:noWrap/>
            <w:vAlign w:val="center"/>
          </w:tcPr>
          <w:p w14:paraId="691E893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-9.75~11.99</w:t>
            </w:r>
          </w:p>
        </w:tc>
        <w:tc>
          <w:tcPr>
            <w:tcW w:w="690" w:type="dxa"/>
            <w:tcBorders>
              <w:top w:val="nil"/>
              <w:left w:val="nil"/>
              <w:bottom w:val="nil"/>
              <w:right w:val="nil"/>
            </w:tcBorders>
            <w:shd w:val="clear" w:color="auto" w:fill="auto"/>
            <w:noWrap/>
            <w:vAlign w:val="center"/>
          </w:tcPr>
          <w:p w14:paraId="00F67BD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0.884 </w:t>
            </w:r>
          </w:p>
        </w:tc>
      </w:tr>
      <w:tr w14:paraId="159CCDFA">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7EB70A3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40~44</w:t>
            </w:r>
          </w:p>
        </w:tc>
        <w:tc>
          <w:tcPr>
            <w:tcW w:w="825" w:type="dxa"/>
            <w:tcBorders>
              <w:top w:val="nil"/>
              <w:left w:val="nil"/>
              <w:bottom w:val="nil"/>
              <w:right w:val="nil"/>
            </w:tcBorders>
            <w:shd w:val="clear" w:color="auto" w:fill="auto"/>
            <w:noWrap/>
            <w:vAlign w:val="center"/>
          </w:tcPr>
          <w:p w14:paraId="059AB46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134.96 </w:t>
            </w:r>
          </w:p>
        </w:tc>
        <w:tc>
          <w:tcPr>
            <w:tcW w:w="810" w:type="dxa"/>
            <w:tcBorders>
              <w:top w:val="nil"/>
              <w:left w:val="nil"/>
              <w:bottom w:val="nil"/>
              <w:right w:val="nil"/>
            </w:tcBorders>
            <w:shd w:val="clear" w:color="auto" w:fill="auto"/>
            <w:noWrap/>
            <w:vAlign w:val="center"/>
          </w:tcPr>
          <w:p w14:paraId="7985934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104.45 </w:t>
            </w:r>
          </w:p>
        </w:tc>
        <w:tc>
          <w:tcPr>
            <w:tcW w:w="675" w:type="dxa"/>
            <w:tcBorders>
              <w:top w:val="nil"/>
              <w:left w:val="nil"/>
              <w:bottom w:val="nil"/>
              <w:right w:val="nil"/>
            </w:tcBorders>
            <w:shd w:val="clear" w:color="auto" w:fill="auto"/>
            <w:noWrap/>
            <w:vAlign w:val="center"/>
          </w:tcPr>
          <w:p w14:paraId="3B3D3D3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-6.72 </w:t>
            </w:r>
          </w:p>
        </w:tc>
        <w:tc>
          <w:tcPr>
            <w:tcW w:w="1185" w:type="dxa"/>
            <w:tcBorders>
              <w:top w:val="nil"/>
              <w:left w:val="nil"/>
              <w:bottom w:val="nil"/>
              <w:right w:val="nil"/>
            </w:tcBorders>
            <w:shd w:val="clear" w:color="auto" w:fill="auto"/>
            <w:noWrap/>
            <w:vAlign w:val="center"/>
          </w:tcPr>
          <w:p w14:paraId="39394C8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-16.47~2.00</w:t>
            </w:r>
          </w:p>
        </w:tc>
        <w:tc>
          <w:tcPr>
            <w:tcW w:w="780" w:type="dxa"/>
            <w:tcBorders>
              <w:top w:val="nil"/>
              <w:left w:val="nil"/>
              <w:bottom w:val="nil"/>
              <w:right w:val="nil"/>
            </w:tcBorders>
            <w:shd w:val="clear" w:color="auto" w:fill="auto"/>
            <w:noWrap/>
            <w:vAlign w:val="center"/>
          </w:tcPr>
          <w:p w14:paraId="629308A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0.116 </w:t>
            </w:r>
          </w:p>
        </w:tc>
        <w:tc>
          <w:tcPr>
            <w:tcW w:w="240" w:type="dxa"/>
            <w:tcBorders>
              <w:top w:val="nil"/>
              <w:left w:val="nil"/>
              <w:bottom w:val="nil"/>
              <w:right w:val="nil"/>
            </w:tcBorders>
            <w:shd w:val="clear" w:color="auto" w:fill="auto"/>
            <w:noWrap/>
            <w:vAlign w:val="center"/>
          </w:tcPr>
          <w:p w14:paraId="755D8736">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4BA9C93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110.35 </w:t>
            </w:r>
          </w:p>
        </w:tc>
        <w:tc>
          <w:tcPr>
            <w:tcW w:w="840" w:type="dxa"/>
            <w:tcBorders>
              <w:top w:val="nil"/>
              <w:left w:val="nil"/>
              <w:bottom w:val="nil"/>
              <w:right w:val="nil"/>
            </w:tcBorders>
            <w:shd w:val="clear" w:color="auto" w:fill="auto"/>
            <w:noWrap/>
            <w:vAlign w:val="center"/>
          </w:tcPr>
          <w:p w14:paraId="1FE3F62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71.78 </w:t>
            </w:r>
          </w:p>
        </w:tc>
        <w:tc>
          <w:tcPr>
            <w:tcW w:w="735" w:type="dxa"/>
            <w:tcBorders>
              <w:top w:val="nil"/>
              <w:left w:val="nil"/>
              <w:bottom w:val="nil"/>
              <w:right w:val="nil"/>
            </w:tcBorders>
            <w:shd w:val="clear" w:color="auto" w:fill="auto"/>
            <w:noWrap/>
            <w:vAlign w:val="center"/>
          </w:tcPr>
          <w:p w14:paraId="6ADA5BD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-8.69 </w:t>
            </w:r>
          </w:p>
        </w:tc>
        <w:tc>
          <w:tcPr>
            <w:tcW w:w="1185" w:type="dxa"/>
            <w:tcBorders>
              <w:top w:val="nil"/>
              <w:left w:val="nil"/>
              <w:bottom w:val="nil"/>
              <w:right w:val="nil"/>
            </w:tcBorders>
            <w:shd w:val="clear" w:color="auto" w:fill="auto"/>
            <w:noWrap/>
            <w:vAlign w:val="center"/>
          </w:tcPr>
          <w:p w14:paraId="01A5651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-17.07~-1.40</w:t>
            </w:r>
          </w:p>
        </w:tc>
        <w:tc>
          <w:tcPr>
            <w:tcW w:w="782" w:type="dxa"/>
            <w:tcBorders>
              <w:top w:val="nil"/>
              <w:left w:val="nil"/>
              <w:bottom w:val="nil"/>
              <w:right w:val="nil"/>
            </w:tcBorders>
            <w:shd w:val="clear" w:color="auto" w:fill="auto"/>
            <w:noWrap/>
            <w:vAlign w:val="center"/>
          </w:tcPr>
          <w:p w14:paraId="05165BA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0.020 </w:t>
            </w:r>
          </w:p>
        </w:tc>
        <w:tc>
          <w:tcPr>
            <w:tcW w:w="222" w:type="dxa"/>
            <w:tcBorders>
              <w:top w:val="nil"/>
              <w:left w:val="nil"/>
              <w:bottom w:val="nil"/>
              <w:right w:val="nil"/>
            </w:tcBorders>
            <w:shd w:val="clear" w:color="auto" w:fill="auto"/>
            <w:noWrap/>
            <w:vAlign w:val="center"/>
          </w:tcPr>
          <w:p w14:paraId="28F1A213">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48D3A73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161.46 </w:t>
            </w:r>
          </w:p>
        </w:tc>
        <w:tc>
          <w:tcPr>
            <w:tcW w:w="735" w:type="dxa"/>
            <w:tcBorders>
              <w:top w:val="nil"/>
              <w:left w:val="nil"/>
              <w:bottom w:val="nil"/>
              <w:right w:val="nil"/>
            </w:tcBorders>
            <w:shd w:val="clear" w:color="auto" w:fill="auto"/>
            <w:noWrap/>
            <w:vAlign w:val="center"/>
          </w:tcPr>
          <w:p w14:paraId="3873260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142.81 </w:t>
            </w:r>
          </w:p>
        </w:tc>
        <w:tc>
          <w:tcPr>
            <w:tcW w:w="765" w:type="dxa"/>
            <w:tcBorders>
              <w:top w:val="nil"/>
              <w:left w:val="nil"/>
              <w:bottom w:val="nil"/>
              <w:right w:val="nil"/>
            </w:tcBorders>
            <w:shd w:val="clear" w:color="auto" w:fill="auto"/>
            <w:noWrap/>
            <w:vAlign w:val="center"/>
          </w:tcPr>
          <w:p w14:paraId="15DCD38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-4.90 </w:t>
            </w:r>
          </w:p>
        </w:tc>
        <w:tc>
          <w:tcPr>
            <w:tcW w:w="1230" w:type="dxa"/>
            <w:tcBorders>
              <w:top w:val="nil"/>
              <w:left w:val="nil"/>
              <w:bottom w:val="nil"/>
              <w:right w:val="nil"/>
            </w:tcBorders>
            <w:shd w:val="clear" w:color="auto" w:fill="auto"/>
            <w:noWrap/>
            <w:vAlign w:val="center"/>
          </w:tcPr>
          <w:p w14:paraId="70887C9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-12.93~1.99</w:t>
            </w:r>
          </w:p>
        </w:tc>
        <w:tc>
          <w:tcPr>
            <w:tcW w:w="690" w:type="dxa"/>
            <w:tcBorders>
              <w:top w:val="nil"/>
              <w:left w:val="nil"/>
              <w:bottom w:val="nil"/>
              <w:right w:val="nil"/>
            </w:tcBorders>
            <w:shd w:val="clear" w:color="auto" w:fill="auto"/>
            <w:noWrap/>
            <w:vAlign w:val="center"/>
          </w:tcPr>
          <w:p w14:paraId="4669183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0.151 </w:t>
            </w:r>
          </w:p>
        </w:tc>
      </w:tr>
      <w:tr w14:paraId="66B8F019">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3601A3B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45~49</w:t>
            </w:r>
          </w:p>
        </w:tc>
        <w:tc>
          <w:tcPr>
            <w:tcW w:w="825" w:type="dxa"/>
            <w:tcBorders>
              <w:top w:val="nil"/>
              <w:left w:val="nil"/>
              <w:bottom w:val="nil"/>
              <w:right w:val="nil"/>
            </w:tcBorders>
            <w:shd w:val="clear" w:color="auto" w:fill="auto"/>
            <w:noWrap/>
            <w:vAlign w:val="center"/>
          </w:tcPr>
          <w:p w14:paraId="27E1664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181.36 </w:t>
            </w:r>
          </w:p>
        </w:tc>
        <w:tc>
          <w:tcPr>
            <w:tcW w:w="810" w:type="dxa"/>
            <w:tcBorders>
              <w:top w:val="nil"/>
              <w:left w:val="nil"/>
              <w:bottom w:val="nil"/>
              <w:right w:val="nil"/>
            </w:tcBorders>
            <w:shd w:val="clear" w:color="auto" w:fill="auto"/>
            <w:noWrap/>
            <w:vAlign w:val="center"/>
          </w:tcPr>
          <w:p w14:paraId="3F3F286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186.98 </w:t>
            </w:r>
          </w:p>
        </w:tc>
        <w:tc>
          <w:tcPr>
            <w:tcW w:w="675" w:type="dxa"/>
            <w:tcBorders>
              <w:top w:val="nil"/>
              <w:left w:val="nil"/>
              <w:bottom w:val="nil"/>
              <w:right w:val="nil"/>
            </w:tcBorders>
            <w:shd w:val="clear" w:color="auto" w:fill="auto"/>
            <w:noWrap/>
            <w:vAlign w:val="center"/>
          </w:tcPr>
          <w:p w14:paraId="6DA5724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-0.18 </w:t>
            </w:r>
          </w:p>
        </w:tc>
        <w:tc>
          <w:tcPr>
            <w:tcW w:w="1185" w:type="dxa"/>
            <w:tcBorders>
              <w:top w:val="nil"/>
              <w:left w:val="nil"/>
              <w:bottom w:val="nil"/>
              <w:right w:val="nil"/>
            </w:tcBorders>
            <w:shd w:val="clear" w:color="auto" w:fill="auto"/>
            <w:noWrap/>
            <w:vAlign w:val="center"/>
          </w:tcPr>
          <w:p w14:paraId="678F0A8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-6.54~5.85</w:t>
            </w:r>
          </w:p>
        </w:tc>
        <w:tc>
          <w:tcPr>
            <w:tcW w:w="780" w:type="dxa"/>
            <w:tcBorders>
              <w:top w:val="nil"/>
              <w:left w:val="nil"/>
              <w:bottom w:val="nil"/>
              <w:right w:val="nil"/>
            </w:tcBorders>
            <w:shd w:val="clear" w:color="auto" w:fill="auto"/>
            <w:noWrap/>
            <w:vAlign w:val="center"/>
          </w:tcPr>
          <w:p w14:paraId="7E0D545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0.873 </w:t>
            </w:r>
          </w:p>
        </w:tc>
        <w:tc>
          <w:tcPr>
            <w:tcW w:w="240" w:type="dxa"/>
            <w:tcBorders>
              <w:top w:val="nil"/>
              <w:left w:val="nil"/>
              <w:bottom w:val="nil"/>
              <w:right w:val="nil"/>
            </w:tcBorders>
            <w:shd w:val="clear" w:color="auto" w:fill="auto"/>
            <w:noWrap/>
            <w:vAlign w:val="center"/>
          </w:tcPr>
          <w:p w14:paraId="234779E1">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7BE0CD7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164.72 </w:t>
            </w:r>
          </w:p>
        </w:tc>
        <w:tc>
          <w:tcPr>
            <w:tcW w:w="840" w:type="dxa"/>
            <w:tcBorders>
              <w:top w:val="nil"/>
              <w:left w:val="nil"/>
              <w:bottom w:val="nil"/>
              <w:right w:val="nil"/>
            </w:tcBorders>
            <w:shd w:val="clear" w:color="auto" w:fill="auto"/>
            <w:noWrap/>
            <w:vAlign w:val="center"/>
          </w:tcPr>
          <w:p w14:paraId="166B43E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163.67 </w:t>
            </w:r>
          </w:p>
        </w:tc>
        <w:tc>
          <w:tcPr>
            <w:tcW w:w="735" w:type="dxa"/>
            <w:tcBorders>
              <w:top w:val="nil"/>
              <w:left w:val="nil"/>
              <w:bottom w:val="nil"/>
              <w:right w:val="nil"/>
            </w:tcBorders>
            <w:shd w:val="clear" w:color="auto" w:fill="auto"/>
            <w:noWrap/>
            <w:vAlign w:val="center"/>
          </w:tcPr>
          <w:p w14:paraId="71C59E1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-0.53 </w:t>
            </w:r>
          </w:p>
        </w:tc>
        <w:tc>
          <w:tcPr>
            <w:tcW w:w="1185" w:type="dxa"/>
            <w:tcBorders>
              <w:top w:val="nil"/>
              <w:left w:val="nil"/>
              <w:bottom w:val="nil"/>
              <w:right w:val="nil"/>
            </w:tcBorders>
            <w:shd w:val="clear" w:color="auto" w:fill="auto"/>
            <w:noWrap/>
            <w:vAlign w:val="center"/>
          </w:tcPr>
          <w:p w14:paraId="0872913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-5.05~3.67</w:t>
            </w:r>
          </w:p>
        </w:tc>
        <w:tc>
          <w:tcPr>
            <w:tcW w:w="782" w:type="dxa"/>
            <w:tcBorders>
              <w:top w:val="nil"/>
              <w:left w:val="nil"/>
              <w:bottom w:val="nil"/>
              <w:right w:val="nil"/>
            </w:tcBorders>
            <w:shd w:val="clear" w:color="auto" w:fill="auto"/>
            <w:noWrap/>
            <w:vAlign w:val="center"/>
          </w:tcPr>
          <w:p w14:paraId="1C70225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0.742 </w:t>
            </w:r>
          </w:p>
        </w:tc>
        <w:tc>
          <w:tcPr>
            <w:tcW w:w="222" w:type="dxa"/>
            <w:tcBorders>
              <w:top w:val="nil"/>
              <w:left w:val="nil"/>
              <w:bottom w:val="nil"/>
              <w:right w:val="nil"/>
            </w:tcBorders>
            <w:shd w:val="clear" w:color="auto" w:fill="auto"/>
            <w:noWrap/>
            <w:vAlign w:val="center"/>
          </w:tcPr>
          <w:p w14:paraId="79773695">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5BB0981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197.84 </w:t>
            </w:r>
          </w:p>
        </w:tc>
        <w:tc>
          <w:tcPr>
            <w:tcW w:w="735" w:type="dxa"/>
            <w:tcBorders>
              <w:top w:val="nil"/>
              <w:left w:val="nil"/>
              <w:bottom w:val="nil"/>
              <w:right w:val="nil"/>
            </w:tcBorders>
            <w:shd w:val="clear" w:color="auto" w:fill="auto"/>
            <w:noWrap/>
            <w:vAlign w:val="center"/>
          </w:tcPr>
          <w:p w14:paraId="380387C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212.60 </w:t>
            </w:r>
          </w:p>
        </w:tc>
        <w:tc>
          <w:tcPr>
            <w:tcW w:w="765" w:type="dxa"/>
            <w:tcBorders>
              <w:top w:val="nil"/>
              <w:left w:val="nil"/>
              <w:bottom w:val="nil"/>
              <w:right w:val="nil"/>
            </w:tcBorders>
            <w:shd w:val="clear" w:color="auto" w:fill="auto"/>
            <w:noWrap/>
            <w:vAlign w:val="center"/>
          </w:tcPr>
          <w:p w14:paraId="41D825A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0.40 </w:t>
            </w:r>
          </w:p>
        </w:tc>
        <w:tc>
          <w:tcPr>
            <w:tcW w:w="1230" w:type="dxa"/>
            <w:tcBorders>
              <w:top w:val="nil"/>
              <w:left w:val="nil"/>
              <w:bottom w:val="nil"/>
              <w:right w:val="nil"/>
            </w:tcBorders>
            <w:shd w:val="clear" w:color="auto" w:fill="auto"/>
            <w:noWrap/>
            <w:vAlign w:val="center"/>
          </w:tcPr>
          <w:p w14:paraId="145DB64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-10.88~11.84</w:t>
            </w:r>
          </w:p>
        </w:tc>
        <w:tc>
          <w:tcPr>
            <w:tcW w:w="690" w:type="dxa"/>
            <w:tcBorders>
              <w:top w:val="nil"/>
              <w:left w:val="nil"/>
              <w:bottom w:val="nil"/>
              <w:right w:val="nil"/>
            </w:tcBorders>
            <w:shd w:val="clear" w:color="auto" w:fill="auto"/>
            <w:noWrap/>
            <w:vAlign w:val="center"/>
          </w:tcPr>
          <w:p w14:paraId="66BD690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0.998 </w:t>
            </w:r>
          </w:p>
        </w:tc>
      </w:tr>
      <w:tr w14:paraId="1144623B">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73EBA1E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50~54</w:t>
            </w:r>
          </w:p>
        </w:tc>
        <w:tc>
          <w:tcPr>
            <w:tcW w:w="825" w:type="dxa"/>
            <w:tcBorders>
              <w:top w:val="nil"/>
              <w:left w:val="nil"/>
              <w:bottom w:val="nil"/>
              <w:right w:val="nil"/>
            </w:tcBorders>
            <w:shd w:val="clear" w:color="auto" w:fill="auto"/>
            <w:noWrap/>
            <w:vAlign w:val="center"/>
          </w:tcPr>
          <w:p w14:paraId="6E930E7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302.51 </w:t>
            </w:r>
          </w:p>
        </w:tc>
        <w:tc>
          <w:tcPr>
            <w:tcW w:w="810" w:type="dxa"/>
            <w:tcBorders>
              <w:top w:val="nil"/>
              <w:left w:val="nil"/>
              <w:bottom w:val="nil"/>
              <w:right w:val="nil"/>
            </w:tcBorders>
            <w:shd w:val="clear" w:color="auto" w:fill="auto"/>
            <w:noWrap/>
            <w:vAlign w:val="center"/>
          </w:tcPr>
          <w:p w14:paraId="4BD9B73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275.43 </w:t>
            </w:r>
          </w:p>
        </w:tc>
        <w:tc>
          <w:tcPr>
            <w:tcW w:w="675" w:type="dxa"/>
            <w:tcBorders>
              <w:top w:val="nil"/>
              <w:left w:val="nil"/>
              <w:bottom w:val="nil"/>
              <w:right w:val="nil"/>
            </w:tcBorders>
            <w:shd w:val="clear" w:color="auto" w:fill="auto"/>
            <w:noWrap/>
            <w:vAlign w:val="center"/>
          </w:tcPr>
          <w:p w14:paraId="6D7E06E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-3.34 </w:t>
            </w:r>
          </w:p>
        </w:tc>
        <w:tc>
          <w:tcPr>
            <w:tcW w:w="1185" w:type="dxa"/>
            <w:tcBorders>
              <w:top w:val="nil"/>
              <w:left w:val="nil"/>
              <w:bottom w:val="nil"/>
              <w:right w:val="nil"/>
            </w:tcBorders>
            <w:shd w:val="clear" w:color="auto" w:fill="auto"/>
            <w:noWrap/>
            <w:vAlign w:val="center"/>
          </w:tcPr>
          <w:p w14:paraId="760C58F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-6.97~0.23</w:t>
            </w:r>
          </w:p>
        </w:tc>
        <w:tc>
          <w:tcPr>
            <w:tcW w:w="780" w:type="dxa"/>
            <w:tcBorders>
              <w:top w:val="nil"/>
              <w:left w:val="nil"/>
              <w:bottom w:val="nil"/>
              <w:right w:val="nil"/>
            </w:tcBorders>
            <w:shd w:val="clear" w:color="auto" w:fill="auto"/>
            <w:noWrap/>
            <w:vAlign w:val="center"/>
          </w:tcPr>
          <w:p w14:paraId="69D1206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0.074 </w:t>
            </w:r>
          </w:p>
        </w:tc>
        <w:tc>
          <w:tcPr>
            <w:tcW w:w="240" w:type="dxa"/>
            <w:tcBorders>
              <w:top w:val="nil"/>
              <w:left w:val="nil"/>
              <w:bottom w:val="nil"/>
              <w:right w:val="nil"/>
            </w:tcBorders>
            <w:shd w:val="clear" w:color="auto" w:fill="auto"/>
            <w:noWrap/>
            <w:vAlign w:val="center"/>
          </w:tcPr>
          <w:p w14:paraId="5966325B">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60F1EF4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341.43 </w:t>
            </w:r>
          </w:p>
        </w:tc>
        <w:tc>
          <w:tcPr>
            <w:tcW w:w="840" w:type="dxa"/>
            <w:tcBorders>
              <w:top w:val="nil"/>
              <w:left w:val="nil"/>
              <w:bottom w:val="nil"/>
              <w:right w:val="nil"/>
            </w:tcBorders>
            <w:shd w:val="clear" w:color="auto" w:fill="auto"/>
            <w:noWrap/>
            <w:vAlign w:val="center"/>
          </w:tcPr>
          <w:p w14:paraId="72BA7E8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275.80 </w:t>
            </w:r>
          </w:p>
        </w:tc>
        <w:tc>
          <w:tcPr>
            <w:tcW w:w="735" w:type="dxa"/>
            <w:tcBorders>
              <w:top w:val="nil"/>
              <w:left w:val="nil"/>
              <w:bottom w:val="nil"/>
              <w:right w:val="nil"/>
            </w:tcBorders>
            <w:shd w:val="clear" w:color="auto" w:fill="auto"/>
            <w:noWrap/>
            <w:vAlign w:val="center"/>
          </w:tcPr>
          <w:p w14:paraId="6891CF1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-4.85 </w:t>
            </w:r>
          </w:p>
        </w:tc>
        <w:tc>
          <w:tcPr>
            <w:tcW w:w="1185" w:type="dxa"/>
            <w:tcBorders>
              <w:top w:val="nil"/>
              <w:left w:val="nil"/>
              <w:bottom w:val="nil"/>
              <w:right w:val="nil"/>
            </w:tcBorders>
            <w:shd w:val="clear" w:color="auto" w:fill="auto"/>
            <w:noWrap/>
            <w:vAlign w:val="center"/>
          </w:tcPr>
          <w:p w14:paraId="4A02970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-7.93~-1.93</w:t>
            </w:r>
          </w:p>
        </w:tc>
        <w:tc>
          <w:tcPr>
            <w:tcW w:w="782" w:type="dxa"/>
            <w:tcBorders>
              <w:top w:val="nil"/>
              <w:left w:val="nil"/>
              <w:bottom w:val="nil"/>
              <w:right w:val="nil"/>
            </w:tcBorders>
            <w:shd w:val="clear" w:color="auto" w:fill="auto"/>
            <w:noWrap/>
            <w:vAlign w:val="center"/>
          </w:tcPr>
          <w:p w14:paraId="5DF7908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&lt;0.001</w:t>
            </w:r>
          </w:p>
        </w:tc>
        <w:tc>
          <w:tcPr>
            <w:tcW w:w="222" w:type="dxa"/>
            <w:tcBorders>
              <w:top w:val="nil"/>
              <w:left w:val="nil"/>
              <w:bottom w:val="nil"/>
              <w:right w:val="nil"/>
            </w:tcBorders>
            <w:shd w:val="clear" w:color="auto" w:fill="auto"/>
            <w:noWrap/>
            <w:vAlign w:val="center"/>
          </w:tcPr>
          <w:p w14:paraId="7517BDDB">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53726DA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265.08 </w:t>
            </w:r>
          </w:p>
        </w:tc>
        <w:tc>
          <w:tcPr>
            <w:tcW w:w="735" w:type="dxa"/>
            <w:tcBorders>
              <w:top w:val="nil"/>
              <w:left w:val="nil"/>
              <w:bottom w:val="nil"/>
              <w:right w:val="nil"/>
            </w:tcBorders>
            <w:shd w:val="clear" w:color="auto" w:fill="auto"/>
            <w:noWrap/>
            <w:vAlign w:val="center"/>
          </w:tcPr>
          <w:p w14:paraId="5A99015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275.06 </w:t>
            </w:r>
          </w:p>
        </w:tc>
        <w:tc>
          <w:tcPr>
            <w:tcW w:w="765" w:type="dxa"/>
            <w:tcBorders>
              <w:top w:val="nil"/>
              <w:left w:val="nil"/>
              <w:bottom w:val="nil"/>
              <w:right w:val="nil"/>
            </w:tcBorders>
            <w:shd w:val="clear" w:color="auto" w:fill="auto"/>
            <w:noWrap/>
            <w:vAlign w:val="center"/>
          </w:tcPr>
          <w:p w14:paraId="5C7B143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-1.82 </w:t>
            </w:r>
          </w:p>
        </w:tc>
        <w:tc>
          <w:tcPr>
            <w:tcW w:w="1230" w:type="dxa"/>
            <w:tcBorders>
              <w:top w:val="nil"/>
              <w:left w:val="nil"/>
              <w:bottom w:val="nil"/>
              <w:right w:val="nil"/>
            </w:tcBorders>
            <w:shd w:val="clear" w:color="auto" w:fill="auto"/>
            <w:noWrap/>
            <w:vAlign w:val="center"/>
          </w:tcPr>
          <w:p w14:paraId="3585D5F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-7.14~3.65</w:t>
            </w:r>
          </w:p>
        </w:tc>
        <w:tc>
          <w:tcPr>
            <w:tcW w:w="690" w:type="dxa"/>
            <w:tcBorders>
              <w:top w:val="nil"/>
              <w:left w:val="nil"/>
              <w:bottom w:val="nil"/>
              <w:right w:val="nil"/>
            </w:tcBorders>
            <w:shd w:val="clear" w:color="auto" w:fill="auto"/>
            <w:noWrap/>
            <w:vAlign w:val="center"/>
          </w:tcPr>
          <w:p w14:paraId="69D1E72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0.523 </w:t>
            </w:r>
          </w:p>
        </w:tc>
      </w:tr>
      <w:tr w14:paraId="16899C99">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5BC3A85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55~59</w:t>
            </w:r>
          </w:p>
        </w:tc>
        <w:tc>
          <w:tcPr>
            <w:tcW w:w="825" w:type="dxa"/>
            <w:tcBorders>
              <w:top w:val="nil"/>
              <w:left w:val="nil"/>
              <w:bottom w:val="nil"/>
              <w:right w:val="nil"/>
            </w:tcBorders>
            <w:shd w:val="clear" w:color="auto" w:fill="auto"/>
            <w:noWrap/>
            <w:vAlign w:val="center"/>
          </w:tcPr>
          <w:p w14:paraId="342CB5D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390.13 </w:t>
            </w:r>
          </w:p>
        </w:tc>
        <w:tc>
          <w:tcPr>
            <w:tcW w:w="810" w:type="dxa"/>
            <w:tcBorders>
              <w:top w:val="nil"/>
              <w:left w:val="nil"/>
              <w:bottom w:val="nil"/>
              <w:right w:val="nil"/>
            </w:tcBorders>
            <w:shd w:val="clear" w:color="auto" w:fill="auto"/>
            <w:noWrap/>
            <w:vAlign w:val="center"/>
          </w:tcPr>
          <w:p w14:paraId="1A00E66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367.84 </w:t>
            </w:r>
          </w:p>
        </w:tc>
        <w:tc>
          <w:tcPr>
            <w:tcW w:w="675" w:type="dxa"/>
            <w:tcBorders>
              <w:top w:val="nil"/>
              <w:left w:val="nil"/>
              <w:bottom w:val="nil"/>
              <w:right w:val="nil"/>
            </w:tcBorders>
            <w:shd w:val="clear" w:color="auto" w:fill="auto"/>
            <w:noWrap/>
            <w:vAlign w:val="center"/>
          </w:tcPr>
          <w:p w14:paraId="5E843AD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-1.32 </w:t>
            </w:r>
          </w:p>
        </w:tc>
        <w:tc>
          <w:tcPr>
            <w:tcW w:w="1185" w:type="dxa"/>
            <w:tcBorders>
              <w:top w:val="nil"/>
              <w:left w:val="nil"/>
              <w:bottom w:val="nil"/>
              <w:right w:val="nil"/>
            </w:tcBorders>
            <w:shd w:val="clear" w:color="auto" w:fill="auto"/>
            <w:noWrap/>
            <w:vAlign w:val="center"/>
          </w:tcPr>
          <w:p w14:paraId="255C9E0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-2.90~0.33</w:t>
            </w:r>
          </w:p>
        </w:tc>
        <w:tc>
          <w:tcPr>
            <w:tcW w:w="780" w:type="dxa"/>
            <w:tcBorders>
              <w:top w:val="nil"/>
              <w:left w:val="nil"/>
              <w:bottom w:val="nil"/>
              <w:right w:val="nil"/>
            </w:tcBorders>
            <w:shd w:val="clear" w:color="auto" w:fill="auto"/>
            <w:noWrap/>
            <w:vAlign w:val="center"/>
          </w:tcPr>
          <w:p w14:paraId="2B4B868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0.119 </w:t>
            </w:r>
          </w:p>
        </w:tc>
        <w:tc>
          <w:tcPr>
            <w:tcW w:w="240" w:type="dxa"/>
            <w:tcBorders>
              <w:top w:val="nil"/>
              <w:left w:val="nil"/>
              <w:bottom w:val="nil"/>
              <w:right w:val="nil"/>
            </w:tcBorders>
            <w:shd w:val="clear" w:color="auto" w:fill="auto"/>
            <w:noWrap/>
            <w:vAlign w:val="center"/>
          </w:tcPr>
          <w:p w14:paraId="5BCA794D">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79AFAD7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467.30 </w:t>
            </w:r>
          </w:p>
        </w:tc>
        <w:tc>
          <w:tcPr>
            <w:tcW w:w="840" w:type="dxa"/>
            <w:tcBorders>
              <w:top w:val="nil"/>
              <w:left w:val="nil"/>
              <w:bottom w:val="nil"/>
              <w:right w:val="nil"/>
            </w:tcBorders>
            <w:shd w:val="clear" w:color="auto" w:fill="auto"/>
            <w:noWrap/>
            <w:vAlign w:val="center"/>
          </w:tcPr>
          <w:p w14:paraId="3B7A6C6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419.81 </w:t>
            </w:r>
          </w:p>
        </w:tc>
        <w:tc>
          <w:tcPr>
            <w:tcW w:w="735" w:type="dxa"/>
            <w:tcBorders>
              <w:top w:val="nil"/>
              <w:left w:val="nil"/>
              <w:bottom w:val="nil"/>
              <w:right w:val="nil"/>
            </w:tcBorders>
            <w:shd w:val="clear" w:color="auto" w:fill="auto"/>
            <w:noWrap/>
            <w:vAlign w:val="center"/>
          </w:tcPr>
          <w:p w14:paraId="4EB70A3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-1.66 </w:t>
            </w:r>
          </w:p>
        </w:tc>
        <w:tc>
          <w:tcPr>
            <w:tcW w:w="1185" w:type="dxa"/>
            <w:tcBorders>
              <w:top w:val="nil"/>
              <w:left w:val="nil"/>
              <w:bottom w:val="nil"/>
              <w:right w:val="nil"/>
            </w:tcBorders>
            <w:shd w:val="clear" w:color="auto" w:fill="auto"/>
            <w:noWrap/>
            <w:vAlign w:val="center"/>
          </w:tcPr>
          <w:p w14:paraId="47597D1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-4.61~1.65</w:t>
            </w:r>
          </w:p>
        </w:tc>
        <w:tc>
          <w:tcPr>
            <w:tcW w:w="782" w:type="dxa"/>
            <w:tcBorders>
              <w:top w:val="nil"/>
              <w:left w:val="nil"/>
              <w:bottom w:val="nil"/>
              <w:right w:val="nil"/>
            </w:tcBorders>
            <w:shd w:val="clear" w:color="auto" w:fill="auto"/>
            <w:noWrap/>
            <w:vAlign w:val="center"/>
          </w:tcPr>
          <w:p w14:paraId="4DE92F2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0.316 </w:t>
            </w:r>
          </w:p>
        </w:tc>
        <w:tc>
          <w:tcPr>
            <w:tcW w:w="222" w:type="dxa"/>
            <w:tcBorders>
              <w:top w:val="nil"/>
              <w:left w:val="nil"/>
              <w:bottom w:val="nil"/>
              <w:right w:val="nil"/>
            </w:tcBorders>
            <w:shd w:val="clear" w:color="auto" w:fill="auto"/>
            <w:noWrap/>
            <w:vAlign w:val="center"/>
          </w:tcPr>
          <w:p w14:paraId="4DD7AABB">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0BAD99B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307.20 </w:t>
            </w:r>
          </w:p>
        </w:tc>
        <w:tc>
          <w:tcPr>
            <w:tcW w:w="735" w:type="dxa"/>
            <w:tcBorders>
              <w:top w:val="nil"/>
              <w:left w:val="nil"/>
              <w:bottom w:val="nil"/>
              <w:right w:val="nil"/>
            </w:tcBorders>
            <w:shd w:val="clear" w:color="auto" w:fill="auto"/>
            <w:noWrap/>
            <w:vAlign w:val="center"/>
          </w:tcPr>
          <w:p w14:paraId="290B1B1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318.20 </w:t>
            </w:r>
          </w:p>
        </w:tc>
        <w:tc>
          <w:tcPr>
            <w:tcW w:w="765" w:type="dxa"/>
            <w:tcBorders>
              <w:top w:val="nil"/>
              <w:left w:val="nil"/>
              <w:bottom w:val="nil"/>
              <w:right w:val="nil"/>
            </w:tcBorders>
            <w:shd w:val="clear" w:color="auto" w:fill="auto"/>
            <w:noWrap/>
            <w:vAlign w:val="center"/>
          </w:tcPr>
          <w:p w14:paraId="6457CA4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-0.53 </w:t>
            </w:r>
          </w:p>
        </w:tc>
        <w:tc>
          <w:tcPr>
            <w:tcW w:w="1230" w:type="dxa"/>
            <w:tcBorders>
              <w:top w:val="nil"/>
              <w:left w:val="nil"/>
              <w:bottom w:val="nil"/>
              <w:right w:val="nil"/>
            </w:tcBorders>
            <w:shd w:val="clear" w:color="auto" w:fill="auto"/>
            <w:noWrap/>
            <w:vAlign w:val="center"/>
          </w:tcPr>
          <w:p w14:paraId="49468AE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-4.68~4.36</w:t>
            </w:r>
          </w:p>
        </w:tc>
        <w:tc>
          <w:tcPr>
            <w:tcW w:w="690" w:type="dxa"/>
            <w:tcBorders>
              <w:top w:val="nil"/>
              <w:left w:val="nil"/>
              <w:bottom w:val="nil"/>
              <w:right w:val="nil"/>
            </w:tcBorders>
            <w:shd w:val="clear" w:color="auto" w:fill="auto"/>
            <w:noWrap/>
            <w:vAlign w:val="center"/>
          </w:tcPr>
          <w:p w14:paraId="2E6CA59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0.862 </w:t>
            </w:r>
          </w:p>
        </w:tc>
      </w:tr>
      <w:tr w14:paraId="3E4407FD">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3908659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60~64</w:t>
            </w:r>
          </w:p>
        </w:tc>
        <w:tc>
          <w:tcPr>
            <w:tcW w:w="825" w:type="dxa"/>
            <w:tcBorders>
              <w:top w:val="nil"/>
              <w:left w:val="nil"/>
              <w:bottom w:val="nil"/>
              <w:right w:val="nil"/>
            </w:tcBorders>
            <w:shd w:val="clear" w:color="auto" w:fill="auto"/>
            <w:noWrap/>
            <w:vAlign w:val="center"/>
          </w:tcPr>
          <w:p w14:paraId="0938E59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657.63 </w:t>
            </w:r>
          </w:p>
        </w:tc>
        <w:tc>
          <w:tcPr>
            <w:tcW w:w="810" w:type="dxa"/>
            <w:tcBorders>
              <w:top w:val="nil"/>
              <w:left w:val="nil"/>
              <w:bottom w:val="nil"/>
              <w:right w:val="nil"/>
            </w:tcBorders>
            <w:shd w:val="clear" w:color="auto" w:fill="auto"/>
            <w:noWrap/>
            <w:vAlign w:val="center"/>
          </w:tcPr>
          <w:p w14:paraId="76AC945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508.58 </w:t>
            </w:r>
          </w:p>
        </w:tc>
        <w:tc>
          <w:tcPr>
            <w:tcW w:w="675" w:type="dxa"/>
            <w:tcBorders>
              <w:top w:val="nil"/>
              <w:left w:val="nil"/>
              <w:bottom w:val="nil"/>
              <w:right w:val="nil"/>
            </w:tcBorders>
            <w:shd w:val="clear" w:color="auto" w:fill="auto"/>
            <w:noWrap/>
            <w:vAlign w:val="center"/>
          </w:tcPr>
          <w:p w14:paraId="7925519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-4.60 </w:t>
            </w:r>
          </w:p>
        </w:tc>
        <w:tc>
          <w:tcPr>
            <w:tcW w:w="1185" w:type="dxa"/>
            <w:tcBorders>
              <w:top w:val="nil"/>
              <w:left w:val="nil"/>
              <w:bottom w:val="nil"/>
              <w:right w:val="nil"/>
            </w:tcBorders>
            <w:shd w:val="clear" w:color="auto" w:fill="auto"/>
            <w:noWrap/>
            <w:vAlign w:val="center"/>
          </w:tcPr>
          <w:p w14:paraId="16D96E1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-14.28~4.68</w:t>
            </w:r>
          </w:p>
        </w:tc>
        <w:tc>
          <w:tcPr>
            <w:tcW w:w="780" w:type="dxa"/>
            <w:tcBorders>
              <w:top w:val="nil"/>
              <w:left w:val="nil"/>
              <w:bottom w:val="nil"/>
              <w:right w:val="nil"/>
            </w:tcBorders>
            <w:shd w:val="clear" w:color="auto" w:fill="auto"/>
            <w:noWrap/>
            <w:vAlign w:val="center"/>
          </w:tcPr>
          <w:p w14:paraId="62FA176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0.232 </w:t>
            </w:r>
          </w:p>
        </w:tc>
        <w:tc>
          <w:tcPr>
            <w:tcW w:w="240" w:type="dxa"/>
            <w:tcBorders>
              <w:top w:val="nil"/>
              <w:left w:val="nil"/>
              <w:bottom w:val="nil"/>
              <w:right w:val="nil"/>
            </w:tcBorders>
            <w:shd w:val="clear" w:color="auto" w:fill="auto"/>
            <w:noWrap/>
            <w:vAlign w:val="center"/>
          </w:tcPr>
          <w:p w14:paraId="2119DE68">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08E2C55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829.04 </w:t>
            </w:r>
          </w:p>
        </w:tc>
        <w:tc>
          <w:tcPr>
            <w:tcW w:w="840" w:type="dxa"/>
            <w:tcBorders>
              <w:top w:val="nil"/>
              <w:left w:val="nil"/>
              <w:bottom w:val="nil"/>
              <w:right w:val="nil"/>
            </w:tcBorders>
            <w:shd w:val="clear" w:color="auto" w:fill="auto"/>
            <w:noWrap/>
            <w:vAlign w:val="center"/>
          </w:tcPr>
          <w:p w14:paraId="59314C6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679.93 </w:t>
            </w:r>
          </w:p>
        </w:tc>
        <w:tc>
          <w:tcPr>
            <w:tcW w:w="735" w:type="dxa"/>
            <w:tcBorders>
              <w:top w:val="nil"/>
              <w:left w:val="nil"/>
              <w:bottom w:val="nil"/>
              <w:right w:val="nil"/>
            </w:tcBorders>
            <w:shd w:val="clear" w:color="auto" w:fill="auto"/>
            <w:noWrap/>
            <w:vAlign w:val="center"/>
          </w:tcPr>
          <w:p w14:paraId="363419E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-3.05 </w:t>
            </w:r>
          </w:p>
        </w:tc>
        <w:tc>
          <w:tcPr>
            <w:tcW w:w="1185" w:type="dxa"/>
            <w:tcBorders>
              <w:top w:val="nil"/>
              <w:left w:val="nil"/>
              <w:bottom w:val="nil"/>
              <w:right w:val="nil"/>
            </w:tcBorders>
            <w:shd w:val="clear" w:color="auto" w:fill="auto"/>
            <w:noWrap/>
            <w:vAlign w:val="center"/>
          </w:tcPr>
          <w:p w14:paraId="3AB05CD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-9.75~3.15</w:t>
            </w:r>
          </w:p>
        </w:tc>
        <w:tc>
          <w:tcPr>
            <w:tcW w:w="782" w:type="dxa"/>
            <w:tcBorders>
              <w:top w:val="nil"/>
              <w:left w:val="nil"/>
              <w:bottom w:val="nil"/>
              <w:right w:val="nil"/>
            </w:tcBorders>
            <w:shd w:val="clear" w:color="auto" w:fill="auto"/>
            <w:noWrap/>
            <w:vAlign w:val="center"/>
          </w:tcPr>
          <w:p w14:paraId="537D6EF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0.248 </w:t>
            </w:r>
          </w:p>
        </w:tc>
        <w:tc>
          <w:tcPr>
            <w:tcW w:w="222" w:type="dxa"/>
            <w:tcBorders>
              <w:top w:val="nil"/>
              <w:left w:val="nil"/>
              <w:bottom w:val="nil"/>
              <w:right w:val="nil"/>
            </w:tcBorders>
            <w:shd w:val="clear" w:color="auto" w:fill="auto"/>
            <w:noWrap/>
            <w:vAlign w:val="center"/>
          </w:tcPr>
          <w:p w14:paraId="765ED339">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06BC5A4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447.95 </w:t>
            </w:r>
          </w:p>
        </w:tc>
        <w:tc>
          <w:tcPr>
            <w:tcW w:w="735" w:type="dxa"/>
            <w:tcBorders>
              <w:top w:val="nil"/>
              <w:left w:val="nil"/>
              <w:bottom w:val="nil"/>
              <w:right w:val="nil"/>
            </w:tcBorders>
            <w:shd w:val="clear" w:color="auto" w:fill="auto"/>
            <w:noWrap/>
            <w:vAlign w:val="center"/>
          </w:tcPr>
          <w:p w14:paraId="77E7E4B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328.17 </w:t>
            </w:r>
          </w:p>
        </w:tc>
        <w:tc>
          <w:tcPr>
            <w:tcW w:w="765" w:type="dxa"/>
            <w:tcBorders>
              <w:top w:val="nil"/>
              <w:left w:val="nil"/>
              <w:bottom w:val="nil"/>
              <w:right w:val="nil"/>
            </w:tcBorders>
            <w:shd w:val="clear" w:color="auto" w:fill="auto"/>
            <w:noWrap/>
            <w:vAlign w:val="center"/>
          </w:tcPr>
          <w:p w14:paraId="16B150E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-6.55 </w:t>
            </w:r>
          </w:p>
        </w:tc>
        <w:tc>
          <w:tcPr>
            <w:tcW w:w="1230" w:type="dxa"/>
            <w:tcBorders>
              <w:top w:val="nil"/>
              <w:left w:val="nil"/>
              <w:bottom w:val="nil"/>
              <w:right w:val="nil"/>
            </w:tcBorders>
            <w:shd w:val="clear" w:color="auto" w:fill="auto"/>
            <w:noWrap/>
            <w:vAlign w:val="center"/>
          </w:tcPr>
          <w:p w14:paraId="518755A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-17.43~4.14</w:t>
            </w:r>
          </w:p>
        </w:tc>
        <w:tc>
          <w:tcPr>
            <w:tcW w:w="690" w:type="dxa"/>
            <w:tcBorders>
              <w:top w:val="nil"/>
              <w:left w:val="nil"/>
              <w:bottom w:val="nil"/>
              <w:right w:val="nil"/>
            </w:tcBorders>
            <w:shd w:val="clear" w:color="auto" w:fill="auto"/>
            <w:noWrap/>
            <w:vAlign w:val="center"/>
          </w:tcPr>
          <w:p w14:paraId="5D37B97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0.171 </w:t>
            </w:r>
          </w:p>
        </w:tc>
      </w:tr>
      <w:tr w14:paraId="6991C132">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00891BF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65~69</w:t>
            </w:r>
          </w:p>
        </w:tc>
        <w:tc>
          <w:tcPr>
            <w:tcW w:w="825" w:type="dxa"/>
            <w:tcBorders>
              <w:top w:val="nil"/>
              <w:left w:val="nil"/>
              <w:bottom w:val="nil"/>
              <w:right w:val="nil"/>
            </w:tcBorders>
            <w:shd w:val="clear" w:color="auto" w:fill="auto"/>
            <w:noWrap/>
            <w:vAlign w:val="center"/>
          </w:tcPr>
          <w:p w14:paraId="09BC59C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784.69 </w:t>
            </w:r>
          </w:p>
        </w:tc>
        <w:tc>
          <w:tcPr>
            <w:tcW w:w="810" w:type="dxa"/>
            <w:tcBorders>
              <w:top w:val="nil"/>
              <w:left w:val="nil"/>
              <w:bottom w:val="nil"/>
              <w:right w:val="nil"/>
            </w:tcBorders>
            <w:shd w:val="clear" w:color="auto" w:fill="auto"/>
            <w:noWrap/>
            <w:vAlign w:val="center"/>
          </w:tcPr>
          <w:p w14:paraId="416F486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750.12 </w:t>
            </w:r>
          </w:p>
        </w:tc>
        <w:tc>
          <w:tcPr>
            <w:tcW w:w="675" w:type="dxa"/>
            <w:tcBorders>
              <w:top w:val="nil"/>
              <w:left w:val="nil"/>
              <w:bottom w:val="nil"/>
              <w:right w:val="nil"/>
            </w:tcBorders>
            <w:shd w:val="clear" w:color="auto" w:fill="auto"/>
            <w:noWrap/>
            <w:vAlign w:val="center"/>
          </w:tcPr>
          <w:p w14:paraId="5167675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-1.03 </w:t>
            </w:r>
          </w:p>
        </w:tc>
        <w:tc>
          <w:tcPr>
            <w:tcW w:w="1185" w:type="dxa"/>
            <w:tcBorders>
              <w:top w:val="nil"/>
              <w:left w:val="nil"/>
              <w:bottom w:val="nil"/>
              <w:right w:val="nil"/>
            </w:tcBorders>
            <w:shd w:val="clear" w:color="auto" w:fill="auto"/>
            <w:noWrap/>
            <w:vAlign w:val="center"/>
          </w:tcPr>
          <w:p w14:paraId="03099EC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-3.87~1.84</w:t>
            </w:r>
          </w:p>
        </w:tc>
        <w:tc>
          <w:tcPr>
            <w:tcW w:w="780" w:type="dxa"/>
            <w:tcBorders>
              <w:top w:val="nil"/>
              <w:left w:val="nil"/>
              <w:bottom w:val="nil"/>
              <w:right w:val="nil"/>
            </w:tcBorders>
            <w:shd w:val="clear" w:color="auto" w:fill="auto"/>
            <w:noWrap/>
            <w:vAlign w:val="center"/>
          </w:tcPr>
          <w:p w14:paraId="32D2F5E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0.418 </w:t>
            </w:r>
          </w:p>
        </w:tc>
        <w:tc>
          <w:tcPr>
            <w:tcW w:w="240" w:type="dxa"/>
            <w:tcBorders>
              <w:top w:val="nil"/>
              <w:left w:val="nil"/>
              <w:bottom w:val="nil"/>
              <w:right w:val="nil"/>
            </w:tcBorders>
            <w:shd w:val="clear" w:color="auto" w:fill="auto"/>
            <w:noWrap/>
            <w:vAlign w:val="center"/>
          </w:tcPr>
          <w:p w14:paraId="797E5D2E">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252DDA7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1059.03 </w:t>
            </w:r>
          </w:p>
        </w:tc>
        <w:tc>
          <w:tcPr>
            <w:tcW w:w="840" w:type="dxa"/>
            <w:tcBorders>
              <w:top w:val="nil"/>
              <w:left w:val="nil"/>
              <w:bottom w:val="nil"/>
              <w:right w:val="nil"/>
            </w:tcBorders>
            <w:shd w:val="clear" w:color="auto" w:fill="auto"/>
            <w:noWrap/>
            <w:vAlign w:val="center"/>
          </w:tcPr>
          <w:p w14:paraId="7AE8967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956.72 </w:t>
            </w:r>
          </w:p>
        </w:tc>
        <w:tc>
          <w:tcPr>
            <w:tcW w:w="735" w:type="dxa"/>
            <w:tcBorders>
              <w:top w:val="nil"/>
              <w:left w:val="nil"/>
              <w:bottom w:val="nil"/>
              <w:right w:val="nil"/>
            </w:tcBorders>
            <w:shd w:val="clear" w:color="auto" w:fill="auto"/>
            <w:noWrap/>
            <w:vAlign w:val="center"/>
          </w:tcPr>
          <w:p w14:paraId="4C879CE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-2.07 </w:t>
            </w:r>
          </w:p>
        </w:tc>
        <w:tc>
          <w:tcPr>
            <w:tcW w:w="1185" w:type="dxa"/>
            <w:tcBorders>
              <w:top w:val="nil"/>
              <w:left w:val="nil"/>
              <w:bottom w:val="nil"/>
              <w:right w:val="nil"/>
            </w:tcBorders>
            <w:shd w:val="clear" w:color="auto" w:fill="auto"/>
            <w:noWrap/>
            <w:vAlign w:val="center"/>
          </w:tcPr>
          <w:p w14:paraId="436512A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-4.91~0.80</w:t>
            </w:r>
          </w:p>
        </w:tc>
        <w:tc>
          <w:tcPr>
            <w:tcW w:w="782" w:type="dxa"/>
            <w:tcBorders>
              <w:top w:val="nil"/>
              <w:left w:val="nil"/>
              <w:bottom w:val="nil"/>
              <w:right w:val="nil"/>
            </w:tcBorders>
            <w:shd w:val="clear" w:color="auto" w:fill="auto"/>
            <w:noWrap/>
            <w:vAlign w:val="center"/>
          </w:tcPr>
          <w:p w14:paraId="627985D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0.151 </w:t>
            </w:r>
          </w:p>
        </w:tc>
        <w:tc>
          <w:tcPr>
            <w:tcW w:w="222" w:type="dxa"/>
            <w:tcBorders>
              <w:top w:val="nil"/>
              <w:left w:val="nil"/>
              <w:bottom w:val="nil"/>
              <w:right w:val="nil"/>
            </w:tcBorders>
            <w:shd w:val="clear" w:color="auto" w:fill="auto"/>
            <w:noWrap/>
            <w:vAlign w:val="center"/>
          </w:tcPr>
          <w:p w14:paraId="68CD967A">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3AA3669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494.15 </w:t>
            </w:r>
          </w:p>
        </w:tc>
        <w:tc>
          <w:tcPr>
            <w:tcW w:w="735" w:type="dxa"/>
            <w:tcBorders>
              <w:top w:val="nil"/>
              <w:left w:val="nil"/>
              <w:bottom w:val="nil"/>
              <w:right w:val="nil"/>
            </w:tcBorders>
            <w:shd w:val="clear" w:color="auto" w:fill="auto"/>
            <w:noWrap/>
            <w:vAlign w:val="center"/>
          </w:tcPr>
          <w:p w14:paraId="0920973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506.56 </w:t>
            </w:r>
          </w:p>
        </w:tc>
        <w:tc>
          <w:tcPr>
            <w:tcW w:w="765" w:type="dxa"/>
            <w:tcBorders>
              <w:top w:val="nil"/>
              <w:left w:val="nil"/>
              <w:bottom w:val="nil"/>
              <w:right w:val="nil"/>
            </w:tcBorders>
            <w:shd w:val="clear" w:color="auto" w:fill="auto"/>
            <w:noWrap/>
            <w:vAlign w:val="center"/>
          </w:tcPr>
          <w:p w14:paraId="6C2E3EB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0.14 </w:t>
            </w:r>
          </w:p>
        </w:tc>
        <w:tc>
          <w:tcPr>
            <w:tcW w:w="1230" w:type="dxa"/>
            <w:tcBorders>
              <w:top w:val="nil"/>
              <w:left w:val="nil"/>
              <w:bottom w:val="nil"/>
              <w:right w:val="nil"/>
            </w:tcBorders>
            <w:shd w:val="clear" w:color="auto" w:fill="auto"/>
            <w:noWrap/>
            <w:vAlign w:val="center"/>
          </w:tcPr>
          <w:p w14:paraId="03B91ED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-2.28~2.53</w:t>
            </w:r>
          </w:p>
        </w:tc>
        <w:tc>
          <w:tcPr>
            <w:tcW w:w="690" w:type="dxa"/>
            <w:tcBorders>
              <w:top w:val="nil"/>
              <w:left w:val="nil"/>
              <w:bottom w:val="nil"/>
              <w:right w:val="nil"/>
            </w:tcBorders>
            <w:shd w:val="clear" w:color="auto" w:fill="auto"/>
            <w:noWrap/>
            <w:vAlign w:val="center"/>
          </w:tcPr>
          <w:p w14:paraId="49730E0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0.936 </w:t>
            </w:r>
          </w:p>
        </w:tc>
      </w:tr>
      <w:tr w14:paraId="777DD6AD">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199BD2B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70~74</w:t>
            </w:r>
          </w:p>
        </w:tc>
        <w:tc>
          <w:tcPr>
            <w:tcW w:w="825" w:type="dxa"/>
            <w:tcBorders>
              <w:top w:val="nil"/>
              <w:left w:val="nil"/>
              <w:bottom w:val="nil"/>
              <w:right w:val="nil"/>
            </w:tcBorders>
            <w:shd w:val="clear" w:color="auto" w:fill="auto"/>
            <w:noWrap/>
            <w:vAlign w:val="center"/>
          </w:tcPr>
          <w:p w14:paraId="0A1812E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1017.65 </w:t>
            </w:r>
          </w:p>
        </w:tc>
        <w:tc>
          <w:tcPr>
            <w:tcW w:w="810" w:type="dxa"/>
            <w:tcBorders>
              <w:top w:val="nil"/>
              <w:left w:val="nil"/>
              <w:bottom w:val="nil"/>
              <w:right w:val="nil"/>
            </w:tcBorders>
            <w:shd w:val="clear" w:color="auto" w:fill="auto"/>
            <w:noWrap/>
            <w:vAlign w:val="center"/>
          </w:tcPr>
          <w:p w14:paraId="47CDA9D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913.13 </w:t>
            </w:r>
          </w:p>
        </w:tc>
        <w:tc>
          <w:tcPr>
            <w:tcW w:w="675" w:type="dxa"/>
            <w:tcBorders>
              <w:top w:val="nil"/>
              <w:left w:val="nil"/>
              <w:bottom w:val="nil"/>
              <w:right w:val="nil"/>
            </w:tcBorders>
            <w:shd w:val="clear" w:color="auto" w:fill="auto"/>
            <w:noWrap/>
            <w:vAlign w:val="center"/>
          </w:tcPr>
          <w:p w14:paraId="6E90052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-3.19 </w:t>
            </w:r>
          </w:p>
        </w:tc>
        <w:tc>
          <w:tcPr>
            <w:tcW w:w="1185" w:type="dxa"/>
            <w:tcBorders>
              <w:top w:val="nil"/>
              <w:left w:val="nil"/>
              <w:bottom w:val="nil"/>
              <w:right w:val="nil"/>
            </w:tcBorders>
            <w:shd w:val="clear" w:color="auto" w:fill="auto"/>
            <w:noWrap/>
            <w:vAlign w:val="center"/>
          </w:tcPr>
          <w:p w14:paraId="5B9B664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-7.75~1.86</w:t>
            </w:r>
          </w:p>
        </w:tc>
        <w:tc>
          <w:tcPr>
            <w:tcW w:w="780" w:type="dxa"/>
            <w:tcBorders>
              <w:top w:val="nil"/>
              <w:left w:val="nil"/>
              <w:bottom w:val="nil"/>
              <w:right w:val="nil"/>
            </w:tcBorders>
            <w:shd w:val="clear" w:color="auto" w:fill="auto"/>
            <w:noWrap/>
            <w:vAlign w:val="center"/>
          </w:tcPr>
          <w:p w14:paraId="716E0D4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0.200 </w:t>
            </w:r>
          </w:p>
        </w:tc>
        <w:tc>
          <w:tcPr>
            <w:tcW w:w="240" w:type="dxa"/>
            <w:tcBorders>
              <w:top w:val="nil"/>
              <w:left w:val="nil"/>
              <w:bottom w:val="nil"/>
              <w:right w:val="nil"/>
            </w:tcBorders>
            <w:shd w:val="clear" w:color="auto" w:fill="auto"/>
            <w:noWrap/>
            <w:vAlign w:val="center"/>
          </w:tcPr>
          <w:p w14:paraId="3E4365F3">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17DA036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1353.17 </w:t>
            </w:r>
          </w:p>
        </w:tc>
        <w:tc>
          <w:tcPr>
            <w:tcW w:w="840" w:type="dxa"/>
            <w:tcBorders>
              <w:top w:val="nil"/>
              <w:left w:val="nil"/>
              <w:bottom w:val="nil"/>
              <w:right w:val="nil"/>
            </w:tcBorders>
            <w:shd w:val="clear" w:color="auto" w:fill="auto"/>
            <w:noWrap/>
            <w:vAlign w:val="center"/>
          </w:tcPr>
          <w:p w14:paraId="40AB710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1221.23 </w:t>
            </w:r>
          </w:p>
        </w:tc>
        <w:tc>
          <w:tcPr>
            <w:tcW w:w="735" w:type="dxa"/>
            <w:tcBorders>
              <w:top w:val="nil"/>
              <w:left w:val="nil"/>
              <w:bottom w:val="nil"/>
              <w:right w:val="nil"/>
            </w:tcBorders>
            <w:shd w:val="clear" w:color="auto" w:fill="auto"/>
            <w:noWrap/>
            <w:vAlign w:val="center"/>
          </w:tcPr>
          <w:p w14:paraId="0970FD6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-3.14 </w:t>
            </w:r>
          </w:p>
        </w:tc>
        <w:tc>
          <w:tcPr>
            <w:tcW w:w="1185" w:type="dxa"/>
            <w:tcBorders>
              <w:top w:val="nil"/>
              <w:left w:val="nil"/>
              <w:bottom w:val="nil"/>
              <w:right w:val="nil"/>
            </w:tcBorders>
            <w:shd w:val="clear" w:color="auto" w:fill="auto"/>
            <w:noWrap/>
            <w:vAlign w:val="center"/>
          </w:tcPr>
          <w:p w14:paraId="70FBCE7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-7.52~1.57</w:t>
            </w:r>
          </w:p>
        </w:tc>
        <w:tc>
          <w:tcPr>
            <w:tcW w:w="782" w:type="dxa"/>
            <w:tcBorders>
              <w:top w:val="nil"/>
              <w:left w:val="nil"/>
              <w:bottom w:val="nil"/>
              <w:right w:val="nil"/>
            </w:tcBorders>
            <w:shd w:val="clear" w:color="auto" w:fill="auto"/>
            <w:noWrap/>
            <w:vAlign w:val="center"/>
          </w:tcPr>
          <w:p w14:paraId="7C96021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0.186 </w:t>
            </w:r>
          </w:p>
        </w:tc>
        <w:tc>
          <w:tcPr>
            <w:tcW w:w="222" w:type="dxa"/>
            <w:tcBorders>
              <w:top w:val="nil"/>
              <w:left w:val="nil"/>
              <w:bottom w:val="nil"/>
              <w:right w:val="nil"/>
            </w:tcBorders>
            <w:shd w:val="clear" w:color="auto" w:fill="auto"/>
            <w:noWrap/>
            <w:vAlign w:val="center"/>
          </w:tcPr>
          <w:p w14:paraId="0F0F2464">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11DE5C1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669.08 </w:t>
            </w:r>
          </w:p>
        </w:tc>
        <w:tc>
          <w:tcPr>
            <w:tcW w:w="735" w:type="dxa"/>
            <w:tcBorders>
              <w:top w:val="nil"/>
              <w:left w:val="nil"/>
              <w:bottom w:val="nil"/>
              <w:right w:val="nil"/>
            </w:tcBorders>
            <w:shd w:val="clear" w:color="auto" w:fill="auto"/>
            <w:noWrap/>
            <w:vAlign w:val="center"/>
          </w:tcPr>
          <w:p w14:paraId="3E83C7C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604.19 </w:t>
            </w:r>
          </w:p>
        </w:tc>
        <w:tc>
          <w:tcPr>
            <w:tcW w:w="765" w:type="dxa"/>
            <w:tcBorders>
              <w:top w:val="nil"/>
              <w:left w:val="nil"/>
              <w:bottom w:val="nil"/>
              <w:right w:val="nil"/>
            </w:tcBorders>
            <w:shd w:val="clear" w:color="auto" w:fill="auto"/>
            <w:noWrap/>
            <w:vAlign w:val="center"/>
          </w:tcPr>
          <w:p w14:paraId="0192CE3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-2.83 </w:t>
            </w:r>
          </w:p>
        </w:tc>
        <w:tc>
          <w:tcPr>
            <w:tcW w:w="1230" w:type="dxa"/>
            <w:tcBorders>
              <w:top w:val="nil"/>
              <w:left w:val="nil"/>
              <w:bottom w:val="nil"/>
              <w:right w:val="nil"/>
            </w:tcBorders>
            <w:shd w:val="clear" w:color="auto" w:fill="auto"/>
            <w:noWrap/>
            <w:vAlign w:val="center"/>
          </w:tcPr>
          <w:p w14:paraId="30CAB55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-6.06~0.78</w:t>
            </w:r>
          </w:p>
        </w:tc>
        <w:tc>
          <w:tcPr>
            <w:tcW w:w="690" w:type="dxa"/>
            <w:tcBorders>
              <w:top w:val="nil"/>
              <w:left w:val="nil"/>
              <w:bottom w:val="nil"/>
              <w:right w:val="nil"/>
            </w:tcBorders>
            <w:shd w:val="clear" w:color="auto" w:fill="auto"/>
            <w:noWrap/>
            <w:vAlign w:val="center"/>
          </w:tcPr>
          <w:p w14:paraId="38D6D4A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0.120 </w:t>
            </w:r>
          </w:p>
        </w:tc>
      </w:tr>
      <w:tr w14:paraId="4BD4B91E">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750B5E2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75~79</w:t>
            </w:r>
          </w:p>
        </w:tc>
        <w:tc>
          <w:tcPr>
            <w:tcW w:w="825" w:type="dxa"/>
            <w:tcBorders>
              <w:top w:val="nil"/>
              <w:left w:val="nil"/>
              <w:bottom w:val="nil"/>
              <w:right w:val="nil"/>
            </w:tcBorders>
            <w:shd w:val="clear" w:color="auto" w:fill="auto"/>
            <w:noWrap/>
            <w:vAlign w:val="center"/>
          </w:tcPr>
          <w:p w14:paraId="7CF4DD2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1121.64 </w:t>
            </w:r>
          </w:p>
        </w:tc>
        <w:tc>
          <w:tcPr>
            <w:tcW w:w="810" w:type="dxa"/>
            <w:tcBorders>
              <w:top w:val="nil"/>
              <w:left w:val="nil"/>
              <w:bottom w:val="nil"/>
              <w:right w:val="nil"/>
            </w:tcBorders>
            <w:shd w:val="clear" w:color="auto" w:fill="auto"/>
            <w:noWrap/>
            <w:vAlign w:val="center"/>
          </w:tcPr>
          <w:p w14:paraId="0B56F58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1109.14 </w:t>
            </w:r>
          </w:p>
        </w:tc>
        <w:tc>
          <w:tcPr>
            <w:tcW w:w="675" w:type="dxa"/>
            <w:tcBorders>
              <w:top w:val="nil"/>
              <w:left w:val="nil"/>
              <w:bottom w:val="nil"/>
              <w:right w:val="nil"/>
            </w:tcBorders>
            <w:shd w:val="clear" w:color="auto" w:fill="auto"/>
            <w:noWrap/>
            <w:vAlign w:val="center"/>
          </w:tcPr>
          <w:p w14:paraId="12E3D28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-1.05 </w:t>
            </w:r>
          </w:p>
        </w:tc>
        <w:tc>
          <w:tcPr>
            <w:tcW w:w="1185" w:type="dxa"/>
            <w:tcBorders>
              <w:top w:val="nil"/>
              <w:left w:val="nil"/>
              <w:bottom w:val="nil"/>
              <w:right w:val="nil"/>
            </w:tcBorders>
            <w:shd w:val="clear" w:color="auto" w:fill="auto"/>
            <w:noWrap/>
            <w:vAlign w:val="center"/>
          </w:tcPr>
          <w:p w14:paraId="2FAFF4F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-3.34~1.24</w:t>
            </w:r>
          </w:p>
        </w:tc>
        <w:tc>
          <w:tcPr>
            <w:tcW w:w="780" w:type="dxa"/>
            <w:tcBorders>
              <w:top w:val="nil"/>
              <w:left w:val="nil"/>
              <w:bottom w:val="nil"/>
              <w:right w:val="nil"/>
            </w:tcBorders>
            <w:shd w:val="clear" w:color="auto" w:fill="auto"/>
            <w:noWrap/>
            <w:vAlign w:val="center"/>
          </w:tcPr>
          <w:p w14:paraId="1DB9EBF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0.391 </w:t>
            </w:r>
          </w:p>
        </w:tc>
        <w:tc>
          <w:tcPr>
            <w:tcW w:w="240" w:type="dxa"/>
            <w:tcBorders>
              <w:top w:val="nil"/>
              <w:left w:val="nil"/>
              <w:bottom w:val="nil"/>
              <w:right w:val="nil"/>
            </w:tcBorders>
            <w:shd w:val="clear" w:color="auto" w:fill="auto"/>
            <w:noWrap/>
            <w:vAlign w:val="center"/>
          </w:tcPr>
          <w:p w14:paraId="1171B7B4">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7B94048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1518.03 </w:t>
            </w:r>
          </w:p>
        </w:tc>
        <w:tc>
          <w:tcPr>
            <w:tcW w:w="840" w:type="dxa"/>
            <w:tcBorders>
              <w:top w:val="nil"/>
              <w:left w:val="nil"/>
              <w:bottom w:val="nil"/>
              <w:right w:val="nil"/>
            </w:tcBorders>
            <w:shd w:val="clear" w:color="auto" w:fill="auto"/>
            <w:noWrap/>
            <w:vAlign w:val="center"/>
          </w:tcPr>
          <w:p w14:paraId="593511D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1488.29 </w:t>
            </w:r>
          </w:p>
        </w:tc>
        <w:tc>
          <w:tcPr>
            <w:tcW w:w="735" w:type="dxa"/>
            <w:tcBorders>
              <w:top w:val="nil"/>
              <w:left w:val="nil"/>
              <w:bottom w:val="nil"/>
              <w:right w:val="nil"/>
            </w:tcBorders>
            <w:shd w:val="clear" w:color="auto" w:fill="auto"/>
            <w:noWrap/>
            <w:vAlign w:val="center"/>
          </w:tcPr>
          <w:p w14:paraId="528390D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-1.53 </w:t>
            </w:r>
          </w:p>
        </w:tc>
        <w:tc>
          <w:tcPr>
            <w:tcW w:w="1185" w:type="dxa"/>
            <w:tcBorders>
              <w:top w:val="nil"/>
              <w:left w:val="nil"/>
              <w:bottom w:val="nil"/>
              <w:right w:val="nil"/>
            </w:tcBorders>
            <w:shd w:val="clear" w:color="auto" w:fill="auto"/>
            <w:noWrap/>
            <w:vAlign w:val="center"/>
          </w:tcPr>
          <w:p w14:paraId="5A75293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-4.70~1.75</w:t>
            </w:r>
          </w:p>
        </w:tc>
        <w:tc>
          <w:tcPr>
            <w:tcW w:w="782" w:type="dxa"/>
            <w:tcBorders>
              <w:top w:val="nil"/>
              <w:left w:val="nil"/>
              <w:bottom w:val="nil"/>
              <w:right w:val="nil"/>
            </w:tcBorders>
            <w:shd w:val="clear" w:color="auto" w:fill="auto"/>
            <w:noWrap/>
            <w:vAlign w:val="center"/>
          </w:tcPr>
          <w:p w14:paraId="77837B8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0.357 </w:t>
            </w:r>
          </w:p>
        </w:tc>
        <w:tc>
          <w:tcPr>
            <w:tcW w:w="222" w:type="dxa"/>
            <w:tcBorders>
              <w:top w:val="nil"/>
              <w:left w:val="nil"/>
              <w:bottom w:val="nil"/>
              <w:right w:val="nil"/>
            </w:tcBorders>
            <w:shd w:val="clear" w:color="auto" w:fill="auto"/>
            <w:noWrap/>
            <w:vAlign w:val="center"/>
          </w:tcPr>
          <w:p w14:paraId="299B65BE">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2B16EC9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745.46 </w:t>
            </w:r>
          </w:p>
        </w:tc>
        <w:tc>
          <w:tcPr>
            <w:tcW w:w="735" w:type="dxa"/>
            <w:tcBorders>
              <w:top w:val="nil"/>
              <w:left w:val="nil"/>
              <w:bottom w:val="nil"/>
              <w:right w:val="nil"/>
            </w:tcBorders>
            <w:shd w:val="clear" w:color="auto" w:fill="auto"/>
            <w:noWrap/>
            <w:vAlign w:val="center"/>
          </w:tcPr>
          <w:p w14:paraId="47B7012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743.85 </w:t>
            </w:r>
          </w:p>
        </w:tc>
        <w:tc>
          <w:tcPr>
            <w:tcW w:w="765" w:type="dxa"/>
            <w:tcBorders>
              <w:top w:val="nil"/>
              <w:left w:val="nil"/>
              <w:bottom w:val="nil"/>
              <w:right w:val="nil"/>
            </w:tcBorders>
            <w:shd w:val="clear" w:color="auto" w:fill="auto"/>
            <w:noWrap/>
            <w:vAlign w:val="center"/>
          </w:tcPr>
          <w:p w14:paraId="0126DE0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-0.25 </w:t>
            </w:r>
          </w:p>
        </w:tc>
        <w:tc>
          <w:tcPr>
            <w:tcW w:w="1230" w:type="dxa"/>
            <w:tcBorders>
              <w:top w:val="nil"/>
              <w:left w:val="nil"/>
              <w:bottom w:val="nil"/>
              <w:right w:val="nil"/>
            </w:tcBorders>
            <w:shd w:val="clear" w:color="auto" w:fill="auto"/>
            <w:noWrap/>
            <w:vAlign w:val="center"/>
          </w:tcPr>
          <w:p w14:paraId="1E720D6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-1.45~0.98</w:t>
            </w:r>
          </w:p>
        </w:tc>
        <w:tc>
          <w:tcPr>
            <w:tcW w:w="690" w:type="dxa"/>
            <w:tcBorders>
              <w:top w:val="nil"/>
              <w:left w:val="nil"/>
              <w:bottom w:val="nil"/>
              <w:right w:val="nil"/>
            </w:tcBorders>
            <w:shd w:val="clear" w:color="auto" w:fill="auto"/>
            <w:noWrap/>
            <w:vAlign w:val="center"/>
          </w:tcPr>
          <w:p w14:paraId="717680E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0.661 </w:t>
            </w:r>
          </w:p>
        </w:tc>
      </w:tr>
      <w:tr w14:paraId="4F6DD76B">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273571A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80~84</w:t>
            </w:r>
          </w:p>
        </w:tc>
        <w:tc>
          <w:tcPr>
            <w:tcW w:w="825" w:type="dxa"/>
            <w:tcBorders>
              <w:top w:val="nil"/>
              <w:left w:val="nil"/>
              <w:bottom w:val="nil"/>
              <w:right w:val="nil"/>
            </w:tcBorders>
            <w:shd w:val="clear" w:color="auto" w:fill="auto"/>
            <w:noWrap/>
            <w:vAlign w:val="center"/>
          </w:tcPr>
          <w:p w14:paraId="7073F07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1185.86 </w:t>
            </w:r>
          </w:p>
        </w:tc>
        <w:tc>
          <w:tcPr>
            <w:tcW w:w="810" w:type="dxa"/>
            <w:tcBorders>
              <w:top w:val="nil"/>
              <w:left w:val="nil"/>
              <w:bottom w:val="nil"/>
              <w:right w:val="nil"/>
            </w:tcBorders>
            <w:shd w:val="clear" w:color="auto" w:fill="auto"/>
            <w:noWrap/>
            <w:vAlign w:val="center"/>
          </w:tcPr>
          <w:p w14:paraId="3604269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968.54 </w:t>
            </w:r>
          </w:p>
        </w:tc>
        <w:tc>
          <w:tcPr>
            <w:tcW w:w="675" w:type="dxa"/>
            <w:tcBorders>
              <w:top w:val="nil"/>
              <w:left w:val="nil"/>
              <w:bottom w:val="nil"/>
              <w:right w:val="nil"/>
            </w:tcBorders>
            <w:shd w:val="clear" w:color="auto" w:fill="auto"/>
            <w:noWrap/>
            <w:vAlign w:val="center"/>
          </w:tcPr>
          <w:p w14:paraId="5AE5000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-2.67 </w:t>
            </w:r>
          </w:p>
        </w:tc>
        <w:tc>
          <w:tcPr>
            <w:tcW w:w="1185" w:type="dxa"/>
            <w:tcBorders>
              <w:top w:val="nil"/>
              <w:left w:val="nil"/>
              <w:bottom w:val="nil"/>
              <w:right w:val="nil"/>
            </w:tcBorders>
            <w:shd w:val="clear" w:color="auto" w:fill="auto"/>
            <w:noWrap/>
            <w:vAlign w:val="center"/>
          </w:tcPr>
          <w:p w14:paraId="20F1E94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-6.54~1.30</w:t>
            </w:r>
          </w:p>
        </w:tc>
        <w:tc>
          <w:tcPr>
            <w:tcW w:w="780" w:type="dxa"/>
            <w:tcBorders>
              <w:top w:val="nil"/>
              <w:left w:val="nil"/>
              <w:bottom w:val="nil"/>
              <w:right w:val="nil"/>
            </w:tcBorders>
            <w:shd w:val="clear" w:color="auto" w:fill="auto"/>
            <w:noWrap/>
            <w:vAlign w:val="center"/>
          </w:tcPr>
          <w:p w14:paraId="4E4B044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0.200 </w:t>
            </w:r>
          </w:p>
        </w:tc>
        <w:tc>
          <w:tcPr>
            <w:tcW w:w="240" w:type="dxa"/>
            <w:tcBorders>
              <w:top w:val="nil"/>
              <w:left w:val="nil"/>
              <w:bottom w:val="nil"/>
              <w:right w:val="nil"/>
            </w:tcBorders>
            <w:shd w:val="clear" w:color="auto" w:fill="auto"/>
            <w:noWrap/>
            <w:vAlign w:val="center"/>
          </w:tcPr>
          <w:p w14:paraId="6A9A7E35">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25B9741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1648.08 </w:t>
            </w:r>
          </w:p>
        </w:tc>
        <w:tc>
          <w:tcPr>
            <w:tcW w:w="840" w:type="dxa"/>
            <w:tcBorders>
              <w:top w:val="nil"/>
              <w:left w:val="nil"/>
              <w:bottom w:val="nil"/>
              <w:right w:val="nil"/>
            </w:tcBorders>
            <w:shd w:val="clear" w:color="auto" w:fill="auto"/>
            <w:noWrap/>
            <w:vAlign w:val="center"/>
          </w:tcPr>
          <w:p w14:paraId="6DEF804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1343.80 </w:t>
            </w:r>
          </w:p>
        </w:tc>
        <w:tc>
          <w:tcPr>
            <w:tcW w:w="735" w:type="dxa"/>
            <w:tcBorders>
              <w:top w:val="nil"/>
              <w:left w:val="nil"/>
              <w:bottom w:val="nil"/>
              <w:right w:val="nil"/>
            </w:tcBorders>
            <w:shd w:val="clear" w:color="auto" w:fill="auto"/>
            <w:noWrap/>
            <w:vAlign w:val="center"/>
          </w:tcPr>
          <w:p w14:paraId="794F40C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-2.29 </w:t>
            </w:r>
          </w:p>
        </w:tc>
        <w:tc>
          <w:tcPr>
            <w:tcW w:w="1185" w:type="dxa"/>
            <w:tcBorders>
              <w:top w:val="nil"/>
              <w:left w:val="nil"/>
              <w:bottom w:val="nil"/>
              <w:right w:val="nil"/>
            </w:tcBorders>
            <w:shd w:val="clear" w:color="auto" w:fill="auto"/>
            <w:noWrap/>
            <w:vAlign w:val="center"/>
          </w:tcPr>
          <w:p w14:paraId="0A2D321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-5.85~1.29</w:t>
            </w:r>
          </w:p>
        </w:tc>
        <w:tc>
          <w:tcPr>
            <w:tcW w:w="782" w:type="dxa"/>
            <w:tcBorders>
              <w:top w:val="nil"/>
              <w:left w:val="nil"/>
              <w:bottom w:val="nil"/>
              <w:right w:val="nil"/>
            </w:tcBorders>
            <w:shd w:val="clear" w:color="auto" w:fill="auto"/>
            <w:noWrap/>
            <w:vAlign w:val="center"/>
          </w:tcPr>
          <w:p w14:paraId="20E33EB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0.226 </w:t>
            </w:r>
          </w:p>
        </w:tc>
        <w:tc>
          <w:tcPr>
            <w:tcW w:w="222" w:type="dxa"/>
            <w:tcBorders>
              <w:top w:val="nil"/>
              <w:left w:val="nil"/>
              <w:bottom w:val="nil"/>
              <w:right w:val="nil"/>
            </w:tcBorders>
            <w:shd w:val="clear" w:color="auto" w:fill="auto"/>
            <w:noWrap/>
            <w:vAlign w:val="center"/>
          </w:tcPr>
          <w:p w14:paraId="1D881F19">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5C385B6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814.32 </w:t>
            </w:r>
          </w:p>
        </w:tc>
        <w:tc>
          <w:tcPr>
            <w:tcW w:w="735" w:type="dxa"/>
            <w:tcBorders>
              <w:top w:val="nil"/>
              <w:left w:val="nil"/>
              <w:bottom w:val="nil"/>
              <w:right w:val="nil"/>
            </w:tcBorders>
            <w:shd w:val="clear" w:color="auto" w:fill="auto"/>
            <w:noWrap/>
            <w:vAlign w:val="center"/>
          </w:tcPr>
          <w:p w14:paraId="53B9488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646.50 </w:t>
            </w:r>
          </w:p>
        </w:tc>
        <w:tc>
          <w:tcPr>
            <w:tcW w:w="765" w:type="dxa"/>
            <w:tcBorders>
              <w:top w:val="nil"/>
              <w:left w:val="nil"/>
              <w:bottom w:val="nil"/>
              <w:right w:val="nil"/>
            </w:tcBorders>
            <w:shd w:val="clear" w:color="auto" w:fill="auto"/>
            <w:noWrap/>
            <w:vAlign w:val="center"/>
          </w:tcPr>
          <w:p w14:paraId="198FD2C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-4.00 </w:t>
            </w:r>
          </w:p>
        </w:tc>
        <w:tc>
          <w:tcPr>
            <w:tcW w:w="1230" w:type="dxa"/>
            <w:tcBorders>
              <w:top w:val="nil"/>
              <w:left w:val="nil"/>
              <w:bottom w:val="nil"/>
              <w:right w:val="nil"/>
            </w:tcBorders>
            <w:shd w:val="clear" w:color="auto" w:fill="auto"/>
            <w:noWrap/>
            <w:vAlign w:val="center"/>
          </w:tcPr>
          <w:p w14:paraId="66E3E53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-7.26~-0.69</w:t>
            </w:r>
          </w:p>
        </w:tc>
        <w:tc>
          <w:tcPr>
            <w:tcW w:w="690" w:type="dxa"/>
            <w:tcBorders>
              <w:top w:val="nil"/>
              <w:left w:val="nil"/>
              <w:bottom w:val="nil"/>
              <w:right w:val="nil"/>
            </w:tcBorders>
            <w:shd w:val="clear" w:color="auto" w:fill="auto"/>
            <w:noWrap/>
            <w:vAlign w:val="center"/>
          </w:tcPr>
          <w:p w14:paraId="4389F57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0.017 </w:t>
            </w:r>
          </w:p>
        </w:tc>
      </w:tr>
      <w:tr w14:paraId="1DB3DF70">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right w:val="nil"/>
            </w:tcBorders>
            <w:shd w:val="clear" w:color="auto" w:fill="auto"/>
            <w:noWrap/>
            <w:vAlign w:val="center"/>
          </w:tcPr>
          <w:p w14:paraId="35065D3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85+</w:t>
            </w:r>
          </w:p>
        </w:tc>
        <w:tc>
          <w:tcPr>
            <w:tcW w:w="825" w:type="dxa"/>
            <w:tcBorders>
              <w:top w:val="nil"/>
              <w:left w:val="nil"/>
              <w:right w:val="nil"/>
            </w:tcBorders>
            <w:shd w:val="clear" w:color="auto" w:fill="auto"/>
            <w:noWrap/>
            <w:vAlign w:val="center"/>
          </w:tcPr>
          <w:p w14:paraId="1221EDB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1037.77 </w:t>
            </w:r>
          </w:p>
        </w:tc>
        <w:tc>
          <w:tcPr>
            <w:tcW w:w="810" w:type="dxa"/>
            <w:tcBorders>
              <w:top w:val="nil"/>
              <w:left w:val="nil"/>
              <w:right w:val="nil"/>
            </w:tcBorders>
            <w:shd w:val="clear" w:color="auto" w:fill="auto"/>
            <w:noWrap/>
            <w:vAlign w:val="center"/>
          </w:tcPr>
          <w:p w14:paraId="13517F2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747.48 </w:t>
            </w:r>
          </w:p>
        </w:tc>
        <w:tc>
          <w:tcPr>
            <w:tcW w:w="675" w:type="dxa"/>
            <w:tcBorders>
              <w:top w:val="nil"/>
              <w:left w:val="nil"/>
              <w:right w:val="nil"/>
            </w:tcBorders>
            <w:shd w:val="clear" w:color="auto" w:fill="auto"/>
            <w:noWrap/>
            <w:vAlign w:val="center"/>
          </w:tcPr>
          <w:p w14:paraId="6564BEC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-6.47 </w:t>
            </w:r>
          </w:p>
        </w:tc>
        <w:tc>
          <w:tcPr>
            <w:tcW w:w="1185" w:type="dxa"/>
            <w:tcBorders>
              <w:top w:val="nil"/>
              <w:left w:val="nil"/>
              <w:right w:val="nil"/>
            </w:tcBorders>
            <w:shd w:val="clear" w:color="auto" w:fill="auto"/>
            <w:noWrap/>
            <w:vAlign w:val="center"/>
          </w:tcPr>
          <w:p w14:paraId="27E4C25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-10.56~-2.25</w:t>
            </w:r>
          </w:p>
        </w:tc>
        <w:tc>
          <w:tcPr>
            <w:tcW w:w="780" w:type="dxa"/>
            <w:tcBorders>
              <w:top w:val="nil"/>
              <w:left w:val="nil"/>
              <w:right w:val="nil"/>
            </w:tcBorders>
            <w:shd w:val="clear" w:color="auto" w:fill="auto"/>
            <w:noWrap/>
            <w:vAlign w:val="center"/>
          </w:tcPr>
          <w:p w14:paraId="6981FFD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0.001 </w:t>
            </w:r>
          </w:p>
        </w:tc>
        <w:tc>
          <w:tcPr>
            <w:tcW w:w="240" w:type="dxa"/>
            <w:tcBorders>
              <w:top w:val="nil"/>
              <w:left w:val="nil"/>
              <w:right w:val="nil"/>
            </w:tcBorders>
            <w:shd w:val="clear" w:color="auto" w:fill="auto"/>
            <w:noWrap/>
            <w:vAlign w:val="center"/>
          </w:tcPr>
          <w:p w14:paraId="6A72B262">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right w:val="nil"/>
            </w:tcBorders>
            <w:shd w:val="clear" w:color="auto" w:fill="auto"/>
            <w:noWrap/>
            <w:vAlign w:val="center"/>
          </w:tcPr>
          <w:p w14:paraId="286AA8E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1406.11 </w:t>
            </w:r>
          </w:p>
        </w:tc>
        <w:tc>
          <w:tcPr>
            <w:tcW w:w="840" w:type="dxa"/>
            <w:tcBorders>
              <w:top w:val="nil"/>
              <w:left w:val="nil"/>
              <w:right w:val="nil"/>
            </w:tcBorders>
            <w:shd w:val="clear" w:color="auto" w:fill="auto"/>
            <w:noWrap/>
            <w:vAlign w:val="center"/>
          </w:tcPr>
          <w:p w14:paraId="7950FD0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1052.22 </w:t>
            </w:r>
          </w:p>
        </w:tc>
        <w:tc>
          <w:tcPr>
            <w:tcW w:w="735" w:type="dxa"/>
            <w:tcBorders>
              <w:top w:val="nil"/>
              <w:left w:val="nil"/>
              <w:right w:val="nil"/>
            </w:tcBorders>
            <w:shd w:val="clear" w:color="auto" w:fill="auto"/>
            <w:noWrap/>
            <w:vAlign w:val="center"/>
          </w:tcPr>
          <w:p w14:paraId="74D8A6E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-4.81 </w:t>
            </w:r>
          </w:p>
        </w:tc>
        <w:tc>
          <w:tcPr>
            <w:tcW w:w="1185" w:type="dxa"/>
            <w:tcBorders>
              <w:top w:val="nil"/>
              <w:left w:val="nil"/>
              <w:right w:val="nil"/>
            </w:tcBorders>
            <w:shd w:val="clear" w:color="auto" w:fill="auto"/>
            <w:noWrap/>
            <w:vAlign w:val="center"/>
          </w:tcPr>
          <w:p w14:paraId="354A90A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-9.75~0.29</w:t>
            </w:r>
          </w:p>
        </w:tc>
        <w:tc>
          <w:tcPr>
            <w:tcW w:w="782" w:type="dxa"/>
            <w:tcBorders>
              <w:top w:val="nil"/>
              <w:left w:val="nil"/>
              <w:right w:val="nil"/>
            </w:tcBorders>
            <w:shd w:val="clear" w:color="auto" w:fill="auto"/>
            <w:noWrap/>
            <w:vAlign w:val="center"/>
          </w:tcPr>
          <w:p w14:paraId="76B733B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0.066 </w:t>
            </w:r>
          </w:p>
        </w:tc>
        <w:tc>
          <w:tcPr>
            <w:tcW w:w="222" w:type="dxa"/>
            <w:tcBorders>
              <w:top w:val="nil"/>
              <w:left w:val="nil"/>
              <w:right w:val="nil"/>
            </w:tcBorders>
            <w:shd w:val="clear" w:color="auto" w:fill="auto"/>
            <w:noWrap/>
            <w:vAlign w:val="center"/>
          </w:tcPr>
          <w:p w14:paraId="23D1F8ED">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right w:val="nil"/>
            </w:tcBorders>
            <w:shd w:val="clear" w:color="auto" w:fill="auto"/>
            <w:noWrap/>
            <w:vAlign w:val="center"/>
          </w:tcPr>
          <w:p w14:paraId="013C0B0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788.70 </w:t>
            </w:r>
          </w:p>
        </w:tc>
        <w:tc>
          <w:tcPr>
            <w:tcW w:w="735" w:type="dxa"/>
            <w:tcBorders>
              <w:top w:val="nil"/>
              <w:left w:val="nil"/>
              <w:right w:val="nil"/>
            </w:tcBorders>
            <w:shd w:val="clear" w:color="auto" w:fill="auto"/>
            <w:noWrap/>
            <w:vAlign w:val="center"/>
          </w:tcPr>
          <w:p w14:paraId="6C60456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544.74 </w:t>
            </w:r>
          </w:p>
        </w:tc>
        <w:tc>
          <w:tcPr>
            <w:tcW w:w="765" w:type="dxa"/>
            <w:tcBorders>
              <w:top w:val="nil"/>
              <w:left w:val="nil"/>
              <w:right w:val="nil"/>
            </w:tcBorders>
            <w:shd w:val="clear" w:color="auto" w:fill="auto"/>
            <w:noWrap/>
            <w:vAlign w:val="center"/>
          </w:tcPr>
          <w:p w14:paraId="53AD9CA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-8.43 </w:t>
            </w:r>
          </w:p>
        </w:tc>
        <w:tc>
          <w:tcPr>
            <w:tcW w:w="1230" w:type="dxa"/>
            <w:tcBorders>
              <w:top w:val="nil"/>
              <w:left w:val="nil"/>
              <w:right w:val="nil"/>
            </w:tcBorders>
            <w:shd w:val="clear" w:color="auto" w:fill="auto"/>
            <w:noWrap/>
            <w:vAlign w:val="center"/>
          </w:tcPr>
          <w:p w14:paraId="1B2EA34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-17.91~1.36</w:t>
            </w:r>
          </w:p>
        </w:tc>
        <w:tc>
          <w:tcPr>
            <w:tcW w:w="690" w:type="dxa"/>
            <w:tcBorders>
              <w:top w:val="nil"/>
              <w:left w:val="nil"/>
              <w:right w:val="nil"/>
            </w:tcBorders>
            <w:shd w:val="clear" w:color="auto" w:fill="auto"/>
            <w:noWrap/>
            <w:vAlign w:val="center"/>
          </w:tcPr>
          <w:p w14:paraId="63BDB1A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0.084 </w:t>
            </w:r>
          </w:p>
        </w:tc>
      </w:tr>
    </w:tbl>
    <w:p w14:paraId="1F1EC4BA">
      <w:pPr>
        <w:spacing w:line="240" w:lineRule="auto"/>
        <w:jc w:val="left"/>
        <w:rPr>
          <w:rFonts w:hint="eastAsia" w:ascii="Times New Roman" w:hAnsi="Times New Roman" w:cs="Times New Roman" w:eastAsiaTheme="minorEastAsia"/>
          <w:sz w:val="24"/>
          <w:highlight w:val="none"/>
          <w:lang w:val="en-US" w:eastAsia="zh-CN"/>
        </w:rPr>
      </w:pPr>
      <w:r>
        <w:rPr>
          <w:rFonts w:ascii="Times New Roman" w:hAnsi="Times New Roman" w:cs="Times New Roman"/>
          <w:sz w:val="16"/>
          <w:szCs w:val="16"/>
          <w:highlight w:val="none"/>
        </w:rPr>
        <w:t>Note: Due to the low incidence and mortality rates in the population under 20 years of age, the 0</w:t>
      </w:r>
      <w:r>
        <w:rPr>
          <w:rFonts w:hint="eastAsia" w:ascii="Times New Roman" w:hAnsi="Times New Roman" w:cs="Times New Roman"/>
          <w:sz w:val="16"/>
          <w:szCs w:val="16"/>
          <w:highlight w:val="none"/>
          <w:lang w:val="en-US" w:eastAsia="zh-CN"/>
        </w:rPr>
        <w:t>~</w:t>
      </w:r>
      <w:r>
        <w:rPr>
          <w:rFonts w:ascii="Times New Roman" w:hAnsi="Times New Roman" w:cs="Times New Roman"/>
          <w:sz w:val="16"/>
          <w:szCs w:val="16"/>
          <w:highlight w:val="none"/>
        </w:rPr>
        <w:t>19 age group was combined into a single category for analysis</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rPr>
        <w:t>AAPC</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lang w:eastAsia="zh-CN"/>
        </w:rPr>
        <w:t>average annual percentage change</w:t>
      </w:r>
      <w:r>
        <w:rPr>
          <w:rFonts w:hint="eastAsia" w:ascii="Times New Roman" w:hAnsi="Times New Roman" w:cs="Times New Roman"/>
          <w:sz w:val="16"/>
          <w:szCs w:val="16"/>
          <w:highlight w:val="none"/>
        </w:rPr>
        <w:t>.</w:t>
      </w:r>
    </w:p>
    <w:p w14:paraId="10C7D97D">
      <w:pPr>
        <w:ind w:firstLine="560" w:firstLineChars="200"/>
        <w:jc w:val="both"/>
        <w:rPr>
          <w:rFonts w:hint="eastAsia" w:ascii="Times New Roman" w:hAnsi="Times New Roman" w:cs="Times New Roman"/>
          <w:sz w:val="28"/>
          <w:szCs w:val="28"/>
          <w:highlight w:val="none"/>
          <w:lang w:val="en-US" w:eastAsia="zh-CN"/>
        </w:rPr>
      </w:pPr>
    </w:p>
    <w:p w14:paraId="2E17AD7E">
      <w:pPr>
        <w:rPr>
          <w:rFonts w:ascii="Times New Roman" w:hAnsi="Times New Roman" w:cs="Times New Roman"/>
          <w:b/>
          <w:bCs/>
          <w:sz w:val="28"/>
          <w:szCs w:val="28"/>
          <w:highlight w:val="none"/>
        </w:rPr>
      </w:pPr>
      <w:r>
        <w:rPr>
          <w:rFonts w:ascii="Times New Roman" w:hAnsi="Times New Roman" w:cs="Times New Roman"/>
          <w:b/>
          <w:bCs/>
          <w:sz w:val="28"/>
          <w:szCs w:val="28"/>
          <w:highlight w:val="none"/>
        </w:rPr>
        <w:br w:type="page"/>
      </w:r>
    </w:p>
    <w:p w14:paraId="467E703C">
      <w:pPr>
        <w:spacing w:line="360" w:lineRule="auto"/>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Table 5 </w:t>
      </w:r>
      <w:r>
        <w:rPr>
          <w:rFonts w:hint="default" w:ascii="Times New Roman" w:hAnsi="Times New Roman" w:cs="Times New Roman"/>
          <w:sz w:val="24"/>
          <w:szCs w:val="24"/>
          <w:highlight w:val="none"/>
        </w:rPr>
        <w:t>Trends in incidence rates of malignant neoplasms by age group in Suining from 2018 to 2023</w:t>
      </w:r>
    </w:p>
    <w:tbl>
      <w:tblPr>
        <w:tblStyle w:val="7"/>
        <w:tblW w:w="14085"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0"/>
        <w:gridCol w:w="825"/>
        <w:gridCol w:w="810"/>
        <w:gridCol w:w="675"/>
        <w:gridCol w:w="1185"/>
        <w:gridCol w:w="780"/>
        <w:gridCol w:w="240"/>
        <w:gridCol w:w="855"/>
        <w:gridCol w:w="840"/>
        <w:gridCol w:w="735"/>
        <w:gridCol w:w="1185"/>
        <w:gridCol w:w="782"/>
        <w:gridCol w:w="222"/>
        <w:gridCol w:w="841"/>
        <w:gridCol w:w="735"/>
        <w:gridCol w:w="765"/>
        <w:gridCol w:w="1230"/>
        <w:gridCol w:w="690"/>
      </w:tblGrid>
      <w:tr w14:paraId="58FC4711">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90" w:type="dxa"/>
            <w:vMerge w:val="restart"/>
            <w:tcBorders>
              <w:left w:val="nil"/>
              <w:bottom w:val="nil"/>
              <w:right w:val="nil"/>
            </w:tcBorders>
            <w:shd w:val="clear" w:color="auto" w:fill="auto"/>
            <w:noWrap/>
            <w:vAlign w:val="center"/>
          </w:tcPr>
          <w:p w14:paraId="7338A32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Age group</w:t>
            </w:r>
          </w:p>
        </w:tc>
        <w:tc>
          <w:tcPr>
            <w:tcW w:w="4275" w:type="dxa"/>
            <w:gridSpan w:val="5"/>
            <w:tcBorders>
              <w:left w:val="nil"/>
              <w:bottom w:val="nil"/>
              <w:right w:val="nil"/>
            </w:tcBorders>
            <w:shd w:val="clear" w:color="auto" w:fill="auto"/>
            <w:noWrap/>
            <w:vAlign w:val="center"/>
          </w:tcPr>
          <w:p w14:paraId="7FF026A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Both</w:t>
            </w:r>
          </w:p>
        </w:tc>
        <w:tc>
          <w:tcPr>
            <w:tcW w:w="240" w:type="dxa"/>
            <w:tcBorders>
              <w:left w:val="nil"/>
              <w:bottom w:val="nil"/>
              <w:right w:val="nil"/>
            </w:tcBorders>
            <w:shd w:val="clear" w:color="auto" w:fill="auto"/>
            <w:noWrap/>
            <w:vAlign w:val="center"/>
          </w:tcPr>
          <w:p w14:paraId="2B0F4B78">
            <w:pPr>
              <w:jc w:val="both"/>
              <w:rPr>
                <w:rFonts w:hint="default" w:ascii="Times New Roman" w:hAnsi="Times New Roman" w:eastAsia="宋体" w:cs="Times New Roman"/>
                <w:i w:val="0"/>
                <w:iCs w:val="0"/>
                <w:color w:val="000000"/>
                <w:sz w:val="18"/>
                <w:szCs w:val="18"/>
                <w:highlight w:val="none"/>
                <w:u w:val="none"/>
              </w:rPr>
            </w:pPr>
          </w:p>
        </w:tc>
        <w:tc>
          <w:tcPr>
            <w:tcW w:w="4397" w:type="dxa"/>
            <w:gridSpan w:val="5"/>
            <w:tcBorders>
              <w:left w:val="nil"/>
              <w:bottom w:val="nil"/>
              <w:right w:val="nil"/>
            </w:tcBorders>
            <w:shd w:val="clear" w:color="auto" w:fill="auto"/>
            <w:noWrap/>
            <w:vAlign w:val="center"/>
          </w:tcPr>
          <w:p w14:paraId="1C2D540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Male</w:t>
            </w:r>
          </w:p>
        </w:tc>
        <w:tc>
          <w:tcPr>
            <w:tcW w:w="222" w:type="dxa"/>
            <w:tcBorders>
              <w:left w:val="nil"/>
              <w:bottom w:val="nil"/>
              <w:right w:val="nil"/>
            </w:tcBorders>
            <w:shd w:val="clear" w:color="auto" w:fill="auto"/>
            <w:noWrap/>
            <w:vAlign w:val="center"/>
          </w:tcPr>
          <w:p w14:paraId="2FE24489">
            <w:pPr>
              <w:jc w:val="both"/>
              <w:rPr>
                <w:rFonts w:hint="default" w:ascii="Times New Roman" w:hAnsi="Times New Roman" w:eastAsia="宋体" w:cs="Times New Roman"/>
                <w:i w:val="0"/>
                <w:iCs w:val="0"/>
                <w:color w:val="000000"/>
                <w:sz w:val="18"/>
                <w:szCs w:val="18"/>
                <w:highlight w:val="none"/>
                <w:u w:val="none"/>
              </w:rPr>
            </w:pPr>
          </w:p>
        </w:tc>
        <w:tc>
          <w:tcPr>
            <w:tcW w:w="4261" w:type="dxa"/>
            <w:gridSpan w:val="5"/>
            <w:tcBorders>
              <w:left w:val="nil"/>
              <w:bottom w:val="single" w:color="auto" w:sz="6" w:space="0"/>
              <w:right w:val="nil"/>
            </w:tcBorders>
            <w:shd w:val="clear" w:color="auto" w:fill="auto"/>
            <w:noWrap/>
            <w:vAlign w:val="center"/>
          </w:tcPr>
          <w:p w14:paraId="44AEEC5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Female</w:t>
            </w:r>
          </w:p>
        </w:tc>
      </w:tr>
      <w:tr w14:paraId="261552AF">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vMerge w:val="continue"/>
            <w:tcBorders>
              <w:top w:val="nil"/>
              <w:left w:val="nil"/>
              <w:bottom w:val="nil"/>
              <w:right w:val="nil"/>
            </w:tcBorders>
            <w:shd w:val="clear" w:color="auto" w:fill="auto"/>
            <w:noWrap/>
            <w:vAlign w:val="center"/>
          </w:tcPr>
          <w:p w14:paraId="10121292">
            <w:pPr>
              <w:jc w:val="center"/>
              <w:rPr>
                <w:rFonts w:hint="default" w:ascii="Times New Roman" w:hAnsi="Times New Roman" w:eastAsia="宋体" w:cs="Times New Roman"/>
                <w:i w:val="0"/>
                <w:iCs w:val="0"/>
                <w:color w:val="231F20"/>
                <w:sz w:val="18"/>
                <w:szCs w:val="18"/>
                <w:highlight w:val="none"/>
                <w:u w:val="none"/>
              </w:rPr>
            </w:pPr>
          </w:p>
        </w:tc>
        <w:tc>
          <w:tcPr>
            <w:tcW w:w="1635" w:type="dxa"/>
            <w:gridSpan w:val="2"/>
            <w:tcBorders>
              <w:top w:val="single" w:color="auto" w:sz="6" w:space="0"/>
              <w:left w:val="nil"/>
              <w:bottom w:val="single" w:color="auto" w:sz="6" w:space="0"/>
              <w:right w:val="nil"/>
            </w:tcBorders>
            <w:shd w:val="clear" w:color="auto" w:fill="auto"/>
            <w:noWrap/>
            <w:vAlign w:val="center"/>
          </w:tcPr>
          <w:p w14:paraId="0D88C43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Crude rate（1/10</w:t>
            </w:r>
            <w:r>
              <w:rPr>
                <w:rFonts w:hint="default" w:ascii="Times New Roman" w:hAnsi="Times New Roman" w:eastAsia="宋体" w:cs="Times New Roman"/>
                <w:i w:val="0"/>
                <w:iCs w:val="0"/>
                <w:color w:val="231F20"/>
                <w:kern w:val="0"/>
                <w:sz w:val="18"/>
                <w:szCs w:val="18"/>
                <w:highlight w:val="none"/>
                <w:u w:val="none"/>
                <w:vertAlign w:val="superscript"/>
                <w:lang w:val="en-US" w:eastAsia="zh-CN" w:bidi="ar"/>
              </w:rPr>
              <w:t>5</w:t>
            </w:r>
            <w:r>
              <w:rPr>
                <w:rFonts w:hint="default" w:ascii="Times New Roman" w:hAnsi="Times New Roman" w:eastAsia="宋体" w:cs="Times New Roman"/>
                <w:i w:val="0"/>
                <w:iCs w:val="0"/>
                <w:color w:val="231F20"/>
                <w:kern w:val="0"/>
                <w:sz w:val="18"/>
                <w:szCs w:val="18"/>
                <w:highlight w:val="none"/>
                <w:u w:val="none"/>
                <w:lang w:val="en-US" w:eastAsia="zh-CN" w:bidi="ar"/>
              </w:rPr>
              <w:t>）</w:t>
            </w:r>
          </w:p>
        </w:tc>
        <w:tc>
          <w:tcPr>
            <w:tcW w:w="675" w:type="dxa"/>
            <w:vMerge w:val="restart"/>
            <w:tcBorders>
              <w:top w:val="single" w:color="auto" w:sz="6" w:space="0"/>
              <w:left w:val="nil"/>
              <w:bottom w:val="nil"/>
              <w:right w:val="nil"/>
            </w:tcBorders>
            <w:shd w:val="clear" w:color="auto" w:fill="auto"/>
            <w:vAlign w:val="center"/>
          </w:tcPr>
          <w:p w14:paraId="76B3BFA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AAPC（%）</w:t>
            </w:r>
          </w:p>
        </w:tc>
        <w:tc>
          <w:tcPr>
            <w:tcW w:w="1185" w:type="dxa"/>
            <w:vMerge w:val="restart"/>
            <w:tcBorders>
              <w:top w:val="single" w:color="auto" w:sz="6" w:space="0"/>
              <w:left w:val="nil"/>
              <w:bottom w:val="nil"/>
              <w:right w:val="nil"/>
            </w:tcBorders>
            <w:shd w:val="clear" w:color="auto" w:fill="auto"/>
            <w:vAlign w:val="center"/>
          </w:tcPr>
          <w:p w14:paraId="6DCB310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95%</w:t>
            </w:r>
            <w:r>
              <w:rPr>
                <w:rFonts w:hint="default" w:ascii="Times New Roman" w:hAnsi="Times New Roman" w:eastAsia="宋体" w:cs="Times New Roman"/>
                <w:i/>
                <w:iCs/>
                <w:color w:val="231F20"/>
                <w:kern w:val="0"/>
                <w:sz w:val="18"/>
                <w:szCs w:val="18"/>
                <w:highlight w:val="none"/>
                <w:u w:val="none"/>
                <w:lang w:val="en-US" w:eastAsia="zh-CN" w:bidi="ar"/>
              </w:rPr>
              <w:t>CI</w:t>
            </w:r>
          </w:p>
        </w:tc>
        <w:tc>
          <w:tcPr>
            <w:tcW w:w="780" w:type="dxa"/>
            <w:vMerge w:val="restart"/>
            <w:tcBorders>
              <w:top w:val="nil"/>
              <w:left w:val="nil"/>
              <w:bottom w:val="nil"/>
              <w:right w:val="nil"/>
            </w:tcBorders>
            <w:shd w:val="clear" w:color="auto" w:fill="auto"/>
            <w:vAlign w:val="center"/>
          </w:tcPr>
          <w:p w14:paraId="40253AE4">
            <w:pPr>
              <w:keepNext w:val="0"/>
              <w:keepLines w:val="0"/>
              <w:widowControl/>
              <w:suppressLineNumbers w:val="0"/>
              <w:jc w:val="center"/>
              <w:textAlignment w:val="center"/>
              <w:rPr>
                <w:rFonts w:hint="default" w:ascii="Times New Roman" w:hAnsi="Times New Roman" w:eastAsia="宋体" w:cs="Times New Roman"/>
                <w:i/>
                <w:iCs/>
                <w:color w:val="231F20"/>
                <w:sz w:val="18"/>
                <w:szCs w:val="18"/>
                <w:highlight w:val="none"/>
                <w:u w:val="none"/>
              </w:rPr>
            </w:pPr>
            <w:r>
              <w:rPr>
                <w:rFonts w:hint="default" w:ascii="Times New Roman" w:hAnsi="Times New Roman" w:eastAsia="宋体" w:cs="Times New Roman"/>
                <w:i/>
                <w:iCs/>
                <w:color w:val="231F20"/>
                <w:kern w:val="0"/>
                <w:sz w:val="18"/>
                <w:szCs w:val="18"/>
                <w:highlight w:val="none"/>
                <w:u w:val="none"/>
                <w:lang w:val="en-US" w:eastAsia="zh-CN" w:bidi="ar"/>
              </w:rPr>
              <w:t>P</w:t>
            </w:r>
          </w:p>
        </w:tc>
        <w:tc>
          <w:tcPr>
            <w:tcW w:w="240" w:type="dxa"/>
            <w:tcBorders>
              <w:top w:val="nil"/>
              <w:left w:val="nil"/>
              <w:bottom w:val="nil"/>
              <w:right w:val="nil"/>
            </w:tcBorders>
            <w:shd w:val="clear" w:color="auto" w:fill="auto"/>
            <w:noWrap/>
            <w:vAlign w:val="center"/>
          </w:tcPr>
          <w:p w14:paraId="28E8F6A4">
            <w:pPr>
              <w:jc w:val="center"/>
              <w:rPr>
                <w:rFonts w:hint="default" w:ascii="Times New Roman" w:hAnsi="Times New Roman" w:eastAsia="宋体" w:cs="Times New Roman"/>
                <w:i w:val="0"/>
                <w:iCs w:val="0"/>
                <w:color w:val="000000"/>
                <w:sz w:val="18"/>
                <w:szCs w:val="18"/>
                <w:highlight w:val="none"/>
                <w:u w:val="none"/>
              </w:rPr>
            </w:pPr>
          </w:p>
        </w:tc>
        <w:tc>
          <w:tcPr>
            <w:tcW w:w="1695" w:type="dxa"/>
            <w:gridSpan w:val="2"/>
            <w:tcBorders>
              <w:top w:val="single" w:color="auto" w:sz="6" w:space="0"/>
              <w:left w:val="nil"/>
              <w:bottom w:val="single" w:color="000000" w:sz="6" w:space="0"/>
              <w:right w:val="nil"/>
            </w:tcBorders>
            <w:shd w:val="clear" w:color="auto" w:fill="auto"/>
            <w:noWrap/>
            <w:vAlign w:val="center"/>
          </w:tcPr>
          <w:p w14:paraId="69A90AB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Crude rate（1/10</w:t>
            </w:r>
            <w:r>
              <w:rPr>
                <w:rFonts w:hint="default" w:ascii="Times New Roman" w:hAnsi="Times New Roman" w:eastAsia="宋体" w:cs="Times New Roman"/>
                <w:i w:val="0"/>
                <w:iCs w:val="0"/>
                <w:color w:val="231F20"/>
                <w:kern w:val="0"/>
                <w:sz w:val="18"/>
                <w:szCs w:val="18"/>
                <w:highlight w:val="none"/>
                <w:u w:val="none"/>
                <w:vertAlign w:val="superscript"/>
                <w:lang w:val="en-US" w:eastAsia="zh-CN" w:bidi="ar"/>
              </w:rPr>
              <w:t>5</w:t>
            </w:r>
            <w:r>
              <w:rPr>
                <w:rFonts w:hint="default" w:ascii="Times New Roman" w:hAnsi="Times New Roman" w:eastAsia="宋体" w:cs="Times New Roman"/>
                <w:i w:val="0"/>
                <w:iCs w:val="0"/>
                <w:color w:val="231F20"/>
                <w:kern w:val="0"/>
                <w:sz w:val="18"/>
                <w:szCs w:val="18"/>
                <w:highlight w:val="none"/>
                <w:u w:val="none"/>
                <w:lang w:val="en-US" w:eastAsia="zh-CN" w:bidi="ar"/>
              </w:rPr>
              <w:t>）</w:t>
            </w:r>
          </w:p>
        </w:tc>
        <w:tc>
          <w:tcPr>
            <w:tcW w:w="735" w:type="dxa"/>
            <w:vMerge w:val="restart"/>
            <w:tcBorders>
              <w:top w:val="single" w:color="auto" w:sz="6" w:space="0"/>
              <w:left w:val="nil"/>
              <w:bottom w:val="nil"/>
              <w:right w:val="nil"/>
            </w:tcBorders>
            <w:shd w:val="clear" w:color="auto" w:fill="auto"/>
            <w:vAlign w:val="center"/>
          </w:tcPr>
          <w:p w14:paraId="67BA1FF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AAPC（%）</w:t>
            </w:r>
          </w:p>
        </w:tc>
        <w:tc>
          <w:tcPr>
            <w:tcW w:w="1185" w:type="dxa"/>
            <w:vMerge w:val="restart"/>
            <w:tcBorders>
              <w:top w:val="single" w:color="auto" w:sz="6" w:space="0"/>
              <w:left w:val="nil"/>
              <w:bottom w:val="nil"/>
              <w:right w:val="nil"/>
            </w:tcBorders>
            <w:shd w:val="clear" w:color="auto" w:fill="auto"/>
            <w:vAlign w:val="center"/>
          </w:tcPr>
          <w:p w14:paraId="1D063EA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95%</w:t>
            </w:r>
            <w:r>
              <w:rPr>
                <w:rFonts w:hint="default" w:ascii="Times New Roman" w:hAnsi="Times New Roman" w:eastAsia="宋体" w:cs="Times New Roman"/>
                <w:i/>
                <w:iCs/>
                <w:color w:val="231F20"/>
                <w:kern w:val="0"/>
                <w:sz w:val="18"/>
                <w:szCs w:val="18"/>
                <w:highlight w:val="none"/>
                <w:u w:val="none"/>
                <w:lang w:val="en-US" w:eastAsia="zh-CN" w:bidi="ar"/>
              </w:rPr>
              <w:t>CI</w:t>
            </w:r>
          </w:p>
        </w:tc>
        <w:tc>
          <w:tcPr>
            <w:tcW w:w="782" w:type="dxa"/>
            <w:vMerge w:val="restart"/>
            <w:tcBorders>
              <w:top w:val="nil"/>
              <w:left w:val="nil"/>
              <w:bottom w:val="nil"/>
              <w:right w:val="nil"/>
            </w:tcBorders>
            <w:shd w:val="clear" w:color="auto" w:fill="auto"/>
            <w:vAlign w:val="center"/>
          </w:tcPr>
          <w:p w14:paraId="7CAD31E9">
            <w:pPr>
              <w:keepNext w:val="0"/>
              <w:keepLines w:val="0"/>
              <w:widowControl/>
              <w:suppressLineNumbers w:val="0"/>
              <w:jc w:val="center"/>
              <w:textAlignment w:val="center"/>
              <w:rPr>
                <w:rFonts w:hint="default" w:ascii="Times New Roman" w:hAnsi="Times New Roman" w:eastAsia="宋体" w:cs="Times New Roman"/>
                <w:i/>
                <w:iCs/>
                <w:color w:val="231F20"/>
                <w:sz w:val="18"/>
                <w:szCs w:val="18"/>
                <w:highlight w:val="none"/>
                <w:u w:val="none"/>
              </w:rPr>
            </w:pPr>
            <w:r>
              <w:rPr>
                <w:rFonts w:hint="default" w:ascii="Times New Roman" w:hAnsi="Times New Roman" w:eastAsia="宋体" w:cs="Times New Roman"/>
                <w:i/>
                <w:iCs/>
                <w:color w:val="231F20"/>
                <w:kern w:val="0"/>
                <w:sz w:val="18"/>
                <w:szCs w:val="18"/>
                <w:highlight w:val="none"/>
                <w:u w:val="none"/>
                <w:lang w:val="en-US" w:eastAsia="zh-CN" w:bidi="ar"/>
              </w:rPr>
              <w:t>P</w:t>
            </w:r>
          </w:p>
        </w:tc>
        <w:tc>
          <w:tcPr>
            <w:tcW w:w="222" w:type="dxa"/>
            <w:tcBorders>
              <w:top w:val="nil"/>
              <w:left w:val="nil"/>
              <w:bottom w:val="nil"/>
              <w:right w:val="nil"/>
            </w:tcBorders>
            <w:shd w:val="clear" w:color="auto" w:fill="auto"/>
            <w:noWrap/>
            <w:vAlign w:val="center"/>
          </w:tcPr>
          <w:p w14:paraId="7A8E262C">
            <w:pPr>
              <w:jc w:val="center"/>
              <w:rPr>
                <w:rFonts w:hint="default" w:ascii="Times New Roman" w:hAnsi="Times New Roman" w:eastAsia="宋体" w:cs="Times New Roman"/>
                <w:i w:val="0"/>
                <w:iCs w:val="0"/>
                <w:color w:val="000000"/>
                <w:sz w:val="18"/>
                <w:szCs w:val="18"/>
                <w:highlight w:val="none"/>
                <w:u w:val="none"/>
              </w:rPr>
            </w:pPr>
          </w:p>
        </w:tc>
        <w:tc>
          <w:tcPr>
            <w:tcW w:w="1576" w:type="dxa"/>
            <w:gridSpan w:val="2"/>
            <w:tcBorders>
              <w:top w:val="single" w:color="auto" w:sz="6" w:space="0"/>
              <w:left w:val="nil"/>
              <w:bottom w:val="single" w:color="000000" w:sz="6" w:space="0"/>
              <w:right w:val="nil"/>
            </w:tcBorders>
            <w:shd w:val="clear" w:color="auto" w:fill="auto"/>
            <w:noWrap/>
            <w:vAlign w:val="center"/>
          </w:tcPr>
          <w:p w14:paraId="7DEEB9C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Crude rate（1/10</w:t>
            </w:r>
            <w:r>
              <w:rPr>
                <w:rFonts w:hint="default" w:ascii="Times New Roman" w:hAnsi="Times New Roman" w:eastAsia="宋体" w:cs="Times New Roman"/>
                <w:i w:val="0"/>
                <w:iCs w:val="0"/>
                <w:color w:val="231F20"/>
                <w:kern w:val="0"/>
                <w:sz w:val="18"/>
                <w:szCs w:val="18"/>
                <w:highlight w:val="none"/>
                <w:u w:val="none"/>
                <w:vertAlign w:val="superscript"/>
                <w:lang w:val="en-US" w:eastAsia="zh-CN" w:bidi="ar"/>
              </w:rPr>
              <w:t>5</w:t>
            </w:r>
            <w:r>
              <w:rPr>
                <w:rFonts w:hint="default" w:ascii="Times New Roman" w:hAnsi="Times New Roman" w:eastAsia="宋体" w:cs="Times New Roman"/>
                <w:i w:val="0"/>
                <w:iCs w:val="0"/>
                <w:color w:val="231F20"/>
                <w:kern w:val="0"/>
                <w:sz w:val="18"/>
                <w:szCs w:val="18"/>
                <w:highlight w:val="none"/>
                <w:u w:val="none"/>
                <w:lang w:val="en-US" w:eastAsia="zh-CN" w:bidi="ar"/>
              </w:rPr>
              <w:t>）</w:t>
            </w:r>
          </w:p>
        </w:tc>
        <w:tc>
          <w:tcPr>
            <w:tcW w:w="765" w:type="dxa"/>
            <w:vMerge w:val="restart"/>
            <w:tcBorders>
              <w:top w:val="single" w:color="auto" w:sz="6" w:space="0"/>
              <w:left w:val="nil"/>
              <w:bottom w:val="nil"/>
              <w:right w:val="nil"/>
            </w:tcBorders>
            <w:shd w:val="clear" w:color="auto" w:fill="auto"/>
            <w:vAlign w:val="center"/>
          </w:tcPr>
          <w:p w14:paraId="6FE0284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AAPC（%）</w:t>
            </w:r>
          </w:p>
        </w:tc>
        <w:tc>
          <w:tcPr>
            <w:tcW w:w="1230" w:type="dxa"/>
            <w:vMerge w:val="restart"/>
            <w:tcBorders>
              <w:top w:val="single" w:color="auto" w:sz="6" w:space="0"/>
              <w:left w:val="nil"/>
              <w:bottom w:val="nil"/>
              <w:right w:val="nil"/>
            </w:tcBorders>
            <w:shd w:val="clear" w:color="auto" w:fill="auto"/>
            <w:vAlign w:val="center"/>
          </w:tcPr>
          <w:p w14:paraId="5DF1A36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95%</w:t>
            </w:r>
            <w:r>
              <w:rPr>
                <w:rFonts w:hint="default" w:ascii="Times New Roman" w:hAnsi="Times New Roman" w:eastAsia="宋体" w:cs="Times New Roman"/>
                <w:i/>
                <w:iCs/>
                <w:color w:val="231F20"/>
                <w:kern w:val="0"/>
                <w:sz w:val="18"/>
                <w:szCs w:val="18"/>
                <w:highlight w:val="none"/>
                <w:u w:val="none"/>
                <w:lang w:val="en-US" w:eastAsia="zh-CN" w:bidi="ar"/>
              </w:rPr>
              <w:t>CI</w:t>
            </w:r>
          </w:p>
        </w:tc>
        <w:tc>
          <w:tcPr>
            <w:tcW w:w="690" w:type="dxa"/>
            <w:vMerge w:val="restart"/>
            <w:tcBorders>
              <w:top w:val="single" w:color="auto" w:sz="6" w:space="0"/>
              <w:left w:val="nil"/>
              <w:bottom w:val="nil"/>
              <w:right w:val="nil"/>
            </w:tcBorders>
            <w:shd w:val="clear" w:color="auto" w:fill="auto"/>
            <w:vAlign w:val="center"/>
          </w:tcPr>
          <w:p w14:paraId="33E4BCC1">
            <w:pPr>
              <w:keepNext w:val="0"/>
              <w:keepLines w:val="0"/>
              <w:widowControl/>
              <w:suppressLineNumbers w:val="0"/>
              <w:jc w:val="center"/>
              <w:textAlignment w:val="center"/>
              <w:rPr>
                <w:rFonts w:hint="default" w:ascii="Times New Roman" w:hAnsi="Times New Roman" w:eastAsia="宋体" w:cs="Times New Roman"/>
                <w:i/>
                <w:iCs/>
                <w:color w:val="231F20"/>
                <w:sz w:val="18"/>
                <w:szCs w:val="18"/>
                <w:highlight w:val="none"/>
                <w:u w:val="none"/>
              </w:rPr>
            </w:pPr>
            <w:r>
              <w:rPr>
                <w:rFonts w:hint="default" w:ascii="Times New Roman" w:hAnsi="Times New Roman" w:eastAsia="宋体" w:cs="Times New Roman"/>
                <w:i/>
                <w:iCs/>
                <w:color w:val="231F20"/>
                <w:kern w:val="0"/>
                <w:sz w:val="18"/>
                <w:szCs w:val="18"/>
                <w:highlight w:val="none"/>
                <w:u w:val="none"/>
                <w:lang w:val="en-US" w:eastAsia="zh-CN" w:bidi="ar"/>
              </w:rPr>
              <w:t>P</w:t>
            </w:r>
          </w:p>
        </w:tc>
      </w:tr>
      <w:tr w14:paraId="325FF2EF">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vMerge w:val="continue"/>
            <w:tcBorders>
              <w:top w:val="nil"/>
              <w:left w:val="nil"/>
              <w:bottom w:val="single" w:color="auto" w:sz="6" w:space="0"/>
              <w:right w:val="nil"/>
            </w:tcBorders>
            <w:shd w:val="clear" w:color="auto" w:fill="auto"/>
            <w:noWrap/>
            <w:vAlign w:val="center"/>
          </w:tcPr>
          <w:p w14:paraId="660295B8">
            <w:pPr>
              <w:jc w:val="center"/>
              <w:rPr>
                <w:rFonts w:hint="default" w:ascii="Times New Roman" w:hAnsi="Times New Roman" w:eastAsia="宋体" w:cs="Times New Roman"/>
                <w:i w:val="0"/>
                <w:iCs w:val="0"/>
                <w:color w:val="231F20"/>
                <w:sz w:val="18"/>
                <w:szCs w:val="18"/>
                <w:highlight w:val="none"/>
                <w:u w:val="none"/>
              </w:rPr>
            </w:pPr>
          </w:p>
        </w:tc>
        <w:tc>
          <w:tcPr>
            <w:tcW w:w="825" w:type="dxa"/>
            <w:tcBorders>
              <w:top w:val="single" w:color="auto" w:sz="6" w:space="0"/>
              <w:left w:val="nil"/>
              <w:bottom w:val="single" w:color="auto" w:sz="6" w:space="0"/>
              <w:right w:val="nil"/>
            </w:tcBorders>
            <w:shd w:val="clear" w:color="auto" w:fill="auto"/>
            <w:noWrap/>
            <w:vAlign w:val="center"/>
          </w:tcPr>
          <w:p w14:paraId="4D5C134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2018</w:t>
            </w:r>
          </w:p>
        </w:tc>
        <w:tc>
          <w:tcPr>
            <w:tcW w:w="810" w:type="dxa"/>
            <w:tcBorders>
              <w:top w:val="single" w:color="auto" w:sz="6" w:space="0"/>
              <w:left w:val="nil"/>
              <w:bottom w:val="single" w:color="auto" w:sz="6" w:space="0"/>
              <w:right w:val="nil"/>
            </w:tcBorders>
            <w:shd w:val="clear" w:color="auto" w:fill="auto"/>
            <w:noWrap/>
            <w:vAlign w:val="center"/>
          </w:tcPr>
          <w:p w14:paraId="31E91DC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2023</w:t>
            </w:r>
          </w:p>
        </w:tc>
        <w:tc>
          <w:tcPr>
            <w:tcW w:w="675" w:type="dxa"/>
            <w:vMerge w:val="continue"/>
            <w:tcBorders>
              <w:top w:val="nil"/>
              <w:left w:val="nil"/>
              <w:bottom w:val="single" w:color="auto" w:sz="6" w:space="0"/>
              <w:right w:val="nil"/>
            </w:tcBorders>
            <w:shd w:val="clear" w:color="auto" w:fill="auto"/>
            <w:vAlign w:val="center"/>
          </w:tcPr>
          <w:p w14:paraId="6E7EAE5A">
            <w:pPr>
              <w:jc w:val="center"/>
              <w:rPr>
                <w:rFonts w:hint="default" w:ascii="Times New Roman" w:hAnsi="Times New Roman" w:eastAsia="宋体" w:cs="Times New Roman"/>
                <w:i w:val="0"/>
                <w:iCs w:val="0"/>
                <w:color w:val="231F20"/>
                <w:sz w:val="18"/>
                <w:szCs w:val="18"/>
                <w:highlight w:val="none"/>
                <w:u w:val="none"/>
              </w:rPr>
            </w:pPr>
          </w:p>
        </w:tc>
        <w:tc>
          <w:tcPr>
            <w:tcW w:w="1185" w:type="dxa"/>
            <w:vMerge w:val="continue"/>
            <w:tcBorders>
              <w:top w:val="nil"/>
              <w:left w:val="nil"/>
              <w:bottom w:val="single" w:color="auto" w:sz="6" w:space="0"/>
              <w:right w:val="nil"/>
            </w:tcBorders>
            <w:shd w:val="clear" w:color="auto" w:fill="auto"/>
            <w:vAlign w:val="center"/>
          </w:tcPr>
          <w:p w14:paraId="10F82649">
            <w:pPr>
              <w:jc w:val="center"/>
              <w:rPr>
                <w:rFonts w:hint="default" w:ascii="Times New Roman" w:hAnsi="Times New Roman" w:eastAsia="宋体" w:cs="Times New Roman"/>
                <w:i w:val="0"/>
                <w:iCs w:val="0"/>
                <w:color w:val="231F20"/>
                <w:sz w:val="18"/>
                <w:szCs w:val="18"/>
                <w:highlight w:val="none"/>
                <w:u w:val="none"/>
              </w:rPr>
            </w:pPr>
          </w:p>
        </w:tc>
        <w:tc>
          <w:tcPr>
            <w:tcW w:w="780" w:type="dxa"/>
            <w:vMerge w:val="continue"/>
            <w:tcBorders>
              <w:top w:val="nil"/>
              <w:left w:val="nil"/>
              <w:bottom w:val="single" w:color="auto" w:sz="6" w:space="0"/>
              <w:right w:val="nil"/>
            </w:tcBorders>
            <w:shd w:val="clear" w:color="auto" w:fill="auto"/>
            <w:vAlign w:val="center"/>
          </w:tcPr>
          <w:p w14:paraId="3425E61F">
            <w:pPr>
              <w:jc w:val="center"/>
              <w:rPr>
                <w:rFonts w:hint="default" w:ascii="Times New Roman" w:hAnsi="Times New Roman" w:eastAsia="宋体" w:cs="Times New Roman"/>
                <w:i/>
                <w:iCs/>
                <w:color w:val="231F20"/>
                <w:sz w:val="18"/>
                <w:szCs w:val="18"/>
                <w:highlight w:val="none"/>
                <w:u w:val="none"/>
              </w:rPr>
            </w:pPr>
          </w:p>
        </w:tc>
        <w:tc>
          <w:tcPr>
            <w:tcW w:w="240" w:type="dxa"/>
            <w:tcBorders>
              <w:top w:val="nil"/>
              <w:left w:val="nil"/>
              <w:bottom w:val="single" w:color="auto" w:sz="6" w:space="0"/>
              <w:right w:val="nil"/>
            </w:tcBorders>
            <w:shd w:val="clear" w:color="auto" w:fill="auto"/>
            <w:noWrap/>
            <w:vAlign w:val="center"/>
          </w:tcPr>
          <w:p w14:paraId="4F20185E">
            <w:pPr>
              <w:jc w:val="center"/>
              <w:rPr>
                <w:rFonts w:hint="default" w:ascii="Times New Roman" w:hAnsi="Times New Roman" w:eastAsia="宋体" w:cs="Times New Roman"/>
                <w:i w:val="0"/>
                <w:iCs w:val="0"/>
                <w:color w:val="000000"/>
                <w:sz w:val="18"/>
                <w:szCs w:val="18"/>
                <w:highlight w:val="none"/>
                <w:u w:val="none"/>
              </w:rPr>
            </w:pPr>
          </w:p>
        </w:tc>
        <w:tc>
          <w:tcPr>
            <w:tcW w:w="855" w:type="dxa"/>
            <w:tcBorders>
              <w:top w:val="single" w:color="000000" w:sz="6" w:space="0"/>
              <w:left w:val="nil"/>
              <w:bottom w:val="single" w:color="auto" w:sz="6" w:space="0"/>
              <w:right w:val="nil"/>
            </w:tcBorders>
            <w:shd w:val="clear" w:color="auto" w:fill="auto"/>
            <w:noWrap/>
            <w:vAlign w:val="center"/>
          </w:tcPr>
          <w:p w14:paraId="0A75BF0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2018</w:t>
            </w:r>
          </w:p>
        </w:tc>
        <w:tc>
          <w:tcPr>
            <w:tcW w:w="840" w:type="dxa"/>
            <w:tcBorders>
              <w:top w:val="single" w:color="000000" w:sz="6" w:space="0"/>
              <w:left w:val="nil"/>
              <w:bottom w:val="single" w:color="auto" w:sz="6" w:space="0"/>
              <w:right w:val="nil"/>
            </w:tcBorders>
            <w:shd w:val="clear" w:color="auto" w:fill="auto"/>
            <w:noWrap/>
            <w:vAlign w:val="center"/>
          </w:tcPr>
          <w:p w14:paraId="05DECDA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2023</w:t>
            </w:r>
          </w:p>
        </w:tc>
        <w:tc>
          <w:tcPr>
            <w:tcW w:w="735" w:type="dxa"/>
            <w:vMerge w:val="continue"/>
            <w:tcBorders>
              <w:top w:val="nil"/>
              <w:left w:val="nil"/>
              <w:bottom w:val="single" w:color="auto" w:sz="6" w:space="0"/>
              <w:right w:val="nil"/>
            </w:tcBorders>
            <w:shd w:val="clear" w:color="auto" w:fill="auto"/>
            <w:vAlign w:val="center"/>
          </w:tcPr>
          <w:p w14:paraId="0A9D9CAA">
            <w:pPr>
              <w:jc w:val="center"/>
              <w:rPr>
                <w:rFonts w:hint="default" w:ascii="Times New Roman" w:hAnsi="Times New Roman" w:eastAsia="宋体" w:cs="Times New Roman"/>
                <w:i w:val="0"/>
                <w:iCs w:val="0"/>
                <w:color w:val="231F20"/>
                <w:sz w:val="18"/>
                <w:szCs w:val="18"/>
                <w:highlight w:val="none"/>
                <w:u w:val="none"/>
              </w:rPr>
            </w:pPr>
          </w:p>
        </w:tc>
        <w:tc>
          <w:tcPr>
            <w:tcW w:w="1185" w:type="dxa"/>
            <w:vMerge w:val="continue"/>
            <w:tcBorders>
              <w:top w:val="nil"/>
              <w:left w:val="nil"/>
              <w:bottom w:val="single" w:color="auto" w:sz="6" w:space="0"/>
              <w:right w:val="nil"/>
            </w:tcBorders>
            <w:shd w:val="clear" w:color="auto" w:fill="auto"/>
            <w:vAlign w:val="center"/>
          </w:tcPr>
          <w:p w14:paraId="138A54ED">
            <w:pPr>
              <w:jc w:val="center"/>
              <w:rPr>
                <w:rFonts w:hint="default" w:ascii="Times New Roman" w:hAnsi="Times New Roman" w:eastAsia="宋体" w:cs="Times New Roman"/>
                <w:i w:val="0"/>
                <w:iCs w:val="0"/>
                <w:color w:val="231F20"/>
                <w:sz w:val="18"/>
                <w:szCs w:val="18"/>
                <w:highlight w:val="none"/>
                <w:u w:val="none"/>
              </w:rPr>
            </w:pPr>
          </w:p>
        </w:tc>
        <w:tc>
          <w:tcPr>
            <w:tcW w:w="782" w:type="dxa"/>
            <w:vMerge w:val="continue"/>
            <w:tcBorders>
              <w:top w:val="nil"/>
              <w:left w:val="nil"/>
              <w:bottom w:val="single" w:color="auto" w:sz="6" w:space="0"/>
              <w:right w:val="nil"/>
            </w:tcBorders>
            <w:shd w:val="clear" w:color="auto" w:fill="auto"/>
            <w:vAlign w:val="center"/>
          </w:tcPr>
          <w:p w14:paraId="0CA7BE5E">
            <w:pPr>
              <w:jc w:val="center"/>
              <w:rPr>
                <w:rFonts w:hint="default" w:ascii="Times New Roman" w:hAnsi="Times New Roman" w:eastAsia="宋体" w:cs="Times New Roman"/>
                <w:i/>
                <w:iCs/>
                <w:color w:val="231F20"/>
                <w:sz w:val="18"/>
                <w:szCs w:val="18"/>
                <w:highlight w:val="none"/>
                <w:u w:val="none"/>
              </w:rPr>
            </w:pPr>
          </w:p>
        </w:tc>
        <w:tc>
          <w:tcPr>
            <w:tcW w:w="222" w:type="dxa"/>
            <w:tcBorders>
              <w:top w:val="nil"/>
              <w:left w:val="nil"/>
              <w:bottom w:val="single" w:color="auto" w:sz="6" w:space="0"/>
              <w:right w:val="nil"/>
            </w:tcBorders>
            <w:shd w:val="clear" w:color="auto" w:fill="auto"/>
            <w:noWrap/>
            <w:vAlign w:val="center"/>
          </w:tcPr>
          <w:p w14:paraId="45E9312D">
            <w:pPr>
              <w:jc w:val="center"/>
              <w:rPr>
                <w:rFonts w:hint="default" w:ascii="Times New Roman" w:hAnsi="Times New Roman" w:eastAsia="宋体" w:cs="Times New Roman"/>
                <w:i w:val="0"/>
                <w:iCs w:val="0"/>
                <w:color w:val="000000"/>
                <w:sz w:val="18"/>
                <w:szCs w:val="18"/>
                <w:highlight w:val="none"/>
                <w:u w:val="none"/>
              </w:rPr>
            </w:pPr>
          </w:p>
        </w:tc>
        <w:tc>
          <w:tcPr>
            <w:tcW w:w="841" w:type="dxa"/>
            <w:tcBorders>
              <w:top w:val="single" w:color="000000" w:sz="6" w:space="0"/>
              <w:left w:val="nil"/>
              <w:bottom w:val="single" w:color="auto" w:sz="6" w:space="0"/>
              <w:right w:val="nil"/>
            </w:tcBorders>
            <w:shd w:val="clear" w:color="auto" w:fill="auto"/>
            <w:noWrap/>
            <w:vAlign w:val="center"/>
          </w:tcPr>
          <w:p w14:paraId="10F19BA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2018</w:t>
            </w:r>
          </w:p>
        </w:tc>
        <w:tc>
          <w:tcPr>
            <w:tcW w:w="735" w:type="dxa"/>
            <w:tcBorders>
              <w:top w:val="single" w:color="000000" w:sz="6" w:space="0"/>
              <w:left w:val="nil"/>
              <w:bottom w:val="single" w:color="auto" w:sz="6" w:space="0"/>
              <w:right w:val="nil"/>
            </w:tcBorders>
            <w:shd w:val="clear" w:color="auto" w:fill="auto"/>
            <w:noWrap/>
            <w:vAlign w:val="center"/>
          </w:tcPr>
          <w:p w14:paraId="61BECDD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2023</w:t>
            </w:r>
          </w:p>
        </w:tc>
        <w:tc>
          <w:tcPr>
            <w:tcW w:w="765" w:type="dxa"/>
            <w:vMerge w:val="continue"/>
            <w:tcBorders>
              <w:top w:val="nil"/>
              <w:left w:val="nil"/>
              <w:bottom w:val="single" w:color="auto" w:sz="6" w:space="0"/>
              <w:right w:val="nil"/>
            </w:tcBorders>
            <w:shd w:val="clear" w:color="auto" w:fill="auto"/>
            <w:vAlign w:val="center"/>
          </w:tcPr>
          <w:p w14:paraId="2D29F009">
            <w:pPr>
              <w:jc w:val="center"/>
              <w:rPr>
                <w:rFonts w:hint="default" w:ascii="Times New Roman" w:hAnsi="Times New Roman" w:eastAsia="宋体" w:cs="Times New Roman"/>
                <w:i w:val="0"/>
                <w:iCs w:val="0"/>
                <w:color w:val="231F20"/>
                <w:sz w:val="18"/>
                <w:szCs w:val="18"/>
                <w:highlight w:val="none"/>
                <w:u w:val="none"/>
              </w:rPr>
            </w:pPr>
          </w:p>
        </w:tc>
        <w:tc>
          <w:tcPr>
            <w:tcW w:w="1230" w:type="dxa"/>
            <w:vMerge w:val="continue"/>
            <w:tcBorders>
              <w:top w:val="nil"/>
              <w:left w:val="nil"/>
              <w:bottom w:val="single" w:color="auto" w:sz="6" w:space="0"/>
              <w:right w:val="nil"/>
            </w:tcBorders>
            <w:shd w:val="clear" w:color="auto" w:fill="auto"/>
            <w:vAlign w:val="center"/>
          </w:tcPr>
          <w:p w14:paraId="0B279B26">
            <w:pPr>
              <w:jc w:val="center"/>
              <w:rPr>
                <w:rFonts w:hint="default" w:ascii="Times New Roman" w:hAnsi="Times New Roman" w:eastAsia="宋体" w:cs="Times New Roman"/>
                <w:i w:val="0"/>
                <w:iCs w:val="0"/>
                <w:color w:val="231F20"/>
                <w:sz w:val="18"/>
                <w:szCs w:val="18"/>
                <w:highlight w:val="none"/>
                <w:u w:val="none"/>
              </w:rPr>
            </w:pPr>
          </w:p>
        </w:tc>
        <w:tc>
          <w:tcPr>
            <w:tcW w:w="690" w:type="dxa"/>
            <w:vMerge w:val="continue"/>
            <w:tcBorders>
              <w:top w:val="nil"/>
              <w:left w:val="nil"/>
              <w:bottom w:val="single" w:color="auto" w:sz="6" w:space="0"/>
              <w:right w:val="nil"/>
            </w:tcBorders>
            <w:shd w:val="clear" w:color="auto" w:fill="auto"/>
            <w:vAlign w:val="center"/>
          </w:tcPr>
          <w:p w14:paraId="56985AC3">
            <w:pPr>
              <w:jc w:val="center"/>
              <w:rPr>
                <w:rFonts w:hint="default" w:ascii="Times New Roman" w:hAnsi="Times New Roman" w:eastAsia="宋体" w:cs="Times New Roman"/>
                <w:i/>
                <w:iCs/>
                <w:color w:val="231F20"/>
                <w:sz w:val="18"/>
                <w:szCs w:val="18"/>
                <w:highlight w:val="none"/>
                <w:u w:val="none"/>
              </w:rPr>
            </w:pPr>
          </w:p>
        </w:tc>
      </w:tr>
      <w:tr w14:paraId="7019BA3F">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single" w:color="auto" w:sz="6" w:space="0"/>
              <w:left w:val="nil"/>
              <w:bottom w:val="nil"/>
              <w:right w:val="nil"/>
            </w:tcBorders>
            <w:shd w:val="clear" w:color="auto" w:fill="auto"/>
            <w:noWrap/>
            <w:vAlign w:val="center"/>
          </w:tcPr>
          <w:p w14:paraId="367710B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0~19</w:t>
            </w:r>
          </w:p>
        </w:tc>
        <w:tc>
          <w:tcPr>
            <w:tcW w:w="825" w:type="dxa"/>
            <w:tcBorders>
              <w:top w:val="single" w:color="auto" w:sz="6" w:space="0"/>
              <w:left w:val="nil"/>
              <w:bottom w:val="nil"/>
              <w:right w:val="nil"/>
            </w:tcBorders>
            <w:shd w:val="clear" w:color="auto" w:fill="auto"/>
            <w:noWrap/>
            <w:vAlign w:val="center"/>
          </w:tcPr>
          <w:p w14:paraId="417A33E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3.73 </w:t>
            </w:r>
          </w:p>
        </w:tc>
        <w:tc>
          <w:tcPr>
            <w:tcW w:w="810" w:type="dxa"/>
            <w:tcBorders>
              <w:top w:val="single" w:color="auto" w:sz="6" w:space="0"/>
              <w:left w:val="nil"/>
              <w:bottom w:val="nil"/>
              <w:right w:val="nil"/>
            </w:tcBorders>
            <w:shd w:val="clear" w:color="auto" w:fill="auto"/>
            <w:noWrap/>
            <w:vAlign w:val="center"/>
          </w:tcPr>
          <w:p w14:paraId="0DEBD43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3.51 </w:t>
            </w:r>
          </w:p>
        </w:tc>
        <w:tc>
          <w:tcPr>
            <w:tcW w:w="675" w:type="dxa"/>
            <w:tcBorders>
              <w:top w:val="single" w:color="auto" w:sz="6" w:space="0"/>
              <w:left w:val="nil"/>
              <w:bottom w:val="nil"/>
              <w:right w:val="nil"/>
            </w:tcBorders>
            <w:shd w:val="clear" w:color="auto" w:fill="auto"/>
            <w:noWrap/>
            <w:vAlign w:val="center"/>
          </w:tcPr>
          <w:p w14:paraId="54A433B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-4.76 </w:t>
            </w:r>
          </w:p>
        </w:tc>
        <w:tc>
          <w:tcPr>
            <w:tcW w:w="1185" w:type="dxa"/>
            <w:tcBorders>
              <w:top w:val="single" w:color="auto" w:sz="6" w:space="0"/>
              <w:left w:val="nil"/>
              <w:bottom w:val="nil"/>
              <w:right w:val="nil"/>
            </w:tcBorders>
            <w:shd w:val="clear" w:color="auto" w:fill="auto"/>
            <w:noWrap/>
            <w:vAlign w:val="center"/>
          </w:tcPr>
          <w:p w14:paraId="2FD9B39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-28.77~22.64</w:t>
            </w:r>
          </w:p>
        </w:tc>
        <w:tc>
          <w:tcPr>
            <w:tcW w:w="780" w:type="dxa"/>
            <w:tcBorders>
              <w:top w:val="single" w:color="auto" w:sz="6" w:space="0"/>
              <w:left w:val="nil"/>
              <w:bottom w:val="nil"/>
              <w:right w:val="nil"/>
            </w:tcBorders>
            <w:shd w:val="clear" w:color="auto" w:fill="auto"/>
            <w:noWrap/>
            <w:vAlign w:val="center"/>
          </w:tcPr>
          <w:p w14:paraId="2483CEF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0.510 </w:t>
            </w:r>
          </w:p>
        </w:tc>
        <w:tc>
          <w:tcPr>
            <w:tcW w:w="240" w:type="dxa"/>
            <w:tcBorders>
              <w:top w:val="single" w:color="auto" w:sz="6" w:space="0"/>
              <w:left w:val="nil"/>
              <w:bottom w:val="nil"/>
              <w:right w:val="nil"/>
            </w:tcBorders>
            <w:shd w:val="clear" w:color="auto" w:fill="auto"/>
            <w:noWrap/>
            <w:vAlign w:val="center"/>
          </w:tcPr>
          <w:p w14:paraId="07BD1D0D">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single" w:color="auto" w:sz="6" w:space="0"/>
              <w:left w:val="nil"/>
              <w:bottom w:val="nil"/>
              <w:right w:val="nil"/>
            </w:tcBorders>
            <w:shd w:val="clear" w:color="auto" w:fill="auto"/>
            <w:noWrap/>
            <w:vAlign w:val="center"/>
          </w:tcPr>
          <w:p w14:paraId="2F5AD91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3.98 </w:t>
            </w:r>
          </w:p>
        </w:tc>
        <w:tc>
          <w:tcPr>
            <w:tcW w:w="840" w:type="dxa"/>
            <w:tcBorders>
              <w:top w:val="single" w:color="auto" w:sz="6" w:space="0"/>
              <w:left w:val="nil"/>
              <w:bottom w:val="nil"/>
              <w:right w:val="nil"/>
            </w:tcBorders>
            <w:shd w:val="clear" w:color="auto" w:fill="auto"/>
            <w:noWrap/>
            <w:vAlign w:val="center"/>
          </w:tcPr>
          <w:p w14:paraId="24BB783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3.85 </w:t>
            </w:r>
          </w:p>
        </w:tc>
        <w:tc>
          <w:tcPr>
            <w:tcW w:w="735" w:type="dxa"/>
            <w:tcBorders>
              <w:top w:val="single" w:color="auto" w:sz="6" w:space="0"/>
              <w:left w:val="nil"/>
              <w:bottom w:val="nil"/>
              <w:right w:val="nil"/>
            </w:tcBorders>
            <w:shd w:val="clear" w:color="auto" w:fill="auto"/>
            <w:noWrap/>
            <w:vAlign w:val="center"/>
          </w:tcPr>
          <w:p w14:paraId="792EA55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-3.34 </w:t>
            </w:r>
          </w:p>
        </w:tc>
        <w:tc>
          <w:tcPr>
            <w:tcW w:w="1185" w:type="dxa"/>
            <w:tcBorders>
              <w:top w:val="single" w:color="auto" w:sz="6" w:space="0"/>
              <w:left w:val="nil"/>
              <w:bottom w:val="nil"/>
              <w:right w:val="nil"/>
            </w:tcBorders>
            <w:shd w:val="clear" w:color="auto" w:fill="auto"/>
            <w:noWrap/>
            <w:vAlign w:val="center"/>
          </w:tcPr>
          <w:p w14:paraId="0367C4B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-18.18~11.96</w:t>
            </w:r>
          </w:p>
        </w:tc>
        <w:tc>
          <w:tcPr>
            <w:tcW w:w="782" w:type="dxa"/>
            <w:tcBorders>
              <w:top w:val="single" w:color="auto" w:sz="6" w:space="0"/>
              <w:left w:val="nil"/>
              <w:bottom w:val="nil"/>
              <w:right w:val="nil"/>
            </w:tcBorders>
            <w:shd w:val="clear" w:color="auto" w:fill="auto"/>
            <w:noWrap/>
            <w:vAlign w:val="center"/>
          </w:tcPr>
          <w:p w14:paraId="52C9557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0.557 </w:t>
            </w:r>
          </w:p>
        </w:tc>
        <w:tc>
          <w:tcPr>
            <w:tcW w:w="222" w:type="dxa"/>
            <w:tcBorders>
              <w:top w:val="single" w:color="auto" w:sz="6" w:space="0"/>
              <w:left w:val="nil"/>
              <w:bottom w:val="nil"/>
              <w:right w:val="nil"/>
            </w:tcBorders>
            <w:shd w:val="clear" w:color="auto" w:fill="auto"/>
            <w:noWrap/>
            <w:vAlign w:val="center"/>
          </w:tcPr>
          <w:p w14:paraId="41613D22">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single" w:color="auto" w:sz="6" w:space="0"/>
              <w:left w:val="nil"/>
              <w:bottom w:val="nil"/>
              <w:right w:val="nil"/>
            </w:tcBorders>
            <w:shd w:val="clear" w:color="auto" w:fill="auto"/>
            <w:noWrap/>
            <w:vAlign w:val="center"/>
          </w:tcPr>
          <w:p w14:paraId="0BCB3DF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3.45 </w:t>
            </w:r>
          </w:p>
        </w:tc>
        <w:tc>
          <w:tcPr>
            <w:tcW w:w="735" w:type="dxa"/>
            <w:tcBorders>
              <w:top w:val="single" w:color="auto" w:sz="6" w:space="0"/>
              <w:left w:val="nil"/>
              <w:bottom w:val="nil"/>
              <w:right w:val="nil"/>
            </w:tcBorders>
            <w:shd w:val="clear" w:color="auto" w:fill="auto"/>
            <w:noWrap/>
            <w:vAlign w:val="center"/>
          </w:tcPr>
          <w:p w14:paraId="1497FF9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3.15 </w:t>
            </w:r>
          </w:p>
        </w:tc>
        <w:tc>
          <w:tcPr>
            <w:tcW w:w="765" w:type="dxa"/>
            <w:tcBorders>
              <w:top w:val="single" w:color="auto" w:sz="6" w:space="0"/>
              <w:left w:val="nil"/>
              <w:bottom w:val="nil"/>
              <w:right w:val="nil"/>
            </w:tcBorders>
            <w:shd w:val="clear" w:color="auto" w:fill="auto"/>
            <w:noWrap/>
            <w:vAlign w:val="center"/>
          </w:tcPr>
          <w:p w14:paraId="3C913D8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-6.54 </w:t>
            </w:r>
          </w:p>
        </w:tc>
        <w:tc>
          <w:tcPr>
            <w:tcW w:w="1230" w:type="dxa"/>
            <w:tcBorders>
              <w:top w:val="single" w:color="auto" w:sz="6" w:space="0"/>
              <w:left w:val="nil"/>
              <w:bottom w:val="nil"/>
              <w:right w:val="nil"/>
            </w:tcBorders>
            <w:shd w:val="clear" w:color="auto" w:fill="auto"/>
            <w:noWrap/>
            <w:vAlign w:val="center"/>
          </w:tcPr>
          <w:p w14:paraId="41E84A1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-31.00~18.96</w:t>
            </w:r>
          </w:p>
        </w:tc>
        <w:tc>
          <w:tcPr>
            <w:tcW w:w="690" w:type="dxa"/>
            <w:tcBorders>
              <w:top w:val="single" w:color="auto" w:sz="6" w:space="0"/>
              <w:left w:val="nil"/>
              <w:bottom w:val="nil"/>
              <w:right w:val="nil"/>
            </w:tcBorders>
            <w:shd w:val="clear" w:color="auto" w:fill="auto"/>
            <w:noWrap/>
            <w:vAlign w:val="center"/>
          </w:tcPr>
          <w:p w14:paraId="504381D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0.460 </w:t>
            </w:r>
          </w:p>
        </w:tc>
      </w:tr>
      <w:tr w14:paraId="69FCAC18">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24CD374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20~24</w:t>
            </w:r>
          </w:p>
        </w:tc>
        <w:tc>
          <w:tcPr>
            <w:tcW w:w="825" w:type="dxa"/>
            <w:tcBorders>
              <w:top w:val="nil"/>
              <w:left w:val="nil"/>
              <w:bottom w:val="nil"/>
              <w:right w:val="nil"/>
            </w:tcBorders>
            <w:shd w:val="clear" w:color="auto" w:fill="auto"/>
            <w:noWrap/>
            <w:vAlign w:val="center"/>
          </w:tcPr>
          <w:p w14:paraId="0D43F95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4.85 </w:t>
            </w:r>
          </w:p>
        </w:tc>
        <w:tc>
          <w:tcPr>
            <w:tcW w:w="810" w:type="dxa"/>
            <w:tcBorders>
              <w:top w:val="nil"/>
              <w:left w:val="nil"/>
              <w:bottom w:val="nil"/>
              <w:right w:val="nil"/>
            </w:tcBorders>
            <w:shd w:val="clear" w:color="auto" w:fill="auto"/>
            <w:noWrap/>
            <w:vAlign w:val="center"/>
          </w:tcPr>
          <w:p w14:paraId="2CC7801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3.88 </w:t>
            </w:r>
          </w:p>
        </w:tc>
        <w:tc>
          <w:tcPr>
            <w:tcW w:w="675" w:type="dxa"/>
            <w:tcBorders>
              <w:top w:val="nil"/>
              <w:left w:val="nil"/>
              <w:bottom w:val="nil"/>
              <w:right w:val="nil"/>
            </w:tcBorders>
            <w:shd w:val="clear" w:color="auto" w:fill="auto"/>
            <w:noWrap/>
            <w:vAlign w:val="center"/>
          </w:tcPr>
          <w:p w14:paraId="256F9B4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-1.29 </w:t>
            </w:r>
          </w:p>
        </w:tc>
        <w:tc>
          <w:tcPr>
            <w:tcW w:w="1185" w:type="dxa"/>
            <w:tcBorders>
              <w:top w:val="nil"/>
              <w:left w:val="nil"/>
              <w:bottom w:val="nil"/>
              <w:right w:val="nil"/>
            </w:tcBorders>
            <w:shd w:val="clear" w:color="auto" w:fill="auto"/>
            <w:noWrap/>
            <w:vAlign w:val="center"/>
          </w:tcPr>
          <w:p w14:paraId="6AE3F29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-18.51~16.61</w:t>
            </w:r>
          </w:p>
        </w:tc>
        <w:tc>
          <w:tcPr>
            <w:tcW w:w="780" w:type="dxa"/>
            <w:tcBorders>
              <w:top w:val="nil"/>
              <w:left w:val="nil"/>
              <w:bottom w:val="nil"/>
              <w:right w:val="nil"/>
            </w:tcBorders>
            <w:shd w:val="clear" w:color="auto" w:fill="auto"/>
            <w:noWrap/>
            <w:vAlign w:val="center"/>
          </w:tcPr>
          <w:p w14:paraId="68788FF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0.767 </w:t>
            </w:r>
          </w:p>
        </w:tc>
        <w:tc>
          <w:tcPr>
            <w:tcW w:w="240" w:type="dxa"/>
            <w:tcBorders>
              <w:top w:val="nil"/>
              <w:left w:val="nil"/>
              <w:bottom w:val="nil"/>
              <w:right w:val="nil"/>
            </w:tcBorders>
            <w:shd w:val="clear" w:color="auto" w:fill="auto"/>
            <w:noWrap/>
            <w:vAlign w:val="center"/>
          </w:tcPr>
          <w:p w14:paraId="3AC2B2FA">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4C0FB5E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5.06 </w:t>
            </w:r>
          </w:p>
        </w:tc>
        <w:tc>
          <w:tcPr>
            <w:tcW w:w="840" w:type="dxa"/>
            <w:tcBorders>
              <w:top w:val="nil"/>
              <w:left w:val="nil"/>
              <w:bottom w:val="nil"/>
              <w:right w:val="nil"/>
            </w:tcBorders>
            <w:shd w:val="clear" w:color="auto" w:fill="auto"/>
            <w:noWrap/>
            <w:vAlign w:val="center"/>
          </w:tcPr>
          <w:p w14:paraId="2D52416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4.88 </w:t>
            </w:r>
          </w:p>
        </w:tc>
        <w:tc>
          <w:tcPr>
            <w:tcW w:w="735" w:type="dxa"/>
            <w:tcBorders>
              <w:top w:val="nil"/>
              <w:left w:val="nil"/>
              <w:bottom w:val="nil"/>
              <w:right w:val="nil"/>
            </w:tcBorders>
            <w:shd w:val="clear" w:color="auto" w:fill="auto"/>
            <w:noWrap/>
            <w:vAlign w:val="center"/>
          </w:tcPr>
          <w:p w14:paraId="6C88C70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-3.48 </w:t>
            </w:r>
          </w:p>
        </w:tc>
        <w:tc>
          <w:tcPr>
            <w:tcW w:w="1185" w:type="dxa"/>
            <w:tcBorders>
              <w:top w:val="nil"/>
              <w:left w:val="nil"/>
              <w:bottom w:val="nil"/>
              <w:right w:val="nil"/>
            </w:tcBorders>
            <w:shd w:val="clear" w:color="auto" w:fill="auto"/>
            <w:noWrap/>
            <w:vAlign w:val="center"/>
          </w:tcPr>
          <w:p w14:paraId="590356F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-14.62~6.93</w:t>
            </w:r>
          </w:p>
        </w:tc>
        <w:tc>
          <w:tcPr>
            <w:tcW w:w="782" w:type="dxa"/>
            <w:tcBorders>
              <w:top w:val="nil"/>
              <w:left w:val="nil"/>
              <w:bottom w:val="nil"/>
              <w:right w:val="nil"/>
            </w:tcBorders>
            <w:shd w:val="clear" w:color="auto" w:fill="auto"/>
            <w:noWrap/>
            <w:vAlign w:val="center"/>
          </w:tcPr>
          <w:p w14:paraId="2512B70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0.365 </w:t>
            </w:r>
          </w:p>
        </w:tc>
        <w:tc>
          <w:tcPr>
            <w:tcW w:w="222" w:type="dxa"/>
            <w:tcBorders>
              <w:top w:val="nil"/>
              <w:left w:val="nil"/>
              <w:bottom w:val="nil"/>
              <w:right w:val="nil"/>
            </w:tcBorders>
            <w:shd w:val="clear" w:color="auto" w:fill="auto"/>
            <w:noWrap/>
            <w:vAlign w:val="center"/>
          </w:tcPr>
          <w:p w14:paraId="3DC518DF">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3B03D9A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4.63 </w:t>
            </w:r>
          </w:p>
        </w:tc>
        <w:tc>
          <w:tcPr>
            <w:tcW w:w="735" w:type="dxa"/>
            <w:tcBorders>
              <w:top w:val="nil"/>
              <w:left w:val="nil"/>
              <w:bottom w:val="nil"/>
              <w:right w:val="nil"/>
            </w:tcBorders>
            <w:shd w:val="clear" w:color="auto" w:fill="auto"/>
            <w:noWrap/>
            <w:vAlign w:val="center"/>
          </w:tcPr>
          <w:p w14:paraId="5CDDF53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2.75 </w:t>
            </w:r>
          </w:p>
        </w:tc>
        <w:tc>
          <w:tcPr>
            <w:tcW w:w="765" w:type="dxa"/>
            <w:tcBorders>
              <w:top w:val="nil"/>
              <w:left w:val="nil"/>
              <w:bottom w:val="nil"/>
              <w:right w:val="nil"/>
            </w:tcBorders>
            <w:shd w:val="clear" w:color="auto" w:fill="auto"/>
            <w:noWrap/>
            <w:vAlign w:val="center"/>
          </w:tcPr>
          <w:p w14:paraId="1C0890A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-0.38 </w:t>
            </w:r>
          </w:p>
        </w:tc>
        <w:tc>
          <w:tcPr>
            <w:tcW w:w="1230" w:type="dxa"/>
            <w:tcBorders>
              <w:top w:val="nil"/>
              <w:left w:val="nil"/>
              <w:bottom w:val="nil"/>
              <w:right w:val="nil"/>
            </w:tcBorders>
            <w:shd w:val="clear" w:color="auto" w:fill="auto"/>
            <w:noWrap/>
            <w:vAlign w:val="center"/>
          </w:tcPr>
          <w:p w14:paraId="768F0A3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-42.93~75.72</w:t>
            </w:r>
          </w:p>
        </w:tc>
        <w:tc>
          <w:tcPr>
            <w:tcW w:w="690" w:type="dxa"/>
            <w:tcBorders>
              <w:top w:val="nil"/>
              <w:left w:val="nil"/>
              <w:bottom w:val="nil"/>
              <w:right w:val="nil"/>
            </w:tcBorders>
            <w:shd w:val="clear" w:color="auto" w:fill="auto"/>
            <w:noWrap/>
            <w:vAlign w:val="center"/>
          </w:tcPr>
          <w:p w14:paraId="74D317D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0.878 </w:t>
            </w:r>
          </w:p>
        </w:tc>
      </w:tr>
      <w:tr w14:paraId="2ED5C9EC">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0A8A73C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25~29</w:t>
            </w:r>
          </w:p>
        </w:tc>
        <w:tc>
          <w:tcPr>
            <w:tcW w:w="825" w:type="dxa"/>
            <w:tcBorders>
              <w:top w:val="nil"/>
              <w:left w:val="nil"/>
              <w:bottom w:val="nil"/>
              <w:right w:val="nil"/>
            </w:tcBorders>
            <w:shd w:val="clear" w:color="auto" w:fill="auto"/>
            <w:noWrap/>
            <w:vAlign w:val="center"/>
          </w:tcPr>
          <w:p w14:paraId="344EA59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8.51 </w:t>
            </w:r>
          </w:p>
        </w:tc>
        <w:tc>
          <w:tcPr>
            <w:tcW w:w="810" w:type="dxa"/>
            <w:tcBorders>
              <w:top w:val="nil"/>
              <w:left w:val="nil"/>
              <w:bottom w:val="nil"/>
              <w:right w:val="nil"/>
            </w:tcBorders>
            <w:shd w:val="clear" w:color="auto" w:fill="auto"/>
            <w:noWrap/>
            <w:vAlign w:val="center"/>
          </w:tcPr>
          <w:p w14:paraId="47281EC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9.72 </w:t>
            </w:r>
          </w:p>
        </w:tc>
        <w:tc>
          <w:tcPr>
            <w:tcW w:w="675" w:type="dxa"/>
            <w:tcBorders>
              <w:top w:val="nil"/>
              <w:left w:val="nil"/>
              <w:bottom w:val="nil"/>
              <w:right w:val="nil"/>
            </w:tcBorders>
            <w:shd w:val="clear" w:color="auto" w:fill="auto"/>
            <w:noWrap/>
            <w:vAlign w:val="center"/>
          </w:tcPr>
          <w:p w14:paraId="0B23747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-2.14 </w:t>
            </w:r>
          </w:p>
        </w:tc>
        <w:tc>
          <w:tcPr>
            <w:tcW w:w="1185" w:type="dxa"/>
            <w:tcBorders>
              <w:top w:val="nil"/>
              <w:left w:val="nil"/>
              <w:bottom w:val="nil"/>
              <w:right w:val="nil"/>
            </w:tcBorders>
            <w:shd w:val="clear" w:color="auto" w:fill="auto"/>
            <w:noWrap/>
            <w:vAlign w:val="center"/>
          </w:tcPr>
          <w:p w14:paraId="70C31A3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-21.46~16.74</w:t>
            </w:r>
          </w:p>
        </w:tc>
        <w:tc>
          <w:tcPr>
            <w:tcW w:w="780" w:type="dxa"/>
            <w:tcBorders>
              <w:top w:val="nil"/>
              <w:left w:val="nil"/>
              <w:bottom w:val="nil"/>
              <w:right w:val="nil"/>
            </w:tcBorders>
            <w:shd w:val="clear" w:color="auto" w:fill="auto"/>
            <w:noWrap/>
            <w:vAlign w:val="center"/>
          </w:tcPr>
          <w:p w14:paraId="7CD4A9A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0.667 </w:t>
            </w:r>
          </w:p>
        </w:tc>
        <w:tc>
          <w:tcPr>
            <w:tcW w:w="240" w:type="dxa"/>
            <w:tcBorders>
              <w:top w:val="nil"/>
              <w:left w:val="nil"/>
              <w:bottom w:val="nil"/>
              <w:right w:val="nil"/>
            </w:tcBorders>
            <w:shd w:val="clear" w:color="auto" w:fill="auto"/>
            <w:noWrap/>
            <w:vAlign w:val="center"/>
          </w:tcPr>
          <w:p w14:paraId="44B60DD8">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05938F4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8.79 </w:t>
            </w:r>
          </w:p>
        </w:tc>
        <w:tc>
          <w:tcPr>
            <w:tcW w:w="840" w:type="dxa"/>
            <w:tcBorders>
              <w:top w:val="nil"/>
              <w:left w:val="nil"/>
              <w:bottom w:val="nil"/>
              <w:right w:val="nil"/>
            </w:tcBorders>
            <w:shd w:val="clear" w:color="auto" w:fill="auto"/>
            <w:noWrap/>
            <w:vAlign w:val="center"/>
          </w:tcPr>
          <w:p w14:paraId="7FD656F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11.35 </w:t>
            </w:r>
          </w:p>
        </w:tc>
        <w:tc>
          <w:tcPr>
            <w:tcW w:w="735" w:type="dxa"/>
            <w:tcBorders>
              <w:top w:val="nil"/>
              <w:left w:val="nil"/>
              <w:bottom w:val="nil"/>
              <w:right w:val="nil"/>
            </w:tcBorders>
            <w:shd w:val="clear" w:color="auto" w:fill="auto"/>
            <w:noWrap/>
            <w:vAlign w:val="center"/>
          </w:tcPr>
          <w:p w14:paraId="0D336DE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2.09 </w:t>
            </w:r>
          </w:p>
        </w:tc>
        <w:tc>
          <w:tcPr>
            <w:tcW w:w="1185" w:type="dxa"/>
            <w:tcBorders>
              <w:top w:val="nil"/>
              <w:left w:val="nil"/>
              <w:bottom w:val="nil"/>
              <w:right w:val="nil"/>
            </w:tcBorders>
            <w:shd w:val="clear" w:color="auto" w:fill="auto"/>
            <w:noWrap/>
            <w:vAlign w:val="center"/>
          </w:tcPr>
          <w:p w14:paraId="7602932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-8.92~13.12</w:t>
            </w:r>
          </w:p>
        </w:tc>
        <w:tc>
          <w:tcPr>
            <w:tcW w:w="782" w:type="dxa"/>
            <w:tcBorders>
              <w:top w:val="nil"/>
              <w:left w:val="nil"/>
              <w:bottom w:val="nil"/>
              <w:right w:val="nil"/>
            </w:tcBorders>
            <w:shd w:val="clear" w:color="auto" w:fill="auto"/>
            <w:noWrap/>
            <w:vAlign w:val="center"/>
          </w:tcPr>
          <w:p w14:paraId="3471107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0.747 </w:t>
            </w:r>
          </w:p>
        </w:tc>
        <w:tc>
          <w:tcPr>
            <w:tcW w:w="222" w:type="dxa"/>
            <w:tcBorders>
              <w:top w:val="nil"/>
              <w:left w:val="nil"/>
              <w:bottom w:val="nil"/>
              <w:right w:val="nil"/>
            </w:tcBorders>
            <w:shd w:val="clear" w:color="auto" w:fill="auto"/>
            <w:noWrap/>
            <w:vAlign w:val="center"/>
          </w:tcPr>
          <w:p w14:paraId="2169DE8F">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27526B6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8.19 </w:t>
            </w:r>
          </w:p>
        </w:tc>
        <w:tc>
          <w:tcPr>
            <w:tcW w:w="735" w:type="dxa"/>
            <w:tcBorders>
              <w:top w:val="nil"/>
              <w:left w:val="nil"/>
              <w:bottom w:val="nil"/>
              <w:right w:val="nil"/>
            </w:tcBorders>
            <w:shd w:val="clear" w:color="auto" w:fill="auto"/>
            <w:noWrap/>
            <w:vAlign w:val="center"/>
          </w:tcPr>
          <w:p w14:paraId="6CD3578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7.89 </w:t>
            </w:r>
          </w:p>
        </w:tc>
        <w:tc>
          <w:tcPr>
            <w:tcW w:w="765" w:type="dxa"/>
            <w:tcBorders>
              <w:top w:val="nil"/>
              <w:left w:val="nil"/>
              <w:bottom w:val="nil"/>
              <w:right w:val="nil"/>
            </w:tcBorders>
            <w:shd w:val="clear" w:color="auto" w:fill="auto"/>
            <w:noWrap/>
            <w:vAlign w:val="center"/>
          </w:tcPr>
          <w:p w14:paraId="239D370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-5.69 </w:t>
            </w:r>
          </w:p>
        </w:tc>
        <w:tc>
          <w:tcPr>
            <w:tcW w:w="1230" w:type="dxa"/>
            <w:tcBorders>
              <w:top w:val="nil"/>
              <w:left w:val="nil"/>
              <w:bottom w:val="nil"/>
              <w:right w:val="nil"/>
            </w:tcBorders>
            <w:shd w:val="clear" w:color="auto" w:fill="auto"/>
            <w:noWrap/>
            <w:vAlign w:val="center"/>
          </w:tcPr>
          <w:p w14:paraId="6C218DA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-27.63~13.96</w:t>
            </w:r>
          </w:p>
        </w:tc>
        <w:tc>
          <w:tcPr>
            <w:tcW w:w="690" w:type="dxa"/>
            <w:tcBorders>
              <w:top w:val="nil"/>
              <w:left w:val="nil"/>
              <w:bottom w:val="nil"/>
              <w:right w:val="nil"/>
            </w:tcBorders>
            <w:shd w:val="clear" w:color="auto" w:fill="auto"/>
            <w:noWrap/>
            <w:vAlign w:val="center"/>
          </w:tcPr>
          <w:p w14:paraId="1D54379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0.444 </w:t>
            </w:r>
          </w:p>
        </w:tc>
      </w:tr>
      <w:tr w14:paraId="6E01BCE5">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7187F67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30~34</w:t>
            </w:r>
          </w:p>
        </w:tc>
        <w:tc>
          <w:tcPr>
            <w:tcW w:w="825" w:type="dxa"/>
            <w:tcBorders>
              <w:top w:val="nil"/>
              <w:left w:val="nil"/>
              <w:bottom w:val="nil"/>
              <w:right w:val="nil"/>
            </w:tcBorders>
            <w:shd w:val="clear" w:color="auto" w:fill="auto"/>
            <w:noWrap/>
            <w:vAlign w:val="center"/>
          </w:tcPr>
          <w:p w14:paraId="05CBAC6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17.53 </w:t>
            </w:r>
          </w:p>
        </w:tc>
        <w:tc>
          <w:tcPr>
            <w:tcW w:w="810" w:type="dxa"/>
            <w:tcBorders>
              <w:top w:val="nil"/>
              <w:left w:val="nil"/>
              <w:bottom w:val="nil"/>
              <w:right w:val="nil"/>
            </w:tcBorders>
            <w:shd w:val="clear" w:color="auto" w:fill="auto"/>
            <w:noWrap/>
            <w:vAlign w:val="center"/>
          </w:tcPr>
          <w:p w14:paraId="2CBD014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11.42 </w:t>
            </w:r>
          </w:p>
        </w:tc>
        <w:tc>
          <w:tcPr>
            <w:tcW w:w="675" w:type="dxa"/>
            <w:tcBorders>
              <w:top w:val="nil"/>
              <w:left w:val="nil"/>
              <w:bottom w:val="nil"/>
              <w:right w:val="nil"/>
            </w:tcBorders>
            <w:shd w:val="clear" w:color="auto" w:fill="auto"/>
            <w:noWrap/>
            <w:vAlign w:val="center"/>
          </w:tcPr>
          <w:p w14:paraId="2E55277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-8.88 </w:t>
            </w:r>
          </w:p>
        </w:tc>
        <w:tc>
          <w:tcPr>
            <w:tcW w:w="1185" w:type="dxa"/>
            <w:tcBorders>
              <w:top w:val="nil"/>
              <w:left w:val="nil"/>
              <w:bottom w:val="nil"/>
              <w:right w:val="nil"/>
            </w:tcBorders>
            <w:shd w:val="clear" w:color="auto" w:fill="auto"/>
            <w:noWrap/>
            <w:vAlign w:val="center"/>
          </w:tcPr>
          <w:p w14:paraId="0B33D26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-17.72~-0.13</w:t>
            </w:r>
          </w:p>
        </w:tc>
        <w:tc>
          <w:tcPr>
            <w:tcW w:w="780" w:type="dxa"/>
            <w:tcBorders>
              <w:top w:val="nil"/>
              <w:left w:val="nil"/>
              <w:bottom w:val="nil"/>
              <w:right w:val="nil"/>
            </w:tcBorders>
            <w:shd w:val="clear" w:color="auto" w:fill="auto"/>
            <w:noWrap/>
            <w:vAlign w:val="center"/>
          </w:tcPr>
          <w:p w14:paraId="461EA90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0.046 </w:t>
            </w:r>
          </w:p>
        </w:tc>
        <w:tc>
          <w:tcPr>
            <w:tcW w:w="240" w:type="dxa"/>
            <w:tcBorders>
              <w:top w:val="nil"/>
              <w:left w:val="nil"/>
              <w:bottom w:val="nil"/>
              <w:right w:val="nil"/>
            </w:tcBorders>
            <w:shd w:val="clear" w:color="auto" w:fill="auto"/>
            <w:noWrap/>
            <w:vAlign w:val="center"/>
          </w:tcPr>
          <w:p w14:paraId="6AEDA014">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2BA76D2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21.94 </w:t>
            </w:r>
          </w:p>
        </w:tc>
        <w:tc>
          <w:tcPr>
            <w:tcW w:w="840" w:type="dxa"/>
            <w:tcBorders>
              <w:top w:val="nil"/>
              <w:left w:val="nil"/>
              <w:bottom w:val="nil"/>
              <w:right w:val="nil"/>
            </w:tcBorders>
            <w:shd w:val="clear" w:color="auto" w:fill="auto"/>
            <w:noWrap/>
            <w:vAlign w:val="center"/>
          </w:tcPr>
          <w:p w14:paraId="11E9C1D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14.72 </w:t>
            </w:r>
          </w:p>
        </w:tc>
        <w:tc>
          <w:tcPr>
            <w:tcW w:w="735" w:type="dxa"/>
            <w:tcBorders>
              <w:top w:val="nil"/>
              <w:left w:val="nil"/>
              <w:bottom w:val="nil"/>
              <w:right w:val="nil"/>
            </w:tcBorders>
            <w:shd w:val="clear" w:color="auto" w:fill="auto"/>
            <w:noWrap/>
            <w:vAlign w:val="center"/>
          </w:tcPr>
          <w:p w14:paraId="03D7B54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-7.63 </w:t>
            </w:r>
          </w:p>
        </w:tc>
        <w:tc>
          <w:tcPr>
            <w:tcW w:w="1185" w:type="dxa"/>
            <w:tcBorders>
              <w:top w:val="nil"/>
              <w:left w:val="nil"/>
              <w:bottom w:val="nil"/>
              <w:right w:val="nil"/>
            </w:tcBorders>
            <w:shd w:val="clear" w:color="auto" w:fill="auto"/>
            <w:noWrap/>
            <w:vAlign w:val="center"/>
          </w:tcPr>
          <w:p w14:paraId="348170B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-22.53~9.05</w:t>
            </w:r>
          </w:p>
        </w:tc>
        <w:tc>
          <w:tcPr>
            <w:tcW w:w="782" w:type="dxa"/>
            <w:tcBorders>
              <w:top w:val="nil"/>
              <w:left w:val="nil"/>
              <w:bottom w:val="nil"/>
              <w:right w:val="nil"/>
            </w:tcBorders>
            <w:shd w:val="clear" w:color="auto" w:fill="auto"/>
            <w:noWrap/>
            <w:vAlign w:val="center"/>
          </w:tcPr>
          <w:p w14:paraId="3A44071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0.257 </w:t>
            </w:r>
          </w:p>
        </w:tc>
        <w:tc>
          <w:tcPr>
            <w:tcW w:w="222" w:type="dxa"/>
            <w:tcBorders>
              <w:top w:val="nil"/>
              <w:left w:val="nil"/>
              <w:bottom w:val="nil"/>
              <w:right w:val="nil"/>
            </w:tcBorders>
            <w:shd w:val="clear" w:color="auto" w:fill="auto"/>
            <w:noWrap/>
            <w:vAlign w:val="center"/>
          </w:tcPr>
          <w:p w14:paraId="550A0217">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120E347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12.29 </w:t>
            </w:r>
          </w:p>
        </w:tc>
        <w:tc>
          <w:tcPr>
            <w:tcW w:w="735" w:type="dxa"/>
            <w:tcBorders>
              <w:top w:val="nil"/>
              <w:left w:val="nil"/>
              <w:bottom w:val="nil"/>
              <w:right w:val="nil"/>
            </w:tcBorders>
            <w:shd w:val="clear" w:color="auto" w:fill="auto"/>
            <w:noWrap/>
            <w:vAlign w:val="center"/>
          </w:tcPr>
          <w:p w14:paraId="4E7E498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7.43 </w:t>
            </w:r>
          </w:p>
        </w:tc>
        <w:tc>
          <w:tcPr>
            <w:tcW w:w="765" w:type="dxa"/>
            <w:tcBorders>
              <w:top w:val="nil"/>
              <w:left w:val="nil"/>
              <w:bottom w:val="nil"/>
              <w:right w:val="nil"/>
            </w:tcBorders>
            <w:shd w:val="clear" w:color="auto" w:fill="auto"/>
            <w:noWrap/>
            <w:vAlign w:val="center"/>
          </w:tcPr>
          <w:p w14:paraId="152DCEE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-10.55 </w:t>
            </w:r>
          </w:p>
        </w:tc>
        <w:tc>
          <w:tcPr>
            <w:tcW w:w="1230" w:type="dxa"/>
            <w:tcBorders>
              <w:top w:val="nil"/>
              <w:left w:val="nil"/>
              <w:bottom w:val="nil"/>
              <w:right w:val="nil"/>
            </w:tcBorders>
            <w:shd w:val="clear" w:color="auto" w:fill="auto"/>
            <w:noWrap/>
            <w:vAlign w:val="center"/>
          </w:tcPr>
          <w:p w14:paraId="7B841CE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-22.20~0.82</w:t>
            </w:r>
          </w:p>
        </w:tc>
        <w:tc>
          <w:tcPr>
            <w:tcW w:w="690" w:type="dxa"/>
            <w:tcBorders>
              <w:top w:val="nil"/>
              <w:left w:val="nil"/>
              <w:bottom w:val="nil"/>
              <w:right w:val="nil"/>
            </w:tcBorders>
            <w:shd w:val="clear" w:color="auto" w:fill="auto"/>
            <w:noWrap/>
            <w:vAlign w:val="center"/>
          </w:tcPr>
          <w:p w14:paraId="2B5DF9A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0.065 </w:t>
            </w:r>
          </w:p>
        </w:tc>
      </w:tr>
      <w:tr w14:paraId="0BBAE659">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0394022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35~39</w:t>
            </w:r>
          </w:p>
        </w:tc>
        <w:tc>
          <w:tcPr>
            <w:tcW w:w="825" w:type="dxa"/>
            <w:tcBorders>
              <w:top w:val="nil"/>
              <w:left w:val="nil"/>
              <w:bottom w:val="nil"/>
              <w:right w:val="nil"/>
            </w:tcBorders>
            <w:shd w:val="clear" w:color="auto" w:fill="auto"/>
            <w:noWrap/>
            <w:vAlign w:val="center"/>
          </w:tcPr>
          <w:p w14:paraId="1D31B7A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26.89 </w:t>
            </w:r>
          </w:p>
        </w:tc>
        <w:tc>
          <w:tcPr>
            <w:tcW w:w="810" w:type="dxa"/>
            <w:tcBorders>
              <w:top w:val="nil"/>
              <w:left w:val="nil"/>
              <w:bottom w:val="nil"/>
              <w:right w:val="nil"/>
            </w:tcBorders>
            <w:shd w:val="clear" w:color="auto" w:fill="auto"/>
            <w:noWrap/>
            <w:vAlign w:val="center"/>
          </w:tcPr>
          <w:p w14:paraId="6D03C5D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19.63 </w:t>
            </w:r>
          </w:p>
        </w:tc>
        <w:tc>
          <w:tcPr>
            <w:tcW w:w="675" w:type="dxa"/>
            <w:tcBorders>
              <w:top w:val="nil"/>
              <w:left w:val="nil"/>
              <w:bottom w:val="nil"/>
              <w:right w:val="nil"/>
            </w:tcBorders>
            <w:shd w:val="clear" w:color="auto" w:fill="auto"/>
            <w:noWrap/>
            <w:vAlign w:val="center"/>
          </w:tcPr>
          <w:p w14:paraId="7F6596C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-4.36 </w:t>
            </w:r>
          </w:p>
        </w:tc>
        <w:tc>
          <w:tcPr>
            <w:tcW w:w="1185" w:type="dxa"/>
            <w:tcBorders>
              <w:top w:val="nil"/>
              <w:left w:val="nil"/>
              <w:bottom w:val="nil"/>
              <w:right w:val="nil"/>
            </w:tcBorders>
            <w:shd w:val="clear" w:color="auto" w:fill="auto"/>
            <w:noWrap/>
            <w:vAlign w:val="center"/>
          </w:tcPr>
          <w:p w14:paraId="3B52902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-11.36~3.65</w:t>
            </w:r>
          </w:p>
        </w:tc>
        <w:tc>
          <w:tcPr>
            <w:tcW w:w="780" w:type="dxa"/>
            <w:tcBorders>
              <w:top w:val="nil"/>
              <w:left w:val="nil"/>
              <w:bottom w:val="nil"/>
              <w:right w:val="nil"/>
            </w:tcBorders>
            <w:shd w:val="clear" w:color="auto" w:fill="auto"/>
            <w:noWrap/>
            <w:vAlign w:val="center"/>
          </w:tcPr>
          <w:p w14:paraId="3AAC55A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0.248 </w:t>
            </w:r>
          </w:p>
        </w:tc>
        <w:tc>
          <w:tcPr>
            <w:tcW w:w="240" w:type="dxa"/>
            <w:tcBorders>
              <w:top w:val="nil"/>
              <w:left w:val="nil"/>
              <w:bottom w:val="nil"/>
              <w:right w:val="nil"/>
            </w:tcBorders>
            <w:shd w:val="clear" w:color="auto" w:fill="auto"/>
            <w:noWrap/>
            <w:vAlign w:val="center"/>
          </w:tcPr>
          <w:p w14:paraId="64E37C1D">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19BC609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34.77 </w:t>
            </w:r>
          </w:p>
        </w:tc>
        <w:tc>
          <w:tcPr>
            <w:tcW w:w="840" w:type="dxa"/>
            <w:tcBorders>
              <w:top w:val="nil"/>
              <w:left w:val="nil"/>
              <w:bottom w:val="nil"/>
              <w:right w:val="nil"/>
            </w:tcBorders>
            <w:shd w:val="clear" w:color="auto" w:fill="auto"/>
            <w:noWrap/>
            <w:vAlign w:val="center"/>
          </w:tcPr>
          <w:p w14:paraId="1ED2CCC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20.83 </w:t>
            </w:r>
          </w:p>
        </w:tc>
        <w:tc>
          <w:tcPr>
            <w:tcW w:w="735" w:type="dxa"/>
            <w:tcBorders>
              <w:top w:val="nil"/>
              <w:left w:val="nil"/>
              <w:bottom w:val="nil"/>
              <w:right w:val="nil"/>
            </w:tcBorders>
            <w:shd w:val="clear" w:color="auto" w:fill="auto"/>
            <w:noWrap/>
            <w:vAlign w:val="center"/>
          </w:tcPr>
          <w:p w14:paraId="3F98AF5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-7.87 </w:t>
            </w:r>
          </w:p>
        </w:tc>
        <w:tc>
          <w:tcPr>
            <w:tcW w:w="1185" w:type="dxa"/>
            <w:tcBorders>
              <w:top w:val="nil"/>
              <w:left w:val="nil"/>
              <w:bottom w:val="nil"/>
              <w:right w:val="nil"/>
            </w:tcBorders>
            <w:shd w:val="clear" w:color="auto" w:fill="auto"/>
            <w:noWrap/>
            <w:vAlign w:val="center"/>
          </w:tcPr>
          <w:p w14:paraId="482564A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-19.53~6.30</w:t>
            </w:r>
          </w:p>
        </w:tc>
        <w:tc>
          <w:tcPr>
            <w:tcW w:w="782" w:type="dxa"/>
            <w:tcBorders>
              <w:top w:val="nil"/>
              <w:left w:val="nil"/>
              <w:bottom w:val="nil"/>
              <w:right w:val="nil"/>
            </w:tcBorders>
            <w:shd w:val="clear" w:color="auto" w:fill="auto"/>
            <w:noWrap/>
            <w:vAlign w:val="center"/>
          </w:tcPr>
          <w:p w14:paraId="1F4DBE4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0.211 </w:t>
            </w:r>
          </w:p>
        </w:tc>
        <w:tc>
          <w:tcPr>
            <w:tcW w:w="222" w:type="dxa"/>
            <w:tcBorders>
              <w:top w:val="nil"/>
              <w:left w:val="nil"/>
              <w:bottom w:val="nil"/>
              <w:right w:val="nil"/>
            </w:tcBorders>
            <w:shd w:val="clear" w:color="auto" w:fill="auto"/>
            <w:noWrap/>
            <w:vAlign w:val="center"/>
          </w:tcPr>
          <w:p w14:paraId="2A51ED0A">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6FF6C6C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17.80 </w:t>
            </w:r>
          </w:p>
        </w:tc>
        <w:tc>
          <w:tcPr>
            <w:tcW w:w="735" w:type="dxa"/>
            <w:tcBorders>
              <w:top w:val="nil"/>
              <w:left w:val="nil"/>
              <w:bottom w:val="nil"/>
              <w:right w:val="nil"/>
            </w:tcBorders>
            <w:shd w:val="clear" w:color="auto" w:fill="auto"/>
            <w:noWrap/>
            <w:vAlign w:val="center"/>
          </w:tcPr>
          <w:p w14:paraId="46488E6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18.15 </w:t>
            </w:r>
          </w:p>
        </w:tc>
        <w:tc>
          <w:tcPr>
            <w:tcW w:w="765" w:type="dxa"/>
            <w:tcBorders>
              <w:top w:val="nil"/>
              <w:left w:val="nil"/>
              <w:bottom w:val="nil"/>
              <w:right w:val="nil"/>
            </w:tcBorders>
            <w:shd w:val="clear" w:color="auto" w:fill="auto"/>
            <w:noWrap/>
            <w:vAlign w:val="center"/>
          </w:tcPr>
          <w:p w14:paraId="10792BF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2.30 </w:t>
            </w:r>
          </w:p>
        </w:tc>
        <w:tc>
          <w:tcPr>
            <w:tcW w:w="1230" w:type="dxa"/>
            <w:tcBorders>
              <w:top w:val="nil"/>
              <w:left w:val="nil"/>
              <w:bottom w:val="nil"/>
              <w:right w:val="nil"/>
            </w:tcBorders>
            <w:shd w:val="clear" w:color="auto" w:fill="auto"/>
            <w:noWrap/>
            <w:vAlign w:val="center"/>
          </w:tcPr>
          <w:p w14:paraId="39A30D9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-6.62~13.67</w:t>
            </w:r>
          </w:p>
        </w:tc>
        <w:tc>
          <w:tcPr>
            <w:tcW w:w="690" w:type="dxa"/>
            <w:tcBorders>
              <w:top w:val="nil"/>
              <w:left w:val="nil"/>
              <w:bottom w:val="nil"/>
              <w:right w:val="nil"/>
            </w:tcBorders>
            <w:shd w:val="clear" w:color="auto" w:fill="auto"/>
            <w:noWrap/>
            <w:vAlign w:val="center"/>
          </w:tcPr>
          <w:p w14:paraId="2DAF1AF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0.450 </w:t>
            </w:r>
          </w:p>
        </w:tc>
      </w:tr>
      <w:tr w14:paraId="1649E784">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0842B02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40~44</w:t>
            </w:r>
          </w:p>
        </w:tc>
        <w:tc>
          <w:tcPr>
            <w:tcW w:w="825" w:type="dxa"/>
            <w:tcBorders>
              <w:top w:val="nil"/>
              <w:left w:val="nil"/>
              <w:bottom w:val="nil"/>
              <w:right w:val="nil"/>
            </w:tcBorders>
            <w:shd w:val="clear" w:color="auto" w:fill="auto"/>
            <w:noWrap/>
            <w:vAlign w:val="center"/>
          </w:tcPr>
          <w:p w14:paraId="72AAD75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46.21 </w:t>
            </w:r>
          </w:p>
        </w:tc>
        <w:tc>
          <w:tcPr>
            <w:tcW w:w="810" w:type="dxa"/>
            <w:tcBorders>
              <w:top w:val="nil"/>
              <w:left w:val="nil"/>
              <w:bottom w:val="nil"/>
              <w:right w:val="nil"/>
            </w:tcBorders>
            <w:shd w:val="clear" w:color="auto" w:fill="auto"/>
            <w:noWrap/>
            <w:vAlign w:val="center"/>
          </w:tcPr>
          <w:p w14:paraId="305E13B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36.07 </w:t>
            </w:r>
          </w:p>
        </w:tc>
        <w:tc>
          <w:tcPr>
            <w:tcW w:w="675" w:type="dxa"/>
            <w:tcBorders>
              <w:top w:val="nil"/>
              <w:left w:val="nil"/>
              <w:bottom w:val="nil"/>
              <w:right w:val="nil"/>
            </w:tcBorders>
            <w:shd w:val="clear" w:color="auto" w:fill="auto"/>
            <w:noWrap/>
            <w:vAlign w:val="center"/>
          </w:tcPr>
          <w:p w14:paraId="278F183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-7.04 </w:t>
            </w:r>
          </w:p>
        </w:tc>
        <w:tc>
          <w:tcPr>
            <w:tcW w:w="1185" w:type="dxa"/>
            <w:tcBorders>
              <w:top w:val="nil"/>
              <w:left w:val="nil"/>
              <w:bottom w:val="nil"/>
              <w:right w:val="nil"/>
            </w:tcBorders>
            <w:shd w:val="clear" w:color="auto" w:fill="auto"/>
            <w:noWrap/>
            <w:vAlign w:val="center"/>
          </w:tcPr>
          <w:p w14:paraId="7530E4E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-21.60~6.42</w:t>
            </w:r>
          </w:p>
        </w:tc>
        <w:tc>
          <w:tcPr>
            <w:tcW w:w="780" w:type="dxa"/>
            <w:tcBorders>
              <w:top w:val="nil"/>
              <w:left w:val="nil"/>
              <w:bottom w:val="nil"/>
              <w:right w:val="nil"/>
            </w:tcBorders>
            <w:shd w:val="clear" w:color="auto" w:fill="auto"/>
            <w:noWrap/>
            <w:vAlign w:val="center"/>
          </w:tcPr>
          <w:p w14:paraId="598974A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0.214 </w:t>
            </w:r>
          </w:p>
        </w:tc>
        <w:tc>
          <w:tcPr>
            <w:tcW w:w="240" w:type="dxa"/>
            <w:tcBorders>
              <w:top w:val="nil"/>
              <w:left w:val="nil"/>
              <w:bottom w:val="nil"/>
              <w:right w:val="nil"/>
            </w:tcBorders>
            <w:shd w:val="clear" w:color="auto" w:fill="auto"/>
            <w:noWrap/>
            <w:vAlign w:val="center"/>
          </w:tcPr>
          <w:p w14:paraId="5F4CB62C">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70B040D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62.96 </w:t>
            </w:r>
          </w:p>
        </w:tc>
        <w:tc>
          <w:tcPr>
            <w:tcW w:w="840" w:type="dxa"/>
            <w:tcBorders>
              <w:top w:val="nil"/>
              <w:left w:val="nil"/>
              <w:bottom w:val="nil"/>
              <w:right w:val="nil"/>
            </w:tcBorders>
            <w:shd w:val="clear" w:color="auto" w:fill="auto"/>
            <w:noWrap/>
            <w:vAlign w:val="center"/>
          </w:tcPr>
          <w:p w14:paraId="2DE75C1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49.85 </w:t>
            </w:r>
          </w:p>
        </w:tc>
        <w:tc>
          <w:tcPr>
            <w:tcW w:w="735" w:type="dxa"/>
            <w:tcBorders>
              <w:top w:val="nil"/>
              <w:left w:val="nil"/>
              <w:bottom w:val="nil"/>
              <w:right w:val="nil"/>
            </w:tcBorders>
            <w:shd w:val="clear" w:color="auto" w:fill="auto"/>
            <w:noWrap/>
            <w:vAlign w:val="center"/>
          </w:tcPr>
          <w:p w14:paraId="2694F35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-5.90 </w:t>
            </w:r>
          </w:p>
        </w:tc>
        <w:tc>
          <w:tcPr>
            <w:tcW w:w="1185" w:type="dxa"/>
            <w:tcBorders>
              <w:top w:val="nil"/>
              <w:left w:val="nil"/>
              <w:bottom w:val="nil"/>
              <w:right w:val="nil"/>
            </w:tcBorders>
            <w:shd w:val="clear" w:color="auto" w:fill="auto"/>
            <w:noWrap/>
            <w:vAlign w:val="center"/>
          </w:tcPr>
          <w:p w14:paraId="1F636EE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-13.92~1.07</w:t>
            </w:r>
          </w:p>
        </w:tc>
        <w:tc>
          <w:tcPr>
            <w:tcW w:w="782" w:type="dxa"/>
            <w:tcBorders>
              <w:top w:val="nil"/>
              <w:left w:val="nil"/>
              <w:bottom w:val="nil"/>
              <w:right w:val="nil"/>
            </w:tcBorders>
            <w:shd w:val="clear" w:color="auto" w:fill="auto"/>
            <w:noWrap/>
            <w:vAlign w:val="center"/>
          </w:tcPr>
          <w:p w14:paraId="0544B53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0.090 </w:t>
            </w:r>
          </w:p>
        </w:tc>
        <w:tc>
          <w:tcPr>
            <w:tcW w:w="222" w:type="dxa"/>
            <w:tcBorders>
              <w:top w:val="nil"/>
              <w:left w:val="nil"/>
              <w:bottom w:val="nil"/>
              <w:right w:val="nil"/>
            </w:tcBorders>
            <w:shd w:val="clear" w:color="auto" w:fill="auto"/>
            <w:noWrap/>
            <w:vAlign w:val="center"/>
          </w:tcPr>
          <w:p w14:paraId="57B301B9">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08938EA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28.18 </w:t>
            </w:r>
          </w:p>
        </w:tc>
        <w:tc>
          <w:tcPr>
            <w:tcW w:w="735" w:type="dxa"/>
            <w:tcBorders>
              <w:top w:val="nil"/>
              <w:left w:val="nil"/>
              <w:bottom w:val="nil"/>
              <w:right w:val="nil"/>
            </w:tcBorders>
            <w:shd w:val="clear" w:color="auto" w:fill="auto"/>
            <w:noWrap/>
            <w:vAlign w:val="center"/>
          </w:tcPr>
          <w:p w14:paraId="2AAC8BD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19.90 </w:t>
            </w:r>
          </w:p>
        </w:tc>
        <w:tc>
          <w:tcPr>
            <w:tcW w:w="765" w:type="dxa"/>
            <w:tcBorders>
              <w:top w:val="nil"/>
              <w:left w:val="nil"/>
              <w:bottom w:val="nil"/>
              <w:right w:val="nil"/>
            </w:tcBorders>
            <w:shd w:val="clear" w:color="auto" w:fill="auto"/>
            <w:noWrap/>
            <w:vAlign w:val="center"/>
          </w:tcPr>
          <w:p w14:paraId="5BC79B4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-10.17 </w:t>
            </w:r>
          </w:p>
        </w:tc>
        <w:tc>
          <w:tcPr>
            <w:tcW w:w="1230" w:type="dxa"/>
            <w:tcBorders>
              <w:top w:val="nil"/>
              <w:left w:val="nil"/>
              <w:bottom w:val="nil"/>
              <w:right w:val="nil"/>
            </w:tcBorders>
            <w:shd w:val="clear" w:color="auto" w:fill="auto"/>
            <w:noWrap/>
            <w:vAlign w:val="center"/>
          </w:tcPr>
          <w:p w14:paraId="27D6B53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-34.87~13.28</w:t>
            </w:r>
          </w:p>
        </w:tc>
        <w:tc>
          <w:tcPr>
            <w:tcW w:w="690" w:type="dxa"/>
            <w:tcBorders>
              <w:top w:val="nil"/>
              <w:left w:val="nil"/>
              <w:bottom w:val="nil"/>
              <w:right w:val="nil"/>
            </w:tcBorders>
            <w:shd w:val="clear" w:color="auto" w:fill="auto"/>
            <w:noWrap/>
            <w:vAlign w:val="center"/>
          </w:tcPr>
          <w:p w14:paraId="17CE7B2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0.275 </w:t>
            </w:r>
          </w:p>
        </w:tc>
      </w:tr>
      <w:tr w14:paraId="771E7A8E">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729BEA5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45~49</w:t>
            </w:r>
          </w:p>
        </w:tc>
        <w:tc>
          <w:tcPr>
            <w:tcW w:w="825" w:type="dxa"/>
            <w:tcBorders>
              <w:top w:val="nil"/>
              <w:left w:val="nil"/>
              <w:bottom w:val="nil"/>
              <w:right w:val="nil"/>
            </w:tcBorders>
            <w:shd w:val="clear" w:color="auto" w:fill="auto"/>
            <w:noWrap/>
            <w:vAlign w:val="center"/>
          </w:tcPr>
          <w:p w14:paraId="201E015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87.77 </w:t>
            </w:r>
          </w:p>
        </w:tc>
        <w:tc>
          <w:tcPr>
            <w:tcW w:w="810" w:type="dxa"/>
            <w:tcBorders>
              <w:top w:val="nil"/>
              <w:left w:val="nil"/>
              <w:bottom w:val="nil"/>
              <w:right w:val="nil"/>
            </w:tcBorders>
            <w:shd w:val="clear" w:color="auto" w:fill="auto"/>
            <w:noWrap/>
            <w:vAlign w:val="center"/>
          </w:tcPr>
          <w:p w14:paraId="717DD84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74.64 </w:t>
            </w:r>
          </w:p>
        </w:tc>
        <w:tc>
          <w:tcPr>
            <w:tcW w:w="675" w:type="dxa"/>
            <w:tcBorders>
              <w:top w:val="nil"/>
              <w:left w:val="nil"/>
              <w:bottom w:val="nil"/>
              <w:right w:val="nil"/>
            </w:tcBorders>
            <w:shd w:val="clear" w:color="auto" w:fill="auto"/>
            <w:noWrap/>
            <w:vAlign w:val="center"/>
          </w:tcPr>
          <w:p w14:paraId="20C6ED7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-3.35 </w:t>
            </w:r>
          </w:p>
        </w:tc>
        <w:tc>
          <w:tcPr>
            <w:tcW w:w="1185" w:type="dxa"/>
            <w:tcBorders>
              <w:top w:val="nil"/>
              <w:left w:val="nil"/>
              <w:bottom w:val="nil"/>
              <w:right w:val="nil"/>
            </w:tcBorders>
            <w:shd w:val="clear" w:color="auto" w:fill="auto"/>
            <w:noWrap/>
            <w:vAlign w:val="center"/>
          </w:tcPr>
          <w:p w14:paraId="5982C07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-5.72~-1.13</w:t>
            </w:r>
          </w:p>
        </w:tc>
        <w:tc>
          <w:tcPr>
            <w:tcW w:w="780" w:type="dxa"/>
            <w:tcBorders>
              <w:top w:val="nil"/>
              <w:left w:val="nil"/>
              <w:bottom w:val="nil"/>
              <w:right w:val="nil"/>
            </w:tcBorders>
            <w:shd w:val="clear" w:color="auto" w:fill="auto"/>
            <w:noWrap/>
            <w:vAlign w:val="center"/>
          </w:tcPr>
          <w:p w14:paraId="3E01338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&lt;0.001</w:t>
            </w:r>
          </w:p>
        </w:tc>
        <w:tc>
          <w:tcPr>
            <w:tcW w:w="240" w:type="dxa"/>
            <w:tcBorders>
              <w:top w:val="nil"/>
              <w:left w:val="nil"/>
              <w:bottom w:val="nil"/>
              <w:right w:val="nil"/>
            </w:tcBorders>
            <w:shd w:val="clear" w:color="auto" w:fill="auto"/>
            <w:noWrap/>
            <w:vAlign w:val="center"/>
          </w:tcPr>
          <w:p w14:paraId="4FE0CCB5">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68FF78E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111.12 </w:t>
            </w:r>
          </w:p>
        </w:tc>
        <w:tc>
          <w:tcPr>
            <w:tcW w:w="840" w:type="dxa"/>
            <w:tcBorders>
              <w:top w:val="nil"/>
              <w:left w:val="nil"/>
              <w:bottom w:val="nil"/>
              <w:right w:val="nil"/>
            </w:tcBorders>
            <w:shd w:val="clear" w:color="auto" w:fill="auto"/>
            <w:noWrap/>
            <w:vAlign w:val="center"/>
          </w:tcPr>
          <w:p w14:paraId="67D5C23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98.93 </w:t>
            </w:r>
          </w:p>
        </w:tc>
        <w:tc>
          <w:tcPr>
            <w:tcW w:w="735" w:type="dxa"/>
            <w:tcBorders>
              <w:top w:val="nil"/>
              <w:left w:val="nil"/>
              <w:bottom w:val="nil"/>
              <w:right w:val="nil"/>
            </w:tcBorders>
            <w:shd w:val="clear" w:color="auto" w:fill="auto"/>
            <w:noWrap/>
            <w:vAlign w:val="center"/>
          </w:tcPr>
          <w:p w14:paraId="29A81D6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-3.27 </w:t>
            </w:r>
          </w:p>
        </w:tc>
        <w:tc>
          <w:tcPr>
            <w:tcW w:w="1185" w:type="dxa"/>
            <w:tcBorders>
              <w:top w:val="nil"/>
              <w:left w:val="nil"/>
              <w:bottom w:val="nil"/>
              <w:right w:val="nil"/>
            </w:tcBorders>
            <w:shd w:val="clear" w:color="auto" w:fill="auto"/>
            <w:noWrap/>
            <w:vAlign w:val="center"/>
          </w:tcPr>
          <w:p w14:paraId="4BA6481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-6.75~-0.09</w:t>
            </w:r>
          </w:p>
        </w:tc>
        <w:tc>
          <w:tcPr>
            <w:tcW w:w="782" w:type="dxa"/>
            <w:tcBorders>
              <w:top w:val="nil"/>
              <w:left w:val="nil"/>
              <w:bottom w:val="nil"/>
              <w:right w:val="nil"/>
            </w:tcBorders>
            <w:shd w:val="clear" w:color="auto" w:fill="auto"/>
            <w:noWrap/>
            <w:vAlign w:val="center"/>
          </w:tcPr>
          <w:p w14:paraId="77D8C81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0.045 </w:t>
            </w:r>
          </w:p>
        </w:tc>
        <w:tc>
          <w:tcPr>
            <w:tcW w:w="222" w:type="dxa"/>
            <w:tcBorders>
              <w:top w:val="nil"/>
              <w:left w:val="nil"/>
              <w:bottom w:val="nil"/>
              <w:right w:val="nil"/>
            </w:tcBorders>
            <w:shd w:val="clear" w:color="auto" w:fill="auto"/>
            <w:noWrap/>
            <w:vAlign w:val="center"/>
          </w:tcPr>
          <w:p w14:paraId="40379D14">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51FB23D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64.66 </w:t>
            </w:r>
          </w:p>
        </w:tc>
        <w:tc>
          <w:tcPr>
            <w:tcW w:w="735" w:type="dxa"/>
            <w:tcBorders>
              <w:top w:val="nil"/>
              <w:left w:val="nil"/>
              <w:bottom w:val="nil"/>
              <w:right w:val="nil"/>
            </w:tcBorders>
            <w:shd w:val="clear" w:color="auto" w:fill="auto"/>
            <w:noWrap/>
            <w:vAlign w:val="center"/>
          </w:tcPr>
          <w:p w14:paraId="092976B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47.96 </w:t>
            </w:r>
          </w:p>
        </w:tc>
        <w:tc>
          <w:tcPr>
            <w:tcW w:w="765" w:type="dxa"/>
            <w:tcBorders>
              <w:top w:val="nil"/>
              <w:left w:val="nil"/>
              <w:bottom w:val="nil"/>
              <w:right w:val="nil"/>
            </w:tcBorders>
            <w:shd w:val="clear" w:color="auto" w:fill="auto"/>
            <w:noWrap/>
            <w:vAlign w:val="center"/>
          </w:tcPr>
          <w:p w14:paraId="515C0B0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-4.22 </w:t>
            </w:r>
          </w:p>
        </w:tc>
        <w:tc>
          <w:tcPr>
            <w:tcW w:w="1230" w:type="dxa"/>
            <w:tcBorders>
              <w:top w:val="nil"/>
              <w:left w:val="nil"/>
              <w:bottom w:val="nil"/>
              <w:right w:val="nil"/>
            </w:tcBorders>
            <w:shd w:val="clear" w:color="auto" w:fill="auto"/>
            <w:noWrap/>
            <w:vAlign w:val="center"/>
          </w:tcPr>
          <w:p w14:paraId="2E99791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-9.92~0.85</w:t>
            </w:r>
          </w:p>
        </w:tc>
        <w:tc>
          <w:tcPr>
            <w:tcW w:w="690" w:type="dxa"/>
            <w:tcBorders>
              <w:top w:val="nil"/>
              <w:left w:val="nil"/>
              <w:bottom w:val="nil"/>
              <w:right w:val="nil"/>
            </w:tcBorders>
            <w:shd w:val="clear" w:color="auto" w:fill="auto"/>
            <w:noWrap/>
            <w:vAlign w:val="center"/>
          </w:tcPr>
          <w:p w14:paraId="173FC23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0.103 </w:t>
            </w:r>
          </w:p>
        </w:tc>
      </w:tr>
      <w:tr w14:paraId="71F11FE1">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2527354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50~54</w:t>
            </w:r>
          </w:p>
        </w:tc>
        <w:tc>
          <w:tcPr>
            <w:tcW w:w="825" w:type="dxa"/>
            <w:tcBorders>
              <w:top w:val="nil"/>
              <w:left w:val="nil"/>
              <w:bottom w:val="nil"/>
              <w:right w:val="nil"/>
            </w:tcBorders>
            <w:shd w:val="clear" w:color="auto" w:fill="auto"/>
            <w:noWrap/>
            <w:vAlign w:val="center"/>
          </w:tcPr>
          <w:p w14:paraId="52AAC33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143.04 </w:t>
            </w:r>
          </w:p>
        </w:tc>
        <w:tc>
          <w:tcPr>
            <w:tcW w:w="810" w:type="dxa"/>
            <w:tcBorders>
              <w:top w:val="nil"/>
              <w:left w:val="nil"/>
              <w:bottom w:val="nil"/>
              <w:right w:val="nil"/>
            </w:tcBorders>
            <w:shd w:val="clear" w:color="auto" w:fill="auto"/>
            <w:noWrap/>
            <w:vAlign w:val="center"/>
          </w:tcPr>
          <w:p w14:paraId="08A21C2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121.36 </w:t>
            </w:r>
          </w:p>
        </w:tc>
        <w:tc>
          <w:tcPr>
            <w:tcW w:w="675" w:type="dxa"/>
            <w:tcBorders>
              <w:top w:val="nil"/>
              <w:left w:val="nil"/>
              <w:bottom w:val="nil"/>
              <w:right w:val="nil"/>
            </w:tcBorders>
            <w:shd w:val="clear" w:color="auto" w:fill="auto"/>
            <w:noWrap/>
            <w:vAlign w:val="center"/>
          </w:tcPr>
          <w:p w14:paraId="5B67AFE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-4.10 </w:t>
            </w:r>
          </w:p>
        </w:tc>
        <w:tc>
          <w:tcPr>
            <w:tcW w:w="1185" w:type="dxa"/>
            <w:tcBorders>
              <w:top w:val="nil"/>
              <w:left w:val="nil"/>
              <w:bottom w:val="nil"/>
              <w:right w:val="nil"/>
            </w:tcBorders>
            <w:shd w:val="clear" w:color="auto" w:fill="auto"/>
            <w:noWrap/>
            <w:vAlign w:val="center"/>
          </w:tcPr>
          <w:p w14:paraId="32744EA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-7.51~-0.72</w:t>
            </w:r>
          </w:p>
        </w:tc>
        <w:tc>
          <w:tcPr>
            <w:tcW w:w="780" w:type="dxa"/>
            <w:tcBorders>
              <w:top w:val="nil"/>
              <w:left w:val="nil"/>
              <w:bottom w:val="nil"/>
              <w:right w:val="nil"/>
            </w:tcBorders>
            <w:shd w:val="clear" w:color="auto" w:fill="auto"/>
            <w:noWrap/>
            <w:vAlign w:val="center"/>
          </w:tcPr>
          <w:p w14:paraId="0567386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0.019 </w:t>
            </w:r>
          </w:p>
        </w:tc>
        <w:tc>
          <w:tcPr>
            <w:tcW w:w="240" w:type="dxa"/>
            <w:tcBorders>
              <w:top w:val="nil"/>
              <w:left w:val="nil"/>
              <w:bottom w:val="nil"/>
              <w:right w:val="nil"/>
            </w:tcBorders>
            <w:shd w:val="clear" w:color="auto" w:fill="auto"/>
            <w:noWrap/>
            <w:vAlign w:val="center"/>
          </w:tcPr>
          <w:p w14:paraId="2AA7477A">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7484C0D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201.05 </w:t>
            </w:r>
          </w:p>
        </w:tc>
        <w:tc>
          <w:tcPr>
            <w:tcW w:w="840" w:type="dxa"/>
            <w:tcBorders>
              <w:top w:val="nil"/>
              <w:left w:val="nil"/>
              <w:bottom w:val="nil"/>
              <w:right w:val="nil"/>
            </w:tcBorders>
            <w:shd w:val="clear" w:color="auto" w:fill="auto"/>
            <w:noWrap/>
            <w:vAlign w:val="center"/>
          </w:tcPr>
          <w:p w14:paraId="4B416BF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172.95 </w:t>
            </w:r>
          </w:p>
        </w:tc>
        <w:tc>
          <w:tcPr>
            <w:tcW w:w="735" w:type="dxa"/>
            <w:tcBorders>
              <w:top w:val="nil"/>
              <w:left w:val="nil"/>
              <w:bottom w:val="nil"/>
              <w:right w:val="nil"/>
            </w:tcBorders>
            <w:shd w:val="clear" w:color="auto" w:fill="auto"/>
            <w:noWrap/>
            <w:vAlign w:val="center"/>
          </w:tcPr>
          <w:p w14:paraId="45B81B2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-4.01 </w:t>
            </w:r>
          </w:p>
        </w:tc>
        <w:tc>
          <w:tcPr>
            <w:tcW w:w="1185" w:type="dxa"/>
            <w:tcBorders>
              <w:top w:val="nil"/>
              <w:left w:val="nil"/>
              <w:bottom w:val="nil"/>
              <w:right w:val="nil"/>
            </w:tcBorders>
            <w:shd w:val="clear" w:color="auto" w:fill="auto"/>
            <w:noWrap/>
            <w:vAlign w:val="center"/>
          </w:tcPr>
          <w:p w14:paraId="2505DF1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-7.01~-1.04</w:t>
            </w:r>
          </w:p>
        </w:tc>
        <w:tc>
          <w:tcPr>
            <w:tcW w:w="782" w:type="dxa"/>
            <w:tcBorders>
              <w:top w:val="nil"/>
              <w:left w:val="nil"/>
              <w:bottom w:val="nil"/>
              <w:right w:val="nil"/>
            </w:tcBorders>
            <w:shd w:val="clear" w:color="auto" w:fill="auto"/>
            <w:noWrap/>
            <w:vAlign w:val="center"/>
          </w:tcPr>
          <w:p w14:paraId="233F06D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0.008 </w:t>
            </w:r>
          </w:p>
        </w:tc>
        <w:tc>
          <w:tcPr>
            <w:tcW w:w="222" w:type="dxa"/>
            <w:tcBorders>
              <w:top w:val="nil"/>
              <w:left w:val="nil"/>
              <w:bottom w:val="nil"/>
              <w:right w:val="nil"/>
            </w:tcBorders>
            <w:shd w:val="clear" w:color="auto" w:fill="auto"/>
            <w:noWrap/>
            <w:vAlign w:val="center"/>
          </w:tcPr>
          <w:p w14:paraId="19ABFD43">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5F0AB91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87.25 </w:t>
            </w:r>
          </w:p>
        </w:tc>
        <w:tc>
          <w:tcPr>
            <w:tcW w:w="735" w:type="dxa"/>
            <w:tcBorders>
              <w:top w:val="nil"/>
              <w:left w:val="nil"/>
              <w:bottom w:val="nil"/>
              <w:right w:val="nil"/>
            </w:tcBorders>
            <w:shd w:val="clear" w:color="auto" w:fill="auto"/>
            <w:noWrap/>
            <w:vAlign w:val="center"/>
          </w:tcPr>
          <w:p w14:paraId="6288140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69.91 </w:t>
            </w:r>
          </w:p>
        </w:tc>
        <w:tc>
          <w:tcPr>
            <w:tcW w:w="765" w:type="dxa"/>
            <w:tcBorders>
              <w:top w:val="nil"/>
              <w:left w:val="nil"/>
              <w:bottom w:val="nil"/>
              <w:right w:val="nil"/>
            </w:tcBorders>
            <w:shd w:val="clear" w:color="auto" w:fill="auto"/>
            <w:noWrap/>
            <w:vAlign w:val="center"/>
          </w:tcPr>
          <w:p w14:paraId="2871E84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-4.59 </w:t>
            </w:r>
          </w:p>
        </w:tc>
        <w:tc>
          <w:tcPr>
            <w:tcW w:w="1230" w:type="dxa"/>
            <w:tcBorders>
              <w:top w:val="nil"/>
              <w:left w:val="nil"/>
              <w:bottom w:val="nil"/>
              <w:right w:val="nil"/>
            </w:tcBorders>
            <w:shd w:val="clear" w:color="auto" w:fill="auto"/>
            <w:noWrap/>
            <w:vAlign w:val="center"/>
          </w:tcPr>
          <w:p w14:paraId="49A68AC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-9.20~0.15</w:t>
            </w:r>
          </w:p>
        </w:tc>
        <w:tc>
          <w:tcPr>
            <w:tcW w:w="690" w:type="dxa"/>
            <w:tcBorders>
              <w:top w:val="nil"/>
              <w:left w:val="nil"/>
              <w:bottom w:val="nil"/>
              <w:right w:val="nil"/>
            </w:tcBorders>
            <w:shd w:val="clear" w:color="auto" w:fill="auto"/>
            <w:noWrap/>
            <w:vAlign w:val="center"/>
          </w:tcPr>
          <w:p w14:paraId="1FB2644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0.056 </w:t>
            </w:r>
          </w:p>
        </w:tc>
      </w:tr>
      <w:tr w14:paraId="06B3F156">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7D93765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55~59</w:t>
            </w:r>
          </w:p>
        </w:tc>
        <w:tc>
          <w:tcPr>
            <w:tcW w:w="825" w:type="dxa"/>
            <w:tcBorders>
              <w:top w:val="nil"/>
              <w:left w:val="nil"/>
              <w:bottom w:val="nil"/>
              <w:right w:val="nil"/>
            </w:tcBorders>
            <w:shd w:val="clear" w:color="auto" w:fill="auto"/>
            <w:noWrap/>
            <w:vAlign w:val="center"/>
          </w:tcPr>
          <w:p w14:paraId="44E82EA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231.03 </w:t>
            </w:r>
          </w:p>
        </w:tc>
        <w:tc>
          <w:tcPr>
            <w:tcW w:w="810" w:type="dxa"/>
            <w:tcBorders>
              <w:top w:val="nil"/>
              <w:left w:val="nil"/>
              <w:bottom w:val="nil"/>
              <w:right w:val="nil"/>
            </w:tcBorders>
            <w:shd w:val="clear" w:color="auto" w:fill="auto"/>
            <w:noWrap/>
            <w:vAlign w:val="center"/>
          </w:tcPr>
          <w:p w14:paraId="703118D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205.98 </w:t>
            </w:r>
          </w:p>
        </w:tc>
        <w:tc>
          <w:tcPr>
            <w:tcW w:w="675" w:type="dxa"/>
            <w:tcBorders>
              <w:top w:val="nil"/>
              <w:left w:val="nil"/>
              <w:bottom w:val="nil"/>
              <w:right w:val="nil"/>
            </w:tcBorders>
            <w:shd w:val="clear" w:color="auto" w:fill="auto"/>
            <w:noWrap/>
            <w:vAlign w:val="center"/>
          </w:tcPr>
          <w:p w14:paraId="22416DD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-0.89 </w:t>
            </w:r>
          </w:p>
        </w:tc>
        <w:tc>
          <w:tcPr>
            <w:tcW w:w="1185" w:type="dxa"/>
            <w:tcBorders>
              <w:top w:val="nil"/>
              <w:left w:val="nil"/>
              <w:bottom w:val="nil"/>
              <w:right w:val="nil"/>
            </w:tcBorders>
            <w:shd w:val="clear" w:color="auto" w:fill="auto"/>
            <w:noWrap/>
            <w:vAlign w:val="center"/>
          </w:tcPr>
          <w:p w14:paraId="0F99D2D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-5.25~4.46</w:t>
            </w:r>
          </w:p>
        </w:tc>
        <w:tc>
          <w:tcPr>
            <w:tcW w:w="780" w:type="dxa"/>
            <w:tcBorders>
              <w:top w:val="nil"/>
              <w:left w:val="nil"/>
              <w:bottom w:val="nil"/>
              <w:right w:val="nil"/>
            </w:tcBorders>
            <w:shd w:val="clear" w:color="auto" w:fill="auto"/>
            <w:noWrap/>
            <w:vAlign w:val="center"/>
          </w:tcPr>
          <w:p w14:paraId="72B0AAA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0.722 </w:t>
            </w:r>
          </w:p>
        </w:tc>
        <w:tc>
          <w:tcPr>
            <w:tcW w:w="240" w:type="dxa"/>
            <w:tcBorders>
              <w:top w:val="nil"/>
              <w:left w:val="nil"/>
              <w:bottom w:val="nil"/>
              <w:right w:val="nil"/>
            </w:tcBorders>
            <w:shd w:val="clear" w:color="auto" w:fill="auto"/>
            <w:noWrap/>
            <w:vAlign w:val="center"/>
          </w:tcPr>
          <w:p w14:paraId="7D058772">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53EC7AE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320.32 </w:t>
            </w:r>
          </w:p>
        </w:tc>
        <w:tc>
          <w:tcPr>
            <w:tcW w:w="840" w:type="dxa"/>
            <w:tcBorders>
              <w:top w:val="nil"/>
              <w:left w:val="nil"/>
              <w:bottom w:val="nil"/>
              <w:right w:val="nil"/>
            </w:tcBorders>
            <w:shd w:val="clear" w:color="auto" w:fill="auto"/>
            <w:noWrap/>
            <w:vAlign w:val="center"/>
          </w:tcPr>
          <w:p w14:paraId="417C96D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281.67 </w:t>
            </w:r>
          </w:p>
        </w:tc>
        <w:tc>
          <w:tcPr>
            <w:tcW w:w="735" w:type="dxa"/>
            <w:tcBorders>
              <w:top w:val="nil"/>
              <w:left w:val="nil"/>
              <w:bottom w:val="nil"/>
              <w:right w:val="nil"/>
            </w:tcBorders>
            <w:shd w:val="clear" w:color="auto" w:fill="auto"/>
            <w:noWrap/>
            <w:vAlign w:val="center"/>
          </w:tcPr>
          <w:p w14:paraId="5F0CD8F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-0.93 </w:t>
            </w:r>
          </w:p>
        </w:tc>
        <w:tc>
          <w:tcPr>
            <w:tcW w:w="1185" w:type="dxa"/>
            <w:tcBorders>
              <w:top w:val="nil"/>
              <w:left w:val="nil"/>
              <w:bottom w:val="nil"/>
              <w:right w:val="nil"/>
            </w:tcBorders>
            <w:shd w:val="clear" w:color="auto" w:fill="auto"/>
            <w:noWrap/>
            <w:vAlign w:val="center"/>
          </w:tcPr>
          <w:p w14:paraId="770A2A9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-7.55~7.27</w:t>
            </w:r>
          </w:p>
        </w:tc>
        <w:tc>
          <w:tcPr>
            <w:tcW w:w="782" w:type="dxa"/>
            <w:tcBorders>
              <w:top w:val="nil"/>
              <w:left w:val="nil"/>
              <w:bottom w:val="nil"/>
              <w:right w:val="nil"/>
            </w:tcBorders>
            <w:shd w:val="clear" w:color="auto" w:fill="auto"/>
            <w:noWrap/>
            <w:vAlign w:val="center"/>
          </w:tcPr>
          <w:p w14:paraId="2FC47AB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0.804 </w:t>
            </w:r>
          </w:p>
        </w:tc>
        <w:tc>
          <w:tcPr>
            <w:tcW w:w="222" w:type="dxa"/>
            <w:tcBorders>
              <w:top w:val="nil"/>
              <w:left w:val="nil"/>
              <w:bottom w:val="nil"/>
              <w:right w:val="nil"/>
            </w:tcBorders>
            <w:shd w:val="clear" w:color="auto" w:fill="auto"/>
            <w:noWrap/>
            <w:vAlign w:val="center"/>
          </w:tcPr>
          <w:p w14:paraId="57A15540">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29A78BE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135.08 </w:t>
            </w:r>
          </w:p>
        </w:tc>
        <w:tc>
          <w:tcPr>
            <w:tcW w:w="735" w:type="dxa"/>
            <w:tcBorders>
              <w:top w:val="nil"/>
              <w:left w:val="nil"/>
              <w:bottom w:val="nil"/>
              <w:right w:val="nil"/>
            </w:tcBorders>
            <w:shd w:val="clear" w:color="auto" w:fill="auto"/>
            <w:noWrap/>
            <w:vAlign w:val="center"/>
          </w:tcPr>
          <w:p w14:paraId="3FC7BF8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133.68 </w:t>
            </w:r>
          </w:p>
        </w:tc>
        <w:tc>
          <w:tcPr>
            <w:tcW w:w="765" w:type="dxa"/>
            <w:tcBorders>
              <w:top w:val="nil"/>
              <w:left w:val="nil"/>
              <w:bottom w:val="nil"/>
              <w:right w:val="nil"/>
            </w:tcBorders>
            <w:shd w:val="clear" w:color="auto" w:fill="auto"/>
            <w:noWrap/>
            <w:vAlign w:val="center"/>
          </w:tcPr>
          <w:p w14:paraId="5B5D9B4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0.39 </w:t>
            </w:r>
          </w:p>
        </w:tc>
        <w:tc>
          <w:tcPr>
            <w:tcW w:w="1230" w:type="dxa"/>
            <w:tcBorders>
              <w:top w:val="nil"/>
              <w:left w:val="nil"/>
              <w:bottom w:val="nil"/>
              <w:right w:val="nil"/>
            </w:tcBorders>
            <w:shd w:val="clear" w:color="auto" w:fill="auto"/>
            <w:noWrap/>
            <w:vAlign w:val="center"/>
          </w:tcPr>
          <w:p w14:paraId="3383FC1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-2.47~3.55</w:t>
            </w:r>
          </w:p>
        </w:tc>
        <w:tc>
          <w:tcPr>
            <w:tcW w:w="690" w:type="dxa"/>
            <w:tcBorders>
              <w:top w:val="nil"/>
              <w:left w:val="nil"/>
              <w:bottom w:val="nil"/>
              <w:right w:val="nil"/>
            </w:tcBorders>
            <w:shd w:val="clear" w:color="auto" w:fill="auto"/>
            <w:noWrap/>
            <w:vAlign w:val="center"/>
          </w:tcPr>
          <w:p w14:paraId="33CC289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0.721 </w:t>
            </w:r>
          </w:p>
        </w:tc>
      </w:tr>
      <w:tr w14:paraId="3492FE75">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21A6FD8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60~64</w:t>
            </w:r>
          </w:p>
        </w:tc>
        <w:tc>
          <w:tcPr>
            <w:tcW w:w="825" w:type="dxa"/>
            <w:tcBorders>
              <w:top w:val="nil"/>
              <w:left w:val="nil"/>
              <w:bottom w:val="nil"/>
              <w:right w:val="nil"/>
            </w:tcBorders>
            <w:shd w:val="clear" w:color="auto" w:fill="auto"/>
            <w:noWrap/>
            <w:vAlign w:val="center"/>
          </w:tcPr>
          <w:p w14:paraId="1045AD5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423.08 </w:t>
            </w:r>
          </w:p>
        </w:tc>
        <w:tc>
          <w:tcPr>
            <w:tcW w:w="810" w:type="dxa"/>
            <w:tcBorders>
              <w:top w:val="nil"/>
              <w:left w:val="nil"/>
              <w:bottom w:val="nil"/>
              <w:right w:val="nil"/>
            </w:tcBorders>
            <w:shd w:val="clear" w:color="auto" w:fill="auto"/>
            <w:noWrap/>
            <w:vAlign w:val="center"/>
          </w:tcPr>
          <w:p w14:paraId="2EEB4DE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329.02 </w:t>
            </w:r>
          </w:p>
        </w:tc>
        <w:tc>
          <w:tcPr>
            <w:tcW w:w="675" w:type="dxa"/>
            <w:tcBorders>
              <w:top w:val="nil"/>
              <w:left w:val="nil"/>
              <w:bottom w:val="nil"/>
              <w:right w:val="nil"/>
            </w:tcBorders>
            <w:shd w:val="clear" w:color="auto" w:fill="auto"/>
            <w:noWrap/>
            <w:vAlign w:val="center"/>
          </w:tcPr>
          <w:p w14:paraId="61A5E0F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-4.32 </w:t>
            </w:r>
          </w:p>
        </w:tc>
        <w:tc>
          <w:tcPr>
            <w:tcW w:w="1185" w:type="dxa"/>
            <w:tcBorders>
              <w:top w:val="nil"/>
              <w:left w:val="nil"/>
              <w:bottom w:val="nil"/>
              <w:right w:val="nil"/>
            </w:tcBorders>
            <w:shd w:val="clear" w:color="auto" w:fill="auto"/>
            <w:noWrap/>
            <w:vAlign w:val="center"/>
          </w:tcPr>
          <w:p w14:paraId="3877175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-8.19~-0.89</w:t>
            </w:r>
          </w:p>
        </w:tc>
        <w:tc>
          <w:tcPr>
            <w:tcW w:w="780" w:type="dxa"/>
            <w:tcBorders>
              <w:top w:val="nil"/>
              <w:left w:val="nil"/>
              <w:bottom w:val="nil"/>
              <w:right w:val="nil"/>
            </w:tcBorders>
            <w:shd w:val="clear" w:color="auto" w:fill="auto"/>
            <w:noWrap/>
            <w:vAlign w:val="center"/>
          </w:tcPr>
          <w:p w14:paraId="37D341E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0.015 </w:t>
            </w:r>
          </w:p>
        </w:tc>
        <w:tc>
          <w:tcPr>
            <w:tcW w:w="240" w:type="dxa"/>
            <w:tcBorders>
              <w:top w:val="nil"/>
              <w:left w:val="nil"/>
              <w:bottom w:val="nil"/>
              <w:right w:val="nil"/>
            </w:tcBorders>
            <w:shd w:val="clear" w:color="auto" w:fill="auto"/>
            <w:noWrap/>
            <w:vAlign w:val="center"/>
          </w:tcPr>
          <w:p w14:paraId="5F8B701A">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6EC26A1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583.01 </w:t>
            </w:r>
          </w:p>
        </w:tc>
        <w:tc>
          <w:tcPr>
            <w:tcW w:w="840" w:type="dxa"/>
            <w:tcBorders>
              <w:top w:val="nil"/>
              <w:left w:val="nil"/>
              <w:bottom w:val="nil"/>
              <w:right w:val="nil"/>
            </w:tcBorders>
            <w:shd w:val="clear" w:color="auto" w:fill="auto"/>
            <w:noWrap/>
            <w:vAlign w:val="center"/>
          </w:tcPr>
          <w:p w14:paraId="4220FB9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474.99 </w:t>
            </w:r>
          </w:p>
        </w:tc>
        <w:tc>
          <w:tcPr>
            <w:tcW w:w="735" w:type="dxa"/>
            <w:tcBorders>
              <w:top w:val="nil"/>
              <w:left w:val="nil"/>
              <w:bottom w:val="nil"/>
              <w:right w:val="nil"/>
            </w:tcBorders>
            <w:shd w:val="clear" w:color="auto" w:fill="auto"/>
            <w:noWrap/>
            <w:vAlign w:val="center"/>
          </w:tcPr>
          <w:p w14:paraId="72BD793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-3.07 </w:t>
            </w:r>
          </w:p>
        </w:tc>
        <w:tc>
          <w:tcPr>
            <w:tcW w:w="1185" w:type="dxa"/>
            <w:tcBorders>
              <w:top w:val="nil"/>
              <w:left w:val="nil"/>
              <w:bottom w:val="nil"/>
              <w:right w:val="nil"/>
            </w:tcBorders>
            <w:shd w:val="clear" w:color="auto" w:fill="auto"/>
            <w:noWrap/>
            <w:vAlign w:val="center"/>
          </w:tcPr>
          <w:p w14:paraId="20C9D33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-8.78~2.24</w:t>
            </w:r>
          </w:p>
        </w:tc>
        <w:tc>
          <w:tcPr>
            <w:tcW w:w="782" w:type="dxa"/>
            <w:tcBorders>
              <w:top w:val="nil"/>
              <w:left w:val="nil"/>
              <w:bottom w:val="nil"/>
              <w:right w:val="nil"/>
            </w:tcBorders>
            <w:shd w:val="clear" w:color="auto" w:fill="auto"/>
            <w:noWrap/>
            <w:vAlign w:val="center"/>
          </w:tcPr>
          <w:p w14:paraId="0ADE276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0.195 </w:t>
            </w:r>
          </w:p>
        </w:tc>
        <w:tc>
          <w:tcPr>
            <w:tcW w:w="222" w:type="dxa"/>
            <w:tcBorders>
              <w:top w:val="nil"/>
              <w:left w:val="nil"/>
              <w:bottom w:val="nil"/>
              <w:right w:val="nil"/>
            </w:tcBorders>
            <w:shd w:val="clear" w:color="auto" w:fill="auto"/>
            <w:noWrap/>
            <w:vAlign w:val="center"/>
          </w:tcPr>
          <w:p w14:paraId="3C3EF350">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03D949E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227.45 </w:t>
            </w:r>
          </w:p>
        </w:tc>
        <w:tc>
          <w:tcPr>
            <w:tcW w:w="735" w:type="dxa"/>
            <w:tcBorders>
              <w:top w:val="nil"/>
              <w:left w:val="nil"/>
              <w:bottom w:val="nil"/>
              <w:right w:val="nil"/>
            </w:tcBorders>
            <w:shd w:val="clear" w:color="auto" w:fill="auto"/>
            <w:noWrap/>
            <w:vAlign w:val="center"/>
          </w:tcPr>
          <w:p w14:paraId="162A9FD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175.32 </w:t>
            </w:r>
          </w:p>
        </w:tc>
        <w:tc>
          <w:tcPr>
            <w:tcW w:w="765" w:type="dxa"/>
            <w:tcBorders>
              <w:top w:val="nil"/>
              <w:left w:val="nil"/>
              <w:bottom w:val="nil"/>
              <w:right w:val="nil"/>
            </w:tcBorders>
            <w:shd w:val="clear" w:color="auto" w:fill="auto"/>
            <w:noWrap/>
            <w:vAlign w:val="center"/>
          </w:tcPr>
          <w:p w14:paraId="4224B7F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-5.59 </w:t>
            </w:r>
          </w:p>
        </w:tc>
        <w:tc>
          <w:tcPr>
            <w:tcW w:w="1230" w:type="dxa"/>
            <w:tcBorders>
              <w:top w:val="nil"/>
              <w:left w:val="nil"/>
              <w:bottom w:val="nil"/>
              <w:right w:val="nil"/>
            </w:tcBorders>
            <w:shd w:val="clear" w:color="auto" w:fill="auto"/>
            <w:noWrap/>
            <w:vAlign w:val="center"/>
          </w:tcPr>
          <w:p w14:paraId="40E86DC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-14.05~2.35</w:t>
            </w:r>
          </w:p>
        </w:tc>
        <w:tc>
          <w:tcPr>
            <w:tcW w:w="690" w:type="dxa"/>
            <w:tcBorders>
              <w:top w:val="nil"/>
              <w:left w:val="nil"/>
              <w:bottom w:val="nil"/>
              <w:right w:val="nil"/>
            </w:tcBorders>
            <w:shd w:val="clear" w:color="auto" w:fill="auto"/>
            <w:noWrap/>
            <w:vAlign w:val="center"/>
          </w:tcPr>
          <w:p w14:paraId="5BB1418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0.147 </w:t>
            </w:r>
          </w:p>
        </w:tc>
      </w:tr>
      <w:tr w14:paraId="50AD4D31">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50B9F18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65~69</w:t>
            </w:r>
          </w:p>
        </w:tc>
        <w:tc>
          <w:tcPr>
            <w:tcW w:w="825" w:type="dxa"/>
            <w:tcBorders>
              <w:top w:val="nil"/>
              <w:left w:val="nil"/>
              <w:bottom w:val="nil"/>
              <w:right w:val="nil"/>
            </w:tcBorders>
            <w:shd w:val="clear" w:color="auto" w:fill="auto"/>
            <w:noWrap/>
            <w:vAlign w:val="center"/>
          </w:tcPr>
          <w:p w14:paraId="5B8D4F1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522.97 </w:t>
            </w:r>
          </w:p>
        </w:tc>
        <w:tc>
          <w:tcPr>
            <w:tcW w:w="810" w:type="dxa"/>
            <w:tcBorders>
              <w:top w:val="nil"/>
              <w:left w:val="nil"/>
              <w:bottom w:val="nil"/>
              <w:right w:val="nil"/>
            </w:tcBorders>
            <w:shd w:val="clear" w:color="auto" w:fill="auto"/>
            <w:noWrap/>
            <w:vAlign w:val="center"/>
          </w:tcPr>
          <w:p w14:paraId="2BF7FA8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532.82 </w:t>
            </w:r>
          </w:p>
        </w:tc>
        <w:tc>
          <w:tcPr>
            <w:tcW w:w="675" w:type="dxa"/>
            <w:tcBorders>
              <w:top w:val="nil"/>
              <w:left w:val="nil"/>
              <w:bottom w:val="nil"/>
              <w:right w:val="nil"/>
            </w:tcBorders>
            <w:shd w:val="clear" w:color="auto" w:fill="auto"/>
            <w:noWrap/>
            <w:vAlign w:val="center"/>
          </w:tcPr>
          <w:p w14:paraId="511AA5C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0.26 </w:t>
            </w:r>
          </w:p>
        </w:tc>
        <w:tc>
          <w:tcPr>
            <w:tcW w:w="1185" w:type="dxa"/>
            <w:tcBorders>
              <w:top w:val="nil"/>
              <w:left w:val="nil"/>
              <w:bottom w:val="nil"/>
              <w:right w:val="nil"/>
            </w:tcBorders>
            <w:shd w:val="clear" w:color="auto" w:fill="auto"/>
            <w:noWrap/>
            <w:vAlign w:val="center"/>
          </w:tcPr>
          <w:p w14:paraId="2B0107F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-2.86~3.48</w:t>
            </w:r>
          </w:p>
        </w:tc>
        <w:tc>
          <w:tcPr>
            <w:tcW w:w="780" w:type="dxa"/>
            <w:tcBorders>
              <w:top w:val="nil"/>
              <w:left w:val="nil"/>
              <w:bottom w:val="nil"/>
              <w:right w:val="nil"/>
            </w:tcBorders>
            <w:shd w:val="clear" w:color="auto" w:fill="auto"/>
            <w:noWrap/>
            <w:vAlign w:val="center"/>
          </w:tcPr>
          <w:p w14:paraId="5D4A129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0.820 </w:t>
            </w:r>
          </w:p>
        </w:tc>
        <w:tc>
          <w:tcPr>
            <w:tcW w:w="240" w:type="dxa"/>
            <w:tcBorders>
              <w:top w:val="nil"/>
              <w:left w:val="nil"/>
              <w:bottom w:val="nil"/>
              <w:right w:val="nil"/>
            </w:tcBorders>
            <w:shd w:val="clear" w:color="auto" w:fill="auto"/>
            <w:noWrap/>
            <w:vAlign w:val="center"/>
          </w:tcPr>
          <w:p w14:paraId="77C6BFD5">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152B965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741.68 </w:t>
            </w:r>
          </w:p>
        </w:tc>
        <w:tc>
          <w:tcPr>
            <w:tcW w:w="840" w:type="dxa"/>
            <w:tcBorders>
              <w:top w:val="nil"/>
              <w:left w:val="nil"/>
              <w:bottom w:val="nil"/>
              <w:right w:val="nil"/>
            </w:tcBorders>
            <w:shd w:val="clear" w:color="auto" w:fill="auto"/>
            <w:noWrap/>
            <w:vAlign w:val="center"/>
          </w:tcPr>
          <w:p w14:paraId="62E7CCF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755.02 </w:t>
            </w:r>
          </w:p>
        </w:tc>
        <w:tc>
          <w:tcPr>
            <w:tcW w:w="735" w:type="dxa"/>
            <w:tcBorders>
              <w:top w:val="nil"/>
              <w:left w:val="nil"/>
              <w:bottom w:val="nil"/>
              <w:right w:val="nil"/>
            </w:tcBorders>
            <w:shd w:val="clear" w:color="auto" w:fill="auto"/>
            <w:noWrap/>
            <w:vAlign w:val="center"/>
          </w:tcPr>
          <w:p w14:paraId="57C6EA5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0.13 </w:t>
            </w:r>
          </w:p>
        </w:tc>
        <w:tc>
          <w:tcPr>
            <w:tcW w:w="1185" w:type="dxa"/>
            <w:tcBorders>
              <w:top w:val="nil"/>
              <w:left w:val="nil"/>
              <w:bottom w:val="nil"/>
              <w:right w:val="nil"/>
            </w:tcBorders>
            <w:shd w:val="clear" w:color="auto" w:fill="auto"/>
            <w:noWrap/>
            <w:vAlign w:val="center"/>
          </w:tcPr>
          <w:p w14:paraId="3AD02DB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-2.35~2.62</w:t>
            </w:r>
          </w:p>
        </w:tc>
        <w:tc>
          <w:tcPr>
            <w:tcW w:w="782" w:type="dxa"/>
            <w:tcBorders>
              <w:top w:val="nil"/>
              <w:left w:val="nil"/>
              <w:bottom w:val="nil"/>
              <w:right w:val="nil"/>
            </w:tcBorders>
            <w:shd w:val="clear" w:color="auto" w:fill="auto"/>
            <w:noWrap/>
            <w:vAlign w:val="center"/>
          </w:tcPr>
          <w:p w14:paraId="21331D3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0.899 </w:t>
            </w:r>
          </w:p>
        </w:tc>
        <w:tc>
          <w:tcPr>
            <w:tcW w:w="222" w:type="dxa"/>
            <w:tcBorders>
              <w:top w:val="nil"/>
              <w:left w:val="nil"/>
              <w:bottom w:val="nil"/>
              <w:right w:val="nil"/>
            </w:tcBorders>
            <w:shd w:val="clear" w:color="auto" w:fill="auto"/>
            <w:noWrap/>
            <w:vAlign w:val="center"/>
          </w:tcPr>
          <w:p w14:paraId="0FB2CCC4">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5F28160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291.35 </w:t>
            </w:r>
          </w:p>
        </w:tc>
        <w:tc>
          <w:tcPr>
            <w:tcW w:w="735" w:type="dxa"/>
            <w:tcBorders>
              <w:top w:val="nil"/>
              <w:left w:val="nil"/>
              <w:bottom w:val="nil"/>
              <w:right w:val="nil"/>
            </w:tcBorders>
            <w:shd w:val="clear" w:color="auto" w:fill="auto"/>
            <w:noWrap/>
            <w:vAlign w:val="center"/>
          </w:tcPr>
          <w:p w14:paraId="32CA72F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270.86 </w:t>
            </w:r>
          </w:p>
        </w:tc>
        <w:tc>
          <w:tcPr>
            <w:tcW w:w="765" w:type="dxa"/>
            <w:tcBorders>
              <w:top w:val="nil"/>
              <w:left w:val="nil"/>
              <w:bottom w:val="nil"/>
              <w:right w:val="nil"/>
            </w:tcBorders>
            <w:shd w:val="clear" w:color="auto" w:fill="auto"/>
            <w:noWrap/>
            <w:vAlign w:val="center"/>
          </w:tcPr>
          <w:p w14:paraId="085C1C9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-1.18 </w:t>
            </w:r>
          </w:p>
        </w:tc>
        <w:tc>
          <w:tcPr>
            <w:tcW w:w="1230" w:type="dxa"/>
            <w:tcBorders>
              <w:top w:val="nil"/>
              <w:left w:val="nil"/>
              <w:bottom w:val="nil"/>
              <w:right w:val="nil"/>
            </w:tcBorders>
            <w:shd w:val="clear" w:color="auto" w:fill="auto"/>
            <w:noWrap/>
            <w:vAlign w:val="center"/>
          </w:tcPr>
          <w:p w14:paraId="1001453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-6.81~4.71</w:t>
            </w:r>
          </w:p>
        </w:tc>
        <w:tc>
          <w:tcPr>
            <w:tcW w:w="690" w:type="dxa"/>
            <w:tcBorders>
              <w:top w:val="nil"/>
              <w:left w:val="nil"/>
              <w:bottom w:val="nil"/>
              <w:right w:val="nil"/>
            </w:tcBorders>
            <w:shd w:val="clear" w:color="auto" w:fill="auto"/>
            <w:noWrap/>
            <w:vAlign w:val="center"/>
          </w:tcPr>
          <w:p w14:paraId="4AA74EE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0.533 </w:t>
            </w:r>
          </w:p>
        </w:tc>
      </w:tr>
      <w:tr w14:paraId="5A2BA5FB">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4109C09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70~74</w:t>
            </w:r>
          </w:p>
        </w:tc>
        <w:tc>
          <w:tcPr>
            <w:tcW w:w="825" w:type="dxa"/>
            <w:tcBorders>
              <w:top w:val="nil"/>
              <w:left w:val="nil"/>
              <w:bottom w:val="nil"/>
              <w:right w:val="nil"/>
            </w:tcBorders>
            <w:shd w:val="clear" w:color="auto" w:fill="auto"/>
            <w:noWrap/>
            <w:vAlign w:val="center"/>
          </w:tcPr>
          <w:p w14:paraId="651EA14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770.27 </w:t>
            </w:r>
          </w:p>
        </w:tc>
        <w:tc>
          <w:tcPr>
            <w:tcW w:w="810" w:type="dxa"/>
            <w:tcBorders>
              <w:top w:val="nil"/>
              <w:left w:val="nil"/>
              <w:bottom w:val="nil"/>
              <w:right w:val="nil"/>
            </w:tcBorders>
            <w:shd w:val="clear" w:color="auto" w:fill="auto"/>
            <w:noWrap/>
            <w:vAlign w:val="center"/>
          </w:tcPr>
          <w:p w14:paraId="0AE7917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691.15 </w:t>
            </w:r>
          </w:p>
        </w:tc>
        <w:tc>
          <w:tcPr>
            <w:tcW w:w="675" w:type="dxa"/>
            <w:tcBorders>
              <w:top w:val="nil"/>
              <w:left w:val="nil"/>
              <w:bottom w:val="nil"/>
              <w:right w:val="nil"/>
            </w:tcBorders>
            <w:shd w:val="clear" w:color="auto" w:fill="auto"/>
            <w:noWrap/>
            <w:vAlign w:val="center"/>
          </w:tcPr>
          <w:p w14:paraId="5732F27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-2.41 </w:t>
            </w:r>
          </w:p>
        </w:tc>
        <w:tc>
          <w:tcPr>
            <w:tcW w:w="1185" w:type="dxa"/>
            <w:tcBorders>
              <w:top w:val="nil"/>
              <w:left w:val="nil"/>
              <w:bottom w:val="nil"/>
              <w:right w:val="nil"/>
            </w:tcBorders>
            <w:shd w:val="clear" w:color="auto" w:fill="auto"/>
            <w:noWrap/>
            <w:vAlign w:val="center"/>
          </w:tcPr>
          <w:p w14:paraId="0B88C9A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-7.02~2.68</w:t>
            </w:r>
          </w:p>
        </w:tc>
        <w:tc>
          <w:tcPr>
            <w:tcW w:w="780" w:type="dxa"/>
            <w:tcBorders>
              <w:top w:val="nil"/>
              <w:left w:val="nil"/>
              <w:bottom w:val="nil"/>
              <w:right w:val="nil"/>
            </w:tcBorders>
            <w:shd w:val="clear" w:color="auto" w:fill="auto"/>
            <w:noWrap/>
            <w:vAlign w:val="center"/>
          </w:tcPr>
          <w:p w14:paraId="4DC6D03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0.302 </w:t>
            </w:r>
          </w:p>
        </w:tc>
        <w:tc>
          <w:tcPr>
            <w:tcW w:w="240" w:type="dxa"/>
            <w:tcBorders>
              <w:top w:val="nil"/>
              <w:left w:val="nil"/>
              <w:bottom w:val="nil"/>
              <w:right w:val="nil"/>
            </w:tcBorders>
            <w:shd w:val="clear" w:color="auto" w:fill="auto"/>
            <w:noWrap/>
            <w:vAlign w:val="center"/>
          </w:tcPr>
          <w:p w14:paraId="17E32760">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680D390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1040.35 </w:t>
            </w:r>
          </w:p>
        </w:tc>
        <w:tc>
          <w:tcPr>
            <w:tcW w:w="840" w:type="dxa"/>
            <w:tcBorders>
              <w:top w:val="nil"/>
              <w:left w:val="nil"/>
              <w:bottom w:val="nil"/>
              <w:right w:val="nil"/>
            </w:tcBorders>
            <w:shd w:val="clear" w:color="auto" w:fill="auto"/>
            <w:noWrap/>
            <w:vAlign w:val="center"/>
          </w:tcPr>
          <w:p w14:paraId="069F1AE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978.40 </w:t>
            </w:r>
          </w:p>
        </w:tc>
        <w:tc>
          <w:tcPr>
            <w:tcW w:w="735" w:type="dxa"/>
            <w:tcBorders>
              <w:top w:val="nil"/>
              <w:left w:val="nil"/>
              <w:bottom w:val="nil"/>
              <w:right w:val="nil"/>
            </w:tcBorders>
            <w:shd w:val="clear" w:color="auto" w:fill="auto"/>
            <w:noWrap/>
            <w:vAlign w:val="center"/>
          </w:tcPr>
          <w:p w14:paraId="0B7953C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-1.80 </w:t>
            </w:r>
          </w:p>
        </w:tc>
        <w:tc>
          <w:tcPr>
            <w:tcW w:w="1185" w:type="dxa"/>
            <w:tcBorders>
              <w:top w:val="nil"/>
              <w:left w:val="nil"/>
              <w:bottom w:val="nil"/>
              <w:right w:val="nil"/>
            </w:tcBorders>
            <w:shd w:val="clear" w:color="auto" w:fill="auto"/>
            <w:noWrap/>
            <w:vAlign w:val="center"/>
          </w:tcPr>
          <w:p w14:paraId="2E65666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-7.34~4.22</w:t>
            </w:r>
          </w:p>
        </w:tc>
        <w:tc>
          <w:tcPr>
            <w:tcW w:w="782" w:type="dxa"/>
            <w:tcBorders>
              <w:top w:val="nil"/>
              <w:left w:val="nil"/>
              <w:bottom w:val="nil"/>
              <w:right w:val="nil"/>
            </w:tcBorders>
            <w:shd w:val="clear" w:color="auto" w:fill="auto"/>
            <w:noWrap/>
            <w:vAlign w:val="center"/>
          </w:tcPr>
          <w:p w14:paraId="1897691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0.530 </w:t>
            </w:r>
          </w:p>
        </w:tc>
        <w:tc>
          <w:tcPr>
            <w:tcW w:w="222" w:type="dxa"/>
            <w:tcBorders>
              <w:top w:val="nil"/>
              <w:left w:val="nil"/>
              <w:bottom w:val="nil"/>
              <w:right w:val="nil"/>
            </w:tcBorders>
            <w:shd w:val="clear" w:color="auto" w:fill="auto"/>
            <w:noWrap/>
            <w:vAlign w:val="center"/>
          </w:tcPr>
          <w:p w14:paraId="4D293C18">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77E1FBE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489.68 </w:t>
            </w:r>
          </w:p>
        </w:tc>
        <w:tc>
          <w:tcPr>
            <w:tcW w:w="735" w:type="dxa"/>
            <w:tcBorders>
              <w:top w:val="nil"/>
              <w:left w:val="nil"/>
              <w:bottom w:val="nil"/>
              <w:right w:val="nil"/>
            </w:tcBorders>
            <w:shd w:val="clear" w:color="auto" w:fill="auto"/>
            <w:noWrap/>
            <w:vAlign w:val="center"/>
          </w:tcPr>
          <w:p w14:paraId="2427D15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403.13 </w:t>
            </w:r>
          </w:p>
        </w:tc>
        <w:tc>
          <w:tcPr>
            <w:tcW w:w="765" w:type="dxa"/>
            <w:tcBorders>
              <w:top w:val="nil"/>
              <w:left w:val="nil"/>
              <w:bottom w:val="nil"/>
              <w:right w:val="nil"/>
            </w:tcBorders>
            <w:shd w:val="clear" w:color="auto" w:fill="auto"/>
            <w:noWrap/>
            <w:vAlign w:val="center"/>
          </w:tcPr>
          <w:p w14:paraId="09A752C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-3.28 </w:t>
            </w:r>
          </w:p>
        </w:tc>
        <w:tc>
          <w:tcPr>
            <w:tcW w:w="1230" w:type="dxa"/>
            <w:tcBorders>
              <w:top w:val="nil"/>
              <w:left w:val="nil"/>
              <w:bottom w:val="nil"/>
              <w:right w:val="nil"/>
            </w:tcBorders>
            <w:shd w:val="clear" w:color="auto" w:fill="auto"/>
            <w:noWrap/>
            <w:vAlign w:val="center"/>
          </w:tcPr>
          <w:p w14:paraId="3F9C7CD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-5.50~-0.88</w:t>
            </w:r>
          </w:p>
        </w:tc>
        <w:tc>
          <w:tcPr>
            <w:tcW w:w="690" w:type="dxa"/>
            <w:tcBorders>
              <w:top w:val="nil"/>
              <w:left w:val="nil"/>
              <w:bottom w:val="nil"/>
              <w:right w:val="nil"/>
            </w:tcBorders>
            <w:shd w:val="clear" w:color="auto" w:fill="auto"/>
            <w:noWrap/>
            <w:vAlign w:val="center"/>
          </w:tcPr>
          <w:p w14:paraId="4B8BC12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0.006 </w:t>
            </w:r>
          </w:p>
        </w:tc>
      </w:tr>
      <w:tr w14:paraId="4611FC45">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11ADC72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75~79</w:t>
            </w:r>
          </w:p>
        </w:tc>
        <w:tc>
          <w:tcPr>
            <w:tcW w:w="825" w:type="dxa"/>
            <w:tcBorders>
              <w:top w:val="nil"/>
              <w:left w:val="nil"/>
              <w:bottom w:val="nil"/>
              <w:right w:val="nil"/>
            </w:tcBorders>
            <w:shd w:val="clear" w:color="auto" w:fill="auto"/>
            <w:noWrap/>
            <w:vAlign w:val="center"/>
          </w:tcPr>
          <w:p w14:paraId="1C2E428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906.77 </w:t>
            </w:r>
          </w:p>
        </w:tc>
        <w:tc>
          <w:tcPr>
            <w:tcW w:w="810" w:type="dxa"/>
            <w:tcBorders>
              <w:top w:val="nil"/>
              <w:left w:val="nil"/>
              <w:bottom w:val="nil"/>
              <w:right w:val="nil"/>
            </w:tcBorders>
            <w:shd w:val="clear" w:color="auto" w:fill="auto"/>
            <w:noWrap/>
            <w:vAlign w:val="center"/>
          </w:tcPr>
          <w:p w14:paraId="1BEC35E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942.14 </w:t>
            </w:r>
          </w:p>
        </w:tc>
        <w:tc>
          <w:tcPr>
            <w:tcW w:w="675" w:type="dxa"/>
            <w:tcBorders>
              <w:top w:val="nil"/>
              <w:left w:val="nil"/>
              <w:bottom w:val="nil"/>
              <w:right w:val="nil"/>
            </w:tcBorders>
            <w:shd w:val="clear" w:color="auto" w:fill="auto"/>
            <w:noWrap/>
            <w:vAlign w:val="center"/>
          </w:tcPr>
          <w:p w14:paraId="114C12E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0.48 </w:t>
            </w:r>
          </w:p>
        </w:tc>
        <w:tc>
          <w:tcPr>
            <w:tcW w:w="1185" w:type="dxa"/>
            <w:tcBorders>
              <w:top w:val="nil"/>
              <w:left w:val="nil"/>
              <w:bottom w:val="nil"/>
              <w:right w:val="nil"/>
            </w:tcBorders>
            <w:shd w:val="clear" w:color="auto" w:fill="auto"/>
            <w:noWrap/>
            <w:vAlign w:val="center"/>
          </w:tcPr>
          <w:p w14:paraId="24BC9A1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-1.49~2.59</w:t>
            </w:r>
          </w:p>
        </w:tc>
        <w:tc>
          <w:tcPr>
            <w:tcW w:w="780" w:type="dxa"/>
            <w:tcBorders>
              <w:top w:val="nil"/>
              <w:left w:val="nil"/>
              <w:bottom w:val="nil"/>
              <w:right w:val="nil"/>
            </w:tcBorders>
            <w:shd w:val="clear" w:color="auto" w:fill="auto"/>
            <w:noWrap/>
            <w:vAlign w:val="center"/>
          </w:tcPr>
          <w:p w14:paraId="67E6976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0.562 </w:t>
            </w:r>
          </w:p>
        </w:tc>
        <w:tc>
          <w:tcPr>
            <w:tcW w:w="240" w:type="dxa"/>
            <w:tcBorders>
              <w:top w:val="nil"/>
              <w:left w:val="nil"/>
              <w:bottom w:val="nil"/>
              <w:right w:val="nil"/>
            </w:tcBorders>
            <w:shd w:val="clear" w:color="auto" w:fill="auto"/>
            <w:noWrap/>
            <w:vAlign w:val="center"/>
          </w:tcPr>
          <w:p w14:paraId="4DB6A3B6">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0CDE317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1213.54 </w:t>
            </w:r>
          </w:p>
        </w:tc>
        <w:tc>
          <w:tcPr>
            <w:tcW w:w="840" w:type="dxa"/>
            <w:tcBorders>
              <w:top w:val="nil"/>
              <w:left w:val="nil"/>
              <w:bottom w:val="nil"/>
              <w:right w:val="nil"/>
            </w:tcBorders>
            <w:shd w:val="clear" w:color="auto" w:fill="auto"/>
            <w:noWrap/>
            <w:vAlign w:val="center"/>
          </w:tcPr>
          <w:p w14:paraId="1103F2E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1266.49 </w:t>
            </w:r>
          </w:p>
        </w:tc>
        <w:tc>
          <w:tcPr>
            <w:tcW w:w="735" w:type="dxa"/>
            <w:tcBorders>
              <w:top w:val="nil"/>
              <w:left w:val="nil"/>
              <w:bottom w:val="nil"/>
              <w:right w:val="nil"/>
            </w:tcBorders>
            <w:shd w:val="clear" w:color="auto" w:fill="auto"/>
            <w:noWrap/>
            <w:vAlign w:val="center"/>
          </w:tcPr>
          <w:p w14:paraId="48E9EB1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0.87 </w:t>
            </w:r>
          </w:p>
        </w:tc>
        <w:tc>
          <w:tcPr>
            <w:tcW w:w="1185" w:type="dxa"/>
            <w:tcBorders>
              <w:top w:val="nil"/>
              <w:left w:val="nil"/>
              <w:bottom w:val="nil"/>
              <w:right w:val="nil"/>
            </w:tcBorders>
            <w:shd w:val="clear" w:color="auto" w:fill="auto"/>
            <w:noWrap/>
            <w:vAlign w:val="center"/>
          </w:tcPr>
          <w:p w14:paraId="1A3CB8B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-1.53~3.32</w:t>
            </w:r>
          </w:p>
        </w:tc>
        <w:tc>
          <w:tcPr>
            <w:tcW w:w="782" w:type="dxa"/>
            <w:tcBorders>
              <w:top w:val="nil"/>
              <w:left w:val="nil"/>
              <w:bottom w:val="nil"/>
              <w:right w:val="nil"/>
            </w:tcBorders>
            <w:shd w:val="clear" w:color="auto" w:fill="auto"/>
            <w:noWrap/>
            <w:vAlign w:val="center"/>
          </w:tcPr>
          <w:p w14:paraId="1B5407F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0.434 </w:t>
            </w:r>
          </w:p>
        </w:tc>
        <w:tc>
          <w:tcPr>
            <w:tcW w:w="222" w:type="dxa"/>
            <w:tcBorders>
              <w:top w:val="nil"/>
              <w:left w:val="nil"/>
              <w:bottom w:val="nil"/>
              <w:right w:val="nil"/>
            </w:tcBorders>
            <w:shd w:val="clear" w:color="auto" w:fill="auto"/>
            <w:noWrap/>
            <w:vAlign w:val="center"/>
          </w:tcPr>
          <w:p w14:paraId="5BC99D5D">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0AA2D7A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615.63 </w:t>
            </w:r>
          </w:p>
        </w:tc>
        <w:tc>
          <w:tcPr>
            <w:tcW w:w="735" w:type="dxa"/>
            <w:tcBorders>
              <w:top w:val="nil"/>
              <w:left w:val="nil"/>
              <w:bottom w:val="nil"/>
              <w:right w:val="nil"/>
            </w:tcBorders>
            <w:shd w:val="clear" w:color="auto" w:fill="auto"/>
            <w:noWrap/>
            <w:vAlign w:val="center"/>
          </w:tcPr>
          <w:p w14:paraId="362E303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629.66 </w:t>
            </w:r>
          </w:p>
        </w:tc>
        <w:tc>
          <w:tcPr>
            <w:tcW w:w="765" w:type="dxa"/>
            <w:tcBorders>
              <w:top w:val="nil"/>
              <w:left w:val="nil"/>
              <w:bottom w:val="nil"/>
              <w:right w:val="nil"/>
            </w:tcBorders>
            <w:shd w:val="clear" w:color="auto" w:fill="auto"/>
            <w:noWrap/>
            <w:vAlign w:val="center"/>
          </w:tcPr>
          <w:p w14:paraId="5ABCC18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-0.42 </w:t>
            </w:r>
          </w:p>
        </w:tc>
        <w:tc>
          <w:tcPr>
            <w:tcW w:w="1230" w:type="dxa"/>
            <w:tcBorders>
              <w:top w:val="nil"/>
              <w:left w:val="nil"/>
              <w:bottom w:val="nil"/>
              <w:right w:val="nil"/>
            </w:tcBorders>
            <w:shd w:val="clear" w:color="auto" w:fill="auto"/>
            <w:noWrap/>
            <w:vAlign w:val="center"/>
          </w:tcPr>
          <w:p w14:paraId="7053870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-5.17~4.78</w:t>
            </w:r>
          </w:p>
        </w:tc>
        <w:tc>
          <w:tcPr>
            <w:tcW w:w="690" w:type="dxa"/>
            <w:tcBorders>
              <w:top w:val="nil"/>
              <w:left w:val="nil"/>
              <w:bottom w:val="nil"/>
              <w:right w:val="nil"/>
            </w:tcBorders>
            <w:shd w:val="clear" w:color="auto" w:fill="auto"/>
            <w:noWrap/>
            <w:vAlign w:val="center"/>
          </w:tcPr>
          <w:p w14:paraId="78537D8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0.883 </w:t>
            </w:r>
          </w:p>
        </w:tc>
      </w:tr>
      <w:tr w14:paraId="43A0BADE">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bottom w:val="nil"/>
              <w:right w:val="nil"/>
            </w:tcBorders>
            <w:shd w:val="clear" w:color="auto" w:fill="auto"/>
            <w:noWrap/>
            <w:vAlign w:val="center"/>
          </w:tcPr>
          <w:p w14:paraId="154FB60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80~84</w:t>
            </w:r>
          </w:p>
        </w:tc>
        <w:tc>
          <w:tcPr>
            <w:tcW w:w="825" w:type="dxa"/>
            <w:tcBorders>
              <w:top w:val="nil"/>
              <w:left w:val="nil"/>
              <w:bottom w:val="nil"/>
              <w:right w:val="nil"/>
            </w:tcBorders>
            <w:shd w:val="clear" w:color="auto" w:fill="auto"/>
            <w:noWrap/>
            <w:vAlign w:val="center"/>
          </w:tcPr>
          <w:p w14:paraId="226B3D6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1009.00 </w:t>
            </w:r>
          </w:p>
        </w:tc>
        <w:tc>
          <w:tcPr>
            <w:tcW w:w="810" w:type="dxa"/>
            <w:tcBorders>
              <w:top w:val="nil"/>
              <w:left w:val="nil"/>
              <w:bottom w:val="nil"/>
              <w:right w:val="nil"/>
            </w:tcBorders>
            <w:shd w:val="clear" w:color="auto" w:fill="auto"/>
            <w:noWrap/>
            <w:vAlign w:val="center"/>
          </w:tcPr>
          <w:p w14:paraId="6F15C03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991.38 </w:t>
            </w:r>
          </w:p>
        </w:tc>
        <w:tc>
          <w:tcPr>
            <w:tcW w:w="675" w:type="dxa"/>
            <w:tcBorders>
              <w:top w:val="nil"/>
              <w:left w:val="nil"/>
              <w:bottom w:val="nil"/>
              <w:right w:val="nil"/>
            </w:tcBorders>
            <w:shd w:val="clear" w:color="auto" w:fill="auto"/>
            <w:noWrap/>
            <w:vAlign w:val="center"/>
          </w:tcPr>
          <w:p w14:paraId="10E4CEB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-0.07 </w:t>
            </w:r>
          </w:p>
        </w:tc>
        <w:tc>
          <w:tcPr>
            <w:tcW w:w="1185" w:type="dxa"/>
            <w:tcBorders>
              <w:top w:val="nil"/>
              <w:left w:val="nil"/>
              <w:bottom w:val="nil"/>
              <w:right w:val="nil"/>
            </w:tcBorders>
            <w:shd w:val="clear" w:color="auto" w:fill="auto"/>
            <w:noWrap/>
            <w:vAlign w:val="center"/>
          </w:tcPr>
          <w:p w14:paraId="463E55C6">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-3.88~4.18</w:t>
            </w:r>
          </w:p>
        </w:tc>
        <w:tc>
          <w:tcPr>
            <w:tcW w:w="780" w:type="dxa"/>
            <w:tcBorders>
              <w:top w:val="nil"/>
              <w:left w:val="nil"/>
              <w:bottom w:val="nil"/>
              <w:right w:val="nil"/>
            </w:tcBorders>
            <w:shd w:val="clear" w:color="auto" w:fill="auto"/>
            <w:noWrap/>
            <w:vAlign w:val="center"/>
          </w:tcPr>
          <w:p w14:paraId="7449302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0.993 </w:t>
            </w:r>
          </w:p>
        </w:tc>
        <w:tc>
          <w:tcPr>
            <w:tcW w:w="240" w:type="dxa"/>
            <w:tcBorders>
              <w:top w:val="nil"/>
              <w:left w:val="nil"/>
              <w:bottom w:val="nil"/>
              <w:right w:val="nil"/>
            </w:tcBorders>
            <w:shd w:val="clear" w:color="auto" w:fill="auto"/>
            <w:noWrap/>
            <w:vAlign w:val="center"/>
          </w:tcPr>
          <w:p w14:paraId="1580ACAE">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bottom w:val="nil"/>
              <w:right w:val="nil"/>
            </w:tcBorders>
            <w:shd w:val="clear" w:color="auto" w:fill="auto"/>
            <w:noWrap/>
            <w:vAlign w:val="center"/>
          </w:tcPr>
          <w:p w14:paraId="19611AF5">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1364.58 </w:t>
            </w:r>
          </w:p>
        </w:tc>
        <w:tc>
          <w:tcPr>
            <w:tcW w:w="840" w:type="dxa"/>
            <w:tcBorders>
              <w:top w:val="nil"/>
              <w:left w:val="nil"/>
              <w:bottom w:val="nil"/>
              <w:right w:val="nil"/>
            </w:tcBorders>
            <w:shd w:val="clear" w:color="auto" w:fill="auto"/>
            <w:noWrap/>
            <w:vAlign w:val="center"/>
          </w:tcPr>
          <w:p w14:paraId="20C6F63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1396.16 </w:t>
            </w:r>
          </w:p>
        </w:tc>
        <w:tc>
          <w:tcPr>
            <w:tcW w:w="735" w:type="dxa"/>
            <w:tcBorders>
              <w:top w:val="nil"/>
              <w:left w:val="nil"/>
              <w:bottom w:val="nil"/>
              <w:right w:val="nil"/>
            </w:tcBorders>
            <w:shd w:val="clear" w:color="auto" w:fill="auto"/>
            <w:noWrap/>
            <w:vAlign w:val="center"/>
          </w:tcPr>
          <w:p w14:paraId="1298B13F">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0.14 </w:t>
            </w:r>
          </w:p>
        </w:tc>
        <w:tc>
          <w:tcPr>
            <w:tcW w:w="1185" w:type="dxa"/>
            <w:tcBorders>
              <w:top w:val="nil"/>
              <w:left w:val="nil"/>
              <w:bottom w:val="nil"/>
              <w:right w:val="nil"/>
            </w:tcBorders>
            <w:shd w:val="clear" w:color="auto" w:fill="auto"/>
            <w:noWrap/>
            <w:vAlign w:val="center"/>
          </w:tcPr>
          <w:p w14:paraId="6439077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-4.10~4.91</w:t>
            </w:r>
          </w:p>
        </w:tc>
        <w:tc>
          <w:tcPr>
            <w:tcW w:w="782" w:type="dxa"/>
            <w:tcBorders>
              <w:top w:val="nil"/>
              <w:left w:val="nil"/>
              <w:bottom w:val="nil"/>
              <w:right w:val="nil"/>
            </w:tcBorders>
            <w:shd w:val="clear" w:color="auto" w:fill="auto"/>
            <w:noWrap/>
            <w:vAlign w:val="center"/>
          </w:tcPr>
          <w:p w14:paraId="01E5356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0.877 </w:t>
            </w:r>
          </w:p>
        </w:tc>
        <w:tc>
          <w:tcPr>
            <w:tcW w:w="222" w:type="dxa"/>
            <w:tcBorders>
              <w:top w:val="nil"/>
              <w:left w:val="nil"/>
              <w:bottom w:val="nil"/>
              <w:right w:val="nil"/>
            </w:tcBorders>
            <w:shd w:val="clear" w:color="auto" w:fill="auto"/>
            <w:noWrap/>
            <w:vAlign w:val="center"/>
          </w:tcPr>
          <w:p w14:paraId="25F2F867">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bottom w:val="nil"/>
              <w:right w:val="nil"/>
            </w:tcBorders>
            <w:shd w:val="clear" w:color="auto" w:fill="auto"/>
            <w:noWrap/>
            <w:vAlign w:val="center"/>
          </w:tcPr>
          <w:p w14:paraId="1DBCAA2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723.16 </w:t>
            </w:r>
          </w:p>
        </w:tc>
        <w:tc>
          <w:tcPr>
            <w:tcW w:w="735" w:type="dxa"/>
            <w:tcBorders>
              <w:top w:val="nil"/>
              <w:left w:val="nil"/>
              <w:bottom w:val="nil"/>
              <w:right w:val="nil"/>
            </w:tcBorders>
            <w:shd w:val="clear" w:color="auto" w:fill="auto"/>
            <w:noWrap/>
            <w:vAlign w:val="center"/>
          </w:tcPr>
          <w:p w14:paraId="66AB4717">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644.00 </w:t>
            </w:r>
          </w:p>
        </w:tc>
        <w:tc>
          <w:tcPr>
            <w:tcW w:w="765" w:type="dxa"/>
            <w:tcBorders>
              <w:top w:val="nil"/>
              <w:left w:val="nil"/>
              <w:bottom w:val="nil"/>
              <w:right w:val="nil"/>
            </w:tcBorders>
            <w:shd w:val="clear" w:color="auto" w:fill="auto"/>
            <w:noWrap/>
            <w:vAlign w:val="center"/>
          </w:tcPr>
          <w:p w14:paraId="6551AA88">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-1.04 </w:t>
            </w:r>
          </w:p>
        </w:tc>
        <w:tc>
          <w:tcPr>
            <w:tcW w:w="1230" w:type="dxa"/>
            <w:tcBorders>
              <w:top w:val="nil"/>
              <w:left w:val="nil"/>
              <w:bottom w:val="nil"/>
              <w:right w:val="nil"/>
            </w:tcBorders>
            <w:shd w:val="clear" w:color="auto" w:fill="auto"/>
            <w:noWrap/>
            <w:vAlign w:val="center"/>
          </w:tcPr>
          <w:p w14:paraId="663F530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-6.90~5.49</w:t>
            </w:r>
          </w:p>
        </w:tc>
        <w:tc>
          <w:tcPr>
            <w:tcW w:w="690" w:type="dxa"/>
            <w:tcBorders>
              <w:top w:val="nil"/>
              <w:left w:val="nil"/>
              <w:bottom w:val="nil"/>
              <w:right w:val="nil"/>
            </w:tcBorders>
            <w:shd w:val="clear" w:color="auto" w:fill="auto"/>
            <w:noWrap/>
            <w:vAlign w:val="center"/>
          </w:tcPr>
          <w:p w14:paraId="320783B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0.706 </w:t>
            </w:r>
          </w:p>
        </w:tc>
      </w:tr>
      <w:tr w14:paraId="6D086DC7">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90" w:type="dxa"/>
            <w:tcBorders>
              <w:top w:val="nil"/>
              <w:left w:val="nil"/>
              <w:right w:val="nil"/>
            </w:tcBorders>
            <w:shd w:val="clear" w:color="auto" w:fill="auto"/>
            <w:noWrap/>
            <w:vAlign w:val="center"/>
          </w:tcPr>
          <w:p w14:paraId="7A80BB9D">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85+</w:t>
            </w:r>
          </w:p>
        </w:tc>
        <w:tc>
          <w:tcPr>
            <w:tcW w:w="825" w:type="dxa"/>
            <w:tcBorders>
              <w:top w:val="nil"/>
              <w:left w:val="nil"/>
              <w:right w:val="nil"/>
            </w:tcBorders>
            <w:shd w:val="clear" w:color="auto" w:fill="auto"/>
            <w:noWrap/>
            <w:vAlign w:val="center"/>
          </w:tcPr>
          <w:p w14:paraId="33C856C0">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957.80 </w:t>
            </w:r>
          </w:p>
        </w:tc>
        <w:tc>
          <w:tcPr>
            <w:tcW w:w="810" w:type="dxa"/>
            <w:tcBorders>
              <w:top w:val="nil"/>
              <w:left w:val="nil"/>
              <w:right w:val="nil"/>
            </w:tcBorders>
            <w:shd w:val="clear" w:color="auto" w:fill="auto"/>
            <w:noWrap/>
            <w:vAlign w:val="center"/>
          </w:tcPr>
          <w:p w14:paraId="5795A46C">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928.25 </w:t>
            </w:r>
          </w:p>
        </w:tc>
        <w:tc>
          <w:tcPr>
            <w:tcW w:w="675" w:type="dxa"/>
            <w:tcBorders>
              <w:top w:val="nil"/>
              <w:left w:val="nil"/>
              <w:right w:val="nil"/>
            </w:tcBorders>
            <w:shd w:val="clear" w:color="auto" w:fill="auto"/>
            <w:noWrap/>
            <w:vAlign w:val="center"/>
          </w:tcPr>
          <w:p w14:paraId="179EAF9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-2.20 </w:t>
            </w:r>
          </w:p>
        </w:tc>
        <w:tc>
          <w:tcPr>
            <w:tcW w:w="1185" w:type="dxa"/>
            <w:tcBorders>
              <w:top w:val="nil"/>
              <w:left w:val="nil"/>
              <w:right w:val="nil"/>
            </w:tcBorders>
            <w:shd w:val="clear" w:color="auto" w:fill="auto"/>
            <w:noWrap/>
            <w:vAlign w:val="center"/>
          </w:tcPr>
          <w:p w14:paraId="353A1DE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-8.83~4.73</w:t>
            </w:r>
          </w:p>
        </w:tc>
        <w:tc>
          <w:tcPr>
            <w:tcW w:w="780" w:type="dxa"/>
            <w:tcBorders>
              <w:top w:val="nil"/>
              <w:left w:val="nil"/>
              <w:right w:val="nil"/>
            </w:tcBorders>
            <w:shd w:val="clear" w:color="auto" w:fill="auto"/>
            <w:noWrap/>
            <w:vAlign w:val="center"/>
          </w:tcPr>
          <w:p w14:paraId="7274545A">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0.550 </w:t>
            </w:r>
          </w:p>
        </w:tc>
        <w:tc>
          <w:tcPr>
            <w:tcW w:w="240" w:type="dxa"/>
            <w:tcBorders>
              <w:top w:val="nil"/>
              <w:left w:val="nil"/>
              <w:right w:val="nil"/>
            </w:tcBorders>
            <w:shd w:val="clear" w:color="auto" w:fill="auto"/>
            <w:noWrap/>
            <w:vAlign w:val="center"/>
          </w:tcPr>
          <w:p w14:paraId="54930808">
            <w:pPr>
              <w:jc w:val="center"/>
              <w:rPr>
                <w:rFonts w:hint="default" w:ascii="Times New Roman" w:hAnsi="Times New Roman" w:eastAsia="宋体" w:cs="Times New Roman"/>
                <w:i w:val="0"/>
                <w:iCs w:val="0"/>
                <w:color w:val="231F20"/>
                <w:sz w:val="18"/>
                <w:szCs w:val="18"/>
                <w:highlight w:val="none"/>
                <w:u w:val="none"/>
              </w:rPr>
            </w:pPr>
          </w:p>
        </w:tc>
        <w:tc>
          <w:tcPr>
            <w:tcW w:w="855" w:type="dxa"/>
            <w:tcBorders>
              <w:top w:val="nil"/>
              <w:left w:val="nil"/>
              <w:right w:val="nil"/>
            </w:tcBorders>
            <w:shd w:val="clear" w:color="auto" w:fill="auto"/>
            <w:noWrap/>
            <w:vAlign w:val="center"/>
          </w:tcPr>
          <w:p w14:paraId="67473B3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1217.09 </w:t>
            </w:r>
          </w:p>
        </w:tc>
        <w:tc>
          <w:tcPr>
            <w:tcW w:w="840" w:type="dxa"/>
            <w:tcBorders>
              <w:top w:val="nil"/>
              <w:left w:val="nil"/>
              <w:right w:val="nil"/>
            </w:tcBorders>
            <w:shd w:val="clear" w:color="auto" w:fill="auto"/>
            <w:noWrap/>
            <w:vAlign w:val="center"/>
          </w:tcPr>
          <w:p w14:paraId="6FE875B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1310.78 </w:t>
            </w:r>
          </w:p>
        </w:tc>
        <w:tc>
          <w:tcPr>
            <w:tcW w:w="735" w:type="dxa"/>
            <w:tcBorders>
              <w:top w:val="nil"/>
              <w:left w:val="nil"/>
              <w:right w:val="nil"/>
            </w:tcBorders>
            <w:shd w:val="clear" w:color="auto" w:fill="auto"/>
            <w:noWrap/>
            <w:vAlign w:val="center"/>
          </w:tcPr>
          <w:p w14:paraId="5E68B8F1">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-0.18 </w:t>
            </w:r>
          </w:p>
        </w:tc>
        <w:tc>
          <w:tcPr>
            <w:tcW w:w="1185" w:type="dxa"/>
            <w:tcBorders>
              <w:top w:val="nil"/>
              <w:left w:val="nil"/>
              <w:right w:val="nil"/>
            </w:tcBorders>
            <w:shd w:val="clear" w:color="auto" w:fill="auto"/>
            <w:noWrap/>
            <w:vAlign w:val="center"/>
          </w:tcPr>
          <w:p w14:paraId="697328CE">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-7.40~8.15</w:t>
            </w:r>
          </w:p>
        </w:tc>
        <w:tc>
          <w:tcPr>
            <w:tcW w:w="782" w:type="dxa"/>
            <w:tcBorders>
              <w:top w:val="nil"/>
              <w:left w:val="nil"/>
              <w:right w:val="nil"/>
            </w:tcBorders>
            <w:shd w:val="clear" w:color="auto" w:fill="auto"/>
            <w:noWrap/>
            <w:vAlign w:val="center"/>
          </w:tcPr>
          <w:p w14:paraId="4D38F519">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0.993 </w:t>
            </w:r>
          </w:p>
        </w:tc>
        <w:tc>
          <w:tcPr>
            <w:tcW w:w="222" w:type="dxa"/>
            <w:tcBorders>
              <w:top w:val="nil"/>
              <w:left w:val="nil"/>
              <w:right w:val="nil"/>
            </w:tcBorders>
            <w:shd w:val="clear" w:color="auto" w:fill="auto"/>
            <w:noWrap/>
            <w:vAlign w:val="center"/>
          </w:tcPr>
          <w:p w14:paraId="60C5B373">
            <w:pPr>
              <w:jc w:val="center"/>
              <w:rPr>
                <w:rFonts w:hint="default" w:ascii="Times New Roman" w:hAnsi="Times New Roman" w:eastAsia="宋体" w:cs="Times New Roman"/>
                <w:i w:val="0"/>
                <w:iCs w:val="0"/>
                <w:color w:val="231F20"/>
                <w:sz w:val="18"/>
                <w:szCs w:val="18"/>
                <w:highlight w:val="none"/>
                <w:u w:val="none"/>
              </w:rPr>
            </w:pPr>
          </w:p>
        </w:tc>
        <w:tc>
          <w:tcPr>
            <w:tcW w:w="841" w:type="dxa"/>
            <w:tcBorders>
              <w:top w:val="nil"/>
              <w:left w:val="nil"/>
              <w:right w:val="nil"/>
            </w:tcBorders>
            <w:shd w:val="clear" w:color="auto" w:fill="auto"/>
            <w:noWrap/>
            <w:vAlign w:val="center"/>
          </w:tcPr>
          <w:p w14:paraId="68E5126B">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782.47 </w:t>
            </w:r>
          </w:p>
        </w:tc>
        <w:tc>
          <w:tcPr>
            <w:tcW w:w="735" w:type="dxa"/>
            <w:tcBorders>
              <w:top w:val="nil"/>
              <w:left w:val="nil"/>
              <w:right w:val="nil"/>
            </w:tcBorders>
            <w:shd w:val="clear" w:color="auto" w:fill="auto"/>
            <w:noWrap/>
            <w:vAlign w:val="center"/>
          </w:tcPr>
          <w:p w14:paraId="465061B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673.75 </w:t>
            </w:r>
          </w:p>
        </w:tc>
        <w:tc>
          <w:tcPr>
            <w:tcW w:w="765" w:type="dxa"/>
            <w:tcBorders>
              <w:top w:val="nil"/>
              <w:left w:val="nil"/>
              <w:right w:val="nil"/>
            </w:tcBorders>
            <w:shd w:val="clear" w:color="auto" w:fill="auto"/>
            <w:noWrap/>
            <w:vAlign w:val="center"/>
          </w:tcPr>
          <w:p w14:paraId="78FCA3A3">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-4.56 </w:t>
            </w:r>
          </w:p>
        </w:tc>
        <w:tc>
          <w:tcPr>
            <w:tcW w:w="1230" w:type="dxa"/>
            <w:tcBorders>
              <w:top w:val="nil"/>
              <w:left w:val="nil"/>
              <w:right w:val="nil"/>
            </w:tcBorders>
            <w:shd w:val="clear" w:color="auto" w:fill="auto"/>
            <w:noWrap/>
            <w:vAlign w:val="center"/>
          </w:tcPr>
          <w:p w14:paraId="625F1A44">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-11.69~2.72</w:t>
            </w:r>
          </w:p>
        </w:tc>
        <w:tc>
          <w:tcPr>
            <w:tcW w:w="690" w:type="dxa"/>
            <w:tcBorders>
              <w:top w:val="nil"/>
              <w:left w:val="nil"/>
              <w:right w:val="nil"/>
            </w:tcBorders>
            <w:shd w:val="clear" w:color="auto" w:fill="auto"/>
            <w:noWrap/>
            <w:vAlign w:val="center"/>
          </w:tcPr>
          <w:p w14:paraId="0EE4B842">
            <w:pPr>
              <w:keepNext w:val="0"/>
              <w:keepLines w:val="0"/>
              <w:widowControl/>
              <w:suppressLineNumbers w:val="0"/>
              <w:jc w:val="center"/>
              <w:textAlignment w:val="center"/>
              <w:rPr>
                <w:rFonts w:hint="default" w:ascii="Times New Roman" w:hAnsi="Times New Roman" w:eastAsia="宋体" w:cs="Times New Roman"/>
                <w:i w:val="0"/>
                <w:iCs w:val="0"/>
                <w:color w:val="231F20"/>
                <w:sz w:val="18"/>
                <w:szCs w:val="18"/>
                <w:highlight w:val="none"/>
                <w:u w:val="none"/>
              </w:rPr>
            </w:pPr>
            <w:r>
              <w:rPr>
                <w:rFonts w:hint="default" w:ascii="Times New Roman" w:hAnsi="Times New Roman" w:eastAsia="宋体" w:cs="Times New Roman"/>
                <w:i w:val="0"/>
                <w:iCs w:val="0"/>
                <w:color w:val="231F20"/>
                <w:kern w:val="0"/>
                <w:sz w:val="18"/>
                <w:szCs w:val="18"/>
                <w:highlight w:val="none"/>
                <w:u w:val="none"/>
                <w:lang w:val="en-US" w:eastAsia="zh-CN" w:bidi="ar"/>
              </w:rPr>
              <w:t xml:space="preserve">0.226 </w:t>
            </w:r>
          </w:p>
        </w:tc>
      </w:tr>
    </w:tbl>
    <w:p w14:paraId="233F6B04">
      <w:pPr>
        <w:spacing w:line="240" w:lineRule="auto"/>
        <w:jc w:val="left"/>
        <w:rPr>
          <w:rFonts w:hint="eastAsia" w:ascii="Times New Roman" w:hAnsi="Times New Roman" w:cs="Times New Roman" w:eastAsiaTheme="minorEastAsia"/>
          <w:sz w:val="24"/>
          <w:highlight w:val="none"/>
          <w:lang w:val="en-US" w:eastAsia="zh-CN"/>
        </w:rPr>
      </w:pPr>
      <w:r>
        <w:rPr>
          <w:rFonts w:ascii="Times New Roman" w:hAnsi="Times New Roman" w:cs="Times New Roman"/>
          <w:sz w:val="16"/>
          <w:szCs w:val="16"/>
          <w:highlight w:val="none"/>
        </w:rPr>
        <w:t>Note: Due to the low incidence and mortality rates in the population under 20 years of age, the 0</w:t>
      </w:r>
      <w:r>
        <w:rPr>
          <w:rFonts w:hint="eastAsia" w:ascii="Times New Roman" w:hAnsi="Times New Roman" w:cs="Times New Roman"/>
          <w:sz w:val="16"/>
          <w:szCs w:val="16"/>
          <w:highlight w:val="none"/>
          <w:lang w:val="en-US" w:eastAsia="zh-CN"/>
        </w:rPr>
        <w:t>~</w:t>
      </w:r>
      <w:r>
        <w:rPr>
          <w:rFonts w:ascii="Times New Roman" w:hAnsi="Times New Roman" w:cs="Times New Roman"/>
          <w:sz w:val="16"/>
          <w:szCs w:val="16"/>
          <w:highlight w:val="none"/>
        </w:rPr>
        <w:t>19 age group was combined into a single category for analysis</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rPr>
        <w:t>AAPC</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lang w:eastAsia="zh-CN"/>
        </w:rPr>
        <w:t>average annual percentage change</w:t>
      </w:r>
      <w:r>
        <w:rPr>
          <w:rFonts w:hint="eastAsia" w:ascii="Times New Roman" w:hAnsi="Times New Roman" w:cs="Times New Roman"/>
          <w:sz w:val="16"/>
          <w:szCs w:val="16"/>
          <w:highlight w:val="none"/>
        </w:rPr>
        <w:t>.</w:t>
      </w:r>
    </w:p>
    <w:p w14:paraId="1918AFE9">
      <w:pPr>
        <w:rPr>
          <w:rFonts w:ascii="Times New Roman" w:hAnsi="Times New Roman" w:cs="Times New Roman"/>
          <w:b/>
          <w:bCs/>
          <w:sz w:val="28"/>
          <w:szCs w:val="28"/>
          <w:highlight w:val="none"/>
        </w:rPr>
      </w:pPr>
    </w:p>
    <w:p w14:paraId="34D01210">
      <w:pPr>
        <w:rPr>
          <w:rFonts w:ascii="Times New Roman" w:hAnsi="Times New Roman" w:cs="Times New Roman"/>
          <w:b/>
          <w:bCs/>
          <w:sz w:val="28"/>
          <w:szCs w:val="28"/>
          <w:highlight w:val="none"/>
        </w:rPr>
      </w:pPr>
      <w:r>
        <w:rPr>
          <w:rFonts w:ascii="Times New Roman" w:hAnsi="Times New Roman" w:cs="Times New Roman"/>
          <w:b/>
          <w:bCs/>
          <w:sz w:val="28"/>
          <w:szCs w:val="28"/>
          <w:highlight w:val="none"/>
        </w:rPr>
        <w:br w:type="page"/>
      </w:r>
    </w:p>
    <w:p w14:paraId="7066878B">
      <w:pPr>
        <w:rPr>
          <w:rFonts w:ascii="Times New Roman" w:hAnsi="Times New Roman" w:cs="Times New Roman"/>
          <w:b/>
          <w:bCs/>
          <w:sz w:val="28"/>
          <w:szCs w:val="28"/>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0" w:num="1"/>
          <w:titlePg/>
          <w:rtlGutter w:val="0"/>
          <w:docGrid w:type="lines" w:linePitch="319" w:charSpace="0"/>
        </w:sectPr>
      </w:pPr>
    </w:p>
    <w:p w14:paraId="2F563725">
      <w:pPr>
        <w:rPr>
          <w:rFonts w:ascii="Times New Roman" w:hAnsi="Times New Roman" w:cs="Times New Roman"/>
          <w:b/>
          <w:bCs/>
          <w:sz w:val="28"/>
          <w:szCs w:val="28"/>
          <w:highlight w:val="none"/>
        </w:rPr>
      </w:pPr>
      <w:r>
        <w:rPr>
          <w:rFonts w:ascii="Times New Roman" w:hAnsi="Times New Roman" w:cs="Times New Roman"/>
          <w:b/>
          <w:bCs/>
          <w:sz w:val="28"/>
          <w:szCs w:val="28"/>
          <w:highlight w:val="none"/>
        </w:rPr>
        <w:t>2.</w:t>
      </w:r>
      <w:r>
        <w:rPr>
          <w:rFonts w:hint="eastAsia" w:ascii="Times New Roman" w:hAnsi="Times New Roman" w:cs="Times New Roman"/>
          <w:b/>
          <w:bCs/>
          <w:sz w:val="28"/>
          <w:szCs w:val="28"/>
          <w:highlight w:val="none"/>
          <w:lang w:val="en-US" w:eastAsia="zh-CN"/>
        </w:rPr>
        <w:t>5</w:t>
      </w:r>
      <w:r>
        <w:rPr>
          <w:rFonts w:ascii="Times New Roman" w:hAnsi="Times New Roman" w:cs="Times New Roman"/>
          <w:b/>
          <w:bCs/>
          <w:sz w:val="28"/>
          <w:szCs w:val="28"/>
          <w:highlight w:val="none"/>
        </w:rPr>
        <w:t>恶性肿瘤发病</w:t>
      </w:r>
      <w:r>
        <w:rPr>
          <w:rFonts w:hint="eastAsia" w:ascii="Times New Roman" w:hAnsi="Times New Roman" w:cs="Times New Roman"/>
          <w:b/>
          <w:bCs/>
          <w:sz w:val="28"/>
          <w:szCs w:val="28"/>
          <w:highlight w:val="none"/>
          <w:lang w:val="en-US" w:eastAsia="zh-CN"/>
        </w:rPr>
        <w:t>和</w:t>
      </w:r>
      <w:r>
        <w:rPr>
          <w:rFonts w:ascii="Times New Roman" w:hAnsi="Times New Roman" w:cs="Times New Roman"/>
          <w:b/>
          <w:bCs/>
          <w:sz w:val="28"/>
          <w:szCs w:val="28"/>
          <w:highlight w:val="none"/>
        </w:rPr>
        <w:t>死亡顺位</w:t>
      </w:r>
    </w:p>
    <w:p w14:paraId="019E2F0C">
      <w:pPr>
        <w:ind w:firstLine="560" w:firstLineChars="200"/>
        <w:rPr>
          <w:rFonts w:hint="eastAsia" w:ascii="Times New Roman" w:hAnsi="Times New Roman" w:cs="Times New Roman"/>
          <w:sz w:val="28"/>
          <w:szCs w:val="28"/>
          <w:highlight w:val="none"/>
          <w:lang w:eastAsia="zh-CN"/>
        </w:rPr>
      </w:pPr>
      <w:r>
        <w:rPr>
          <w:rFonts w:hint="eastAsia" w:ascii="Times New Roman" w:hAnsi="Times New Roman" w:cs="Times New Roman"/>
          <w:sz w:val="28"/>
          <w:szCs w:val="28"/>
          <w:highlight w:val="none"/>
          <w:lang w:eastAsia="zh-CN"/>
        </w:rPr>
        <w:t>2018—2023遂宁市全人群恶性肿瘤粗发病率前五位为肺癌（70.22/10万）、胃癌（38.97/10万）、肝癌（33.22/10万）、食管癌（32.67/10万）和乳腺癌（27.04/10万），粗发病率前十</w:t>
      </w:r>
      <w:r>
        <w:rPr>
          <w:rFonts w:hint="eastAsia" w:ascii="Times New Roman" w:hAnsi="Times New Roman" w:cs="Times New Roman"/>
          <w:sz w:val="28"/>
          <w:szCs w:val="28"/>
          <w:highlight w:val="none"/>
          <w:lang w:val="en-US" w:eastAsia="zh-CN"/>
        </w:rPr>
        <w:t>恶性肿瘤</w:t>
      </w:r>
      <w:r>
        <w:rPr>
          <w:rFonts w:hint="eastAsia" w:ascii="Times New Roman" w:hAnsi="Times New Roman" w:cs="Times New Roman"/>
          <w:sz w:val="28"/>
          <w:szCs w:val="28"/>
          <w:highlight w:val="none"/>
          <w:lang w:eastAsia="zh-CN"/>
        </w:rPr>
        <w:t>占所有恶性肿瘤的79.30%。男性粗发病率前五位为肺癌（92.91/10万）、胃癌（54.81/10万）、肝癌（48.62/10万）、食管癌（44.78/10万）和结直肠癌（28.51/10万），粗发病率前十</w:t>
      </w:r>
      <w:r>
        <w:rPr>
          <w:rFonts w:hint="eastAsia" w:ascii="Times New Roman" w:hAnsi="Times New Roman" w:cs="Times New Roman"/>
          <w:sz w:val="28"/>
          <w:szCs w:val="28"/>
          <w:highlight w:val="none"/>
          <w:lang w:val="en-US" w:eastAsia="zh-CN"/>
        </w:rPr>
        <w:t>恶性肿瘤</w:t>
      </w:r>
      <w:r>
        <w:rPr>
          <w:rFonts w:hint="eastAsia" w:ascii="Times New Roman" w:hAnsi="Times New Roman" w:cs="Times New Roman"/>
          <w:sz w:val="28"/>
          <w:szCs w:val="28"/>
          <w:highlight w:val="none"/>
          <w:lang w:eastAsia="zh-CN"/>
        </w:rPr>
        <w:t>占所有恶性肿瘤的88.10%。女性粗发病率前五位</w:t>
      </w:r>
      <w:r>
        <w:rPr>
          <w:rFonts w:hint="eastAsia" w:ascii="Times New Roman" w:hAnsi="Times New Roman" w:cs="Times New Roman"/>
          <w:sz w:val="28"/>
          <w:szCs w:val="28"/>
          <w:highlight w:val="none"/>
          <w:lang w:val="en-US" w:eastAsia="zh-CN"/>
        </w:rPr>
        <w:t>为</w:t>
      </w:r>
      <w:r>
        <w:rPr>
          <w:rFonts w:hint="eastAsia" w:ascii="Times New Roman" w:hAnsi="Times New Roman" w:cs="Times New Roman"/>
          <w:sz w:val="28"/>
          <w:szCs w:val="28"/>
          <w:highlight w:val="none"/>
          <w:lang w:eastAsia="zh-CN"/>
        </w:rPr>
        <w:t>肺癌（45.88/10万）、乳腺癌（27.04/10万）、胃癌（21.97/10万）、结直肠癌（20.49/10万）和食管癌（19.67/10万），粗发病率前十</w:t>
      </w:r>
      <w:r>
        <w:rPr>
          <w:rFonts w:hint="eastAsia" w:ascii="Times New Roman" w:hAnsi="Times New Roman" w:cs="Times New Roman"/>
          <w:sz w:val="28"/>
          <w:szCs w:val="28"/>
          <w:highlight w:val="none"/>
          <w:lang w:val="en-US" w:eastAsia="zh-CN"/>
        </w:rPr>
        <w:t>恶性肿瘤</w:t>
      </w:r>
      <w:r>
        <w:rPr>
          <w:rFonts w:hint="eastAsia" w:ascii="Times New Roman" w:hAnsi="Times New Roman" w:cs="Times New Roman"/>
          <w:sz w:val="28"/>
          <w:szCs w:val="28"/>
          <w:highlight w:val="none"/>
          <w:lang w:eastAsia="zh-CN"/>
        </w:rPr>
        <w:t xml:space="preserve">占所有恶性肿瘤的80.27%（Table </w:t>
      </w:r>
      <w:r>
        <w:rPr>
          <w:rFonts w:hint="eastAsia" w:ascii="Times New Roman" w:hAnsi="Times New Roman" w:cs="Times New Roman"/>
          <w:sz w:val="28"/>
          <w:szCs w:val="28"/>
          <w:highlight w:val="none"/>
          <w:lang w:val="en-US" w:eastAsia="zh-CN"/>
        </w:rPr>
        <w:t>6</w:t>
      </w:r>
      <w:r>
        <w:rPr>
          <w:rFonts w:hint="eastAsia" w:ascii="Times New Roman" w:hAnsi="Times New Roman" w:cs="Times New Roman"/>
          <w:sz w:val="28"/>
          <w:szCs w:val="28"/>
          <w:highlight w:val="none"/>
          <w:lang w:eastAsia="zh-CN"/>
        </w:rPr>
        <w:t>）。</w:t>
      </w:r>
    </w:p>
    <w:p w14:paraId="2A770807">
      <w:pPr>
        <w:spacing w:line="360" w:lineRule="auto"/>
        <w:jc w:val="center"/>
        <w:rPr>
          <w:rFonts w:ascii="Times New Roman" w:hAnsi="Times New Roman" w:cs="Times New Roman"/>
          <w:highlight w:val="none"/>
        </w:rPr>
      </w:pPr>
      <w:r>
        <w:rPr>
          <w:rFonts w:ascii="Times New Roman" w:hAnsi="Times New Roman" w:eastAsia="宋体" w:cs="Times New Roman"/>
          <w:sz w:val="24"/>
          <w:highlight w:val="none"/>
        </w:rPr>
        <w:t xml:space="preserve">Table </w:t>
      </w:r>
      <w:r>
        <w:rPr>
          <w:rFonts w:hint="eastAsia" w:ascii="Times New Roman" w:hAnsi="Times New Roman" w:eastAsia="宋体" w:cs="Times New Roman"/>
          <w:sz w:val="24"/>
          <w:highlight w:val="none"/>
          <w:lang w:val="en-US" w:eastAsia="zh-CN"/>
        </w:rPr>
        <w:t>6</w:t>
      </w:r>
      <w:r>
        <w:rPr>
          <w:rFonts w:ascii="Times New Roman" w:hAnsi="Times New Roman" w:eastAsia="宋体" w:cs="Times New Roman"/>
          <w:sz w:val="24"/>
          <w:highlight w:val="none"/>
        </w:rPr>
        <w:t xml:space="preserve"> Incidence rank of malignant neoplasms in </w:t>
      </w:r>
      <w:r>
        <w:rPr>
          <w:rFonts w:ascii="Times New Roman" w:hAnsi="Times New Roman" w:cs="Times New Roman"/>
          <w:sz w:val="24"/>
          <w:highlight w:val="none"/>
        </w:rPr>
        <w:t>Suining from 2018 to 2023</w:t>
      </w:r>
    </w:p>
    <w:tbl>
      <w:tblPr>
        <w:tblStyle w:val="7"/>
        <w:tblW w:w="6287"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0"/>
        <w:gridCol w:w="1125"/>
        <w:gridCol w:w="1005"/>
        <w:gridCol w:w="992"/>
        <w:gridCol w:w="240"/>
        <w:gridCol w:w="1240"/>
        <w:gridCol w:w="978"/>
        <w:gridCol w:w="1005"/>
        <w:gridCol w:w="240"/>
        <w:gridCol w:w="1140"/>
        <w:gridCol w:w="1005"/>
        <w:gridCol w:w="1049"/>
      </w:tblGrid>
      <w:tr w14:paraId="433FF5C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322" w:type="pct"/>
            <w:vMerge w:val="restart"/>
            <w:tcBorders>
              <w:tl2br w:val="nil"/>
              <w:tr2bl w:val="nil"/>
            </w:tcBorders>
            <w:noWrap/>
            <w:vAlign w:val="center"/>
          </w:tcPr>
          <w:p w14:paraId="5EC2F1B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Order</w:t>
            </w:r>
          </w:p>
        </w:tc>
        <w:tc>
          <w:tcPr>
            <w:tcW w:w="1457" w:type="pct"/>
            <w:gridSpan w:val="3"/>
            <w:tcBorders>
              <w:bottom w:val="single" w:color="000000" w:sz="6" w:space="0"/>
              <w:tl2br w:val="nil"/>
              <w:tr2bl w:val="nil"/>
            </w:tcBorders>
            <w:noWrap/>
            <w:vAlign w:val="center"/>
          </w:tcPr>
          <w:p w14:paraId="31FE83F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Both</w:t>
            </w:r>
          </w:p>
        </w:tc>
        <w:tc>
          <w:tcPr>
            <w:tcW w:w="112" w:type="pct"/>
            <w:tcBorders>
              <w:tl2br w:val="nil"/>
              <w:tr2bl w:val="nil"/>
            </w:tcBorders>
            <w:noWrap/>
            <w:vAlign w:val="center"/>
          </w:tcPr>
          <w:p w14:paraId="540B9B0D">
            <w:pPr>
              <w:widowControl/>
              <w:jc w:val="center"/>
              <w:textAlignment w:val="center"/>
              <w:rPr>
                <w:rFonts w:ascii="Times New Roman" w:hAnsi="Times New Roman" w:eastAsia="ZLKHBM-18" w:cs="Times New Roman"/>
                <w:color w:val="231F20"/>
                <w:kern w:val="0"/>
                <w:sz w:val="18"/>
                <w:szCs w:val="18"/>
                <w:highlight w:val="none"/>
                <w:lang w:bidi="ar"/>
              </w:rPr>
            </w:pPr>
          </w:p>
        </w:tc>
        <w:tc>
          <w:tcPr>
            <w:tcW w:w="1504" w:type="pct"/>
            <w:gridSpan w:val="3"/>
            <w:tcBorders>
              <w:bottom w:val="single" w:color="000000" w:sz="6" w:space="0"/>
              <w:tl2br w:val="nil"/>
              <w:tr2bl w:val="nil"/>
            </w:tcBorders>
            <w:noWrap/>
            <w:vAlign w:val="center"/>
          </w:tcPr>
          <w:p w14:paraId="159D6DED">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Male</w:t>
            </w:r>
          </w:p>
        </w:tc>
        <w:tc>
          <w:tcPr>
            <w:tcW w:w="112" w:type="pct"/>
            <w:tcBorders>
              <w:tl2br w:val="nil"/>
              <w:tr2bl w:val="nil"/>
            </w:tcBorders>
            <w:noWrap/>
            <w:vAlign w:val="center"/>
          </w:tcPr>
          <w:p w14:paraId="2AC3D202">
            <w:pPr>
              <w:widowControl/>
              <w:jc w:val="center"/>
              <w:textAlignment w:val="center"/>
              <w:rPr>
                <w:rFonts w:ascii="Times New Roman" w:hAnsi="Times New Roman" w:eastAsia="ZLKHBM-18" w:cs="Times New Roman"/>
                <w:color w:val="231F20"/>
                <w:kern w:val="0"/>
                <w:sz w:val="18"/>
                <w:szCs w:val="18"/>
                <w:highlight w:val="none"/>
                <w:lang w:bidi="ar"/>
              </w:rPr>
            </w:pPr>
          </w:p>
        </w:tc>
        <w:tc>
          <w:tcPr>
            <w:tcW w:w="1491" w:type="pct"/>
            <w:gridSpan w:val="3"/>
            <w:tcBorders>
              <w:bottom w:val="single" w:color="000000" w:sz="6" w:space="0"/>
              <w:tl2br w:val="nil"/>
              <w:tr2bl w:val="nil"/>
            </w:tcBorders>
            <w:noWrap/>
            <w:vAlign w:val="center"/>
          </w:tcPr>
          <w:p w14:paraId="6F510EB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Female</w:t>
            </w:r>
          </w:p>
        </w:tc>
      </w:tr>
      <w:tr w14:paraId="50A4727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jc w:val="center"/>
        </w:trPr>
        <w:tc>
          <w:tcPr>
            <w:tcW w:w="322" w:type="pct"/>
            <w:vMerge w:val="continue"/>
            <w:tcBorders>
              <w:bottom w:val="single" w:color="auto" w:sz="6" w:space="0"/>
              <w:tl2br w:val="nil"/>
              <w:tr2bl w:val="nil"/>
            </w:tcBorders>
            <w:noWrap/>
            <w:vAlign w:val="center"/>
          </w:tcPr>
          <w:p w14:paraId="3D2D036A">
            <w:pPr>
              <w:widowControl/>
              <w:jc w:val="center"/>
              <w:textAlignment w:val="center"/>
              <w:rPr>
                <w:rFonts w:ascii="Times New Roman" w:hAnsi="Times New Roman" w:eastAsia="ZLKHBM-18" w:cs="Times New Roman"/>
                <w:color w:val="231F20"/>
                <w:kern w:val="0"/>
                <w:sz w:val="18"/>
                <w:szCs w:val="18"/>
                <w:highlight w:val="none"/>
                <w:lang w:bidi="ar"/>
              </w:rPr>
            </w:pPr>
          </w:p>
        </w:tc>
        <w:tc>
          <w:tcPr>
            <w:tcW w:w="525" w:type="pct"/>
            <w:tcBorders>
              <w:top w:val="single" w:color="000000" w:sz="6" w:space="0"/>
              <w:bottom w:val="single" w:color="auto" w:sz="6" w:space="0"/>
              <w:tl2br w:val="nil"/>
              <w:tr2bl w:val="nil"/>
            </w:tcBorders>
            <w:noWrap/>
            <w:vAlign w:val="center"/>
          </w:tcPr>
          <w:p w14:paraId="781E239D">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Site</w:t>
            </w:r>
          </w:p>
        </w:tc>
        <w:tc>
          <w:tcPr>
            <w:tcW w:w="469" w:type="pct"/>
            <w:tcBorders>
              <w:top w:val="single" w:color="000000" w:sz="6" w:space="0"/>
              <w:bottom w:val="single" w:color="auto" w:sz="6" w:space="0"/>
              <w:tl2br w:val="nil"/>
              <w:tr2bl w:val="nil"/>
            </w:tcBorders>
            <w:noWrap/>
            <w:vAlign w:val="center"/>
          </w:tcPr>
          <w:p w14:paraId="4FD6104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Crude rate</w:t>
            </w:r>
            <w:r>
              <w:rPr>
                <w:rFonts w:hint="eastAsia" w:ascii="宋体" w:hAnsi="宋体" w:eastAsia="宋体" w:cs="宋体"/>
                <w:color w:val="231F20"/>
                <w:kern w:val="0"/>
                <w:sz w:val="18"/>
                <w:szCs w:val="18"/>
                <w:highlight w:val="none"/>
                <w:lang w:bidi="ar"/>
              </w:rPr>
              <w:t>（</w:t>
            </w:r>
            <w:r>
              <w:rPr>
                <w:rFonts w:ascii="Times New Roman" w:hAnsi="Times New Roman" w:eastAsia="ZLKHBM-18" w:cs="Times New Roman"/>
                <w:color w:val="231F20"/>
                <w:kern w:val="0"/>
                <w:sz w:val="18"/>
                <w:szCs w:val="18"/>
                <w:highlight w:val="none"/>
                <w:lang w:bidi="ar"/>
              </w:rPr>
              <w:t>1/10</w:t>
            </w:r>
            <w:r>
              <w:rPr>
                <w:rFonts w:ascii="Times New Roman" w:hAnsi="Times New Roman" w:eastAsia="ZLKHBM-18" w:cs="Times New Roman"/>
                <w:color w:val="231F20"/>
                <w:kern w:val="0"/>
                <w:sz w:val="18"/>
                <w:szCs w:val="18"/>
                <w:highlight w:val="none"/>
                <w:vertAlign w:val="superscript"/>
                <w:lang w:bidi="ar"/>
              </w:rPr>
              <w:t>5</w:t>
            </w:r>
            <w:r>
              <w:rPr>
                <w:rFonts w:hint="eastAsia" w:ascii="宋体" w:hAnsi="宋体" w:eastAsia="宋体" w:cs="宋体"/>
                <w:color w:val="231F20"/>
                <w:kern w:val="0"/>
                <w:sz w:val="18"/>
                <w:szCs w:val="18"/>
                <w:highlight w:val="none"/>
                <w:lang w:bidi="ar"/>
              </w:rPr>
              <w:t>）</w:t>
            </w:r>
          </w:p>
        </w:tc>
        <w:tc>
          <w:tcPr>
            <w:tcW w:w="463" w:type="pct"/>
            <w:tcBorders>
              <w:top w:val="single" w:color="000000" w:sz="6" w:space="0"/>
              <w:bottom w:val="single" w:color="auto" w:sz="6" w:space="0"/>
              <w:tl2br w:val="nil"/>
              <w:tr2bl w:val="nil"/>
            </w:tcBorders>
            <w:noWrap/>
            <w:vAlign w:val="center"/>
          </w:tcPr>
          <w:p w14:paraId="18A3658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Proportion</w:t>
            </w:r>
            <w:r>
              <w:rPr>
                <w:rFonts w:hint="eastAsia" w:ascii="宋体" w:hAnsi="宋体" w:eastAsia="宋体" w:cs="宋体"/>
                <w:color w:val="231F20"/>
                <w:kern w:val="0"/>
                <w:sz w:val="18"/>
                <w:szCs w:val="18"/>
                <w:highlight w:val="none"/>
                <w:lang w:bidi="ar"/>
              </w:rPr>
              <w:t>（</w:t>
            </w:r>
            <w:r>
              <w:rPr>
                <w:rFonts w:ascii="Times New Roman" w:hAnsi="Times New Roman" w:eastAsia="ZLKHBM-18" w:cs="Times New Roman"/>
                <w:color w:val="231F20"/>
                <w:kern w:val="0"/>
                <w:sz w:val="18"/>
                <w:szCs w:val="18"/>
                <w:highlight w:val="none"/>
                <w:lang w:bidi="ar"/>
              </w:rPr>
              <w:t>%</w:t>
            </w:r>
            <w:r>
              <w:rPr>
                <w:rFonts w:hint="eastAsia" w:ascii="宋体" w:hAnsi="宋体" w:eastAsia="宋体" w:cs="宋体"/>
                <w:color w:val="231F20"/>
                <w:kern w:val="0"/>
                <w:sz w:val="18"/>
                <w:szCs w:val="18"/>
                <w:highlight w:val="none"/>
                <w:lang w:bidi="ar"/>
              </w:rPr>
              <w:t>）</w:t>
            </w:r>
          </w:p>
        </w:tc>
        <w:tc>
          <w:tcPr>
            <w:tcW w:w="112" w:type="pct"/>
            <w:tcBorders>
              <w:bottom w:val="single" w:color="auto" w:sz="6" w:space="0"/>
              <w:tl2br w:val="nil"/>
              <w:tr2bl w:val="nil"/>
            </w:tcBorders>
            <w:noWrap/>
            <w:vAlign w:val="center"/>
          </w:tcPr>
          <w:p w14:paraId="7BE24181">
            <w:pPr>
              <w:widowControl/>
              <w:jc w:val="center"/>
              <w:textAlignment w:val="center"/>
              <w:rPr>
                <w:rFonts w:ascii="Times New Roman" w:hAnsi="Times New Roman" w:eastAsia="ZLKHBM-18" w:cs="Times New Roman"/>
                <w:color w:val="231F20"/>
                <w:kern w:val="0"/>
                <w:sz w:val="18"/>
                <w:szCs w:val="18"/>
                <w:highlight w:val="none"/>
                <w:lang w:bidi="ar"/>
              </w:rPr>
            </w:pPr>
          </w:p>
        </w:tc>
        <w:tc>
          <w:tcPr>
            <w:tcW w:w="578" w:type="pct"/>
            <w:tcBorders>
              <w:top w:val="single" w:color="000000" w:sz="6" w:space="0"/>
              <w:bottom w:val="single" w:color="auto" w:sz="6" w:space="0"/>
              <w:tl2br w:val="nil"/>
              <w:tr2bl w:val="nil"/>
            </w:tcBorders>
            <w:noWrap/>
            <w:vAlign w:val="center"/>
          </w:tcPr>
          <w:p w14:paraId="39981C8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Site</w:t>
            </w:r>
          </w:p>
        </w:tc>
        <w:tc>
          <w:tcPr>
            <w:tcW w:w="456" w:type="pct"/>
            <w:tcBorders>
              <w:top w:val="single" w:color="000000" w:sz="6" w:space="0"/>
              <w:bottom w:val="single" w:color="auto" w:sz="6" w:space="0"/>
              <w:tl2br w:val="nil"/>
              <w:tr2bl w:val="nil"/>
            </w:tcBorders>
            <w:noWrap/>
            <w:vAlign w:val="center"/>
          </w:tcPr>
          <w:p w14:paraId="7DB1D24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Crude rate</w:t>
            </w:r>
            <w:r>
              <w:rPr>
                <w:rFonts w:hint="eastAsia" w:ascii="宋体" w:hAnsi="宋体" w:eastAsia="宋体" w:cs="宋体"/>
                <w:color w:val="231F20"/>
                <w:kern w:val="0"/>
                <w:sz w:val="18"/>
                <w:szCs w:val="18"/>
                <w:highlight w:val="none"/>
                <w:lang w:bidi="ar"/>
              </w:rPr>
              <w:t>（</w:t>
            </w:r>
            <w:r>
              <w:rPr>
                <w:rFonts w:ascii="Times New Roman" w:hAnsi="Times New Roman" w:eastAsia="ZLKHBM-18" w:cs="Times New Roman"/>
                <w:color w:val="231F20"/>
                <w:kern w:val="0"/>
                <w:sz w:val="18"/>
                <w:szCs w:val="18"/>
                <w:highlight w:val="none"/>
                <w:lang w:bidi="ar"/>
              </w:rPr>
              <w:t>1/10</w:t>
            </w:r>
            <w:r>
              <w:rPr>
                <w:rFonts w:ascii="Times New Roman" w:hAnsi="Times New Roman" w:eastAsia="ZLKHBM-18" w:cs="Times New Roman"/>
                <w:color w:val="231F20"/>
                <w:kern w:val="0"/>
                <w:sz w:val="18"/>
                <w:szCs w:val="18"/>
                <w:highlight w:val="none"/>
                <w:vertAlign w:val="superscript"/>
                <w:lang w:bidi="ar"/>
              </w:rPr>
              <w:t>5</w:t>
            </w:r>
            <w:r>
              <w:rPr>
                <w:rFonts w:hint="eastAsia" w:ascii="宋体" w:hAnsi="宋体" w:eastAsia="宋体" w:cs="宋体"/>
                <w:color w:val="231F20"/>
                <w:kern w:val="0"/>
                <w:sz w:val="18"/>
                <w:szCs w:val="18"/>
                <w:highlight w:val="none"/>
                <w:lang w:bidi="ar"/>
              </w:rPr>
              <w:t>）</w:t>
            </w:r>
          </w:p>
        </w:tc>
        <w:tc>
          <w:tcPr>
            <w:tcW w:w="469" w:type="pct"/>
            <w:tcBorders>
              <w:top w:val="single" w:color="000000" w:sz="6" w:space="0"/>
              <w:bottom w:val="single" w:color="auto" w:sz="6" w:space="0"/>
              <w:tl2br w:val="nil"/>
              <w:tr2bl w:val="nil"/>
            </w:tcBorders>
            <w:noWrap/>
            <w:vAlign w:val="center"/>
          </w:tcPr>
          <w:p w14:paraId="1CFD73B2">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Proportion</w:t>
            </w:r>
            <w:r>
              <w:rPr>
                <w:rFonts w:hint="eastAsia" w:ascii="宋体" w:hAnsi="宋体" w:eastAsia="宋体" w:cs="宋体"/>
                <w:color w:val="231F20"/>
                <w:kern w:val="0"/>
                <w:sz w:val="18"/>
                <w:szCs w:val="18"/>
                <w:highlight w:val="none"/>
                <w:lang w:bidi="ar"/>
              </w:rPr>
              <w:t>（</w:t>
            </w:r>
            <w:r>
              <w:rPr>
                <w:rFonts w:ascii="Times New Roman" w:hAnsi="Times New Roman" w:eastAsia="ZLKHBM-18" w:cs="Times New Roman"/>
                <w:color w:val="231F20"/>
                <w:kern w:val="0"/>
                <w:sz w:val="18"/>
                <w:szCs w:val="18"/>
                <w:highlight w:val="none"/>
                <w:lang w:bidi="ar"/>
              </w:rPr>
              <w:t>%</w:t>
            </w:r>
            <w:r>
              <w:rPr>
                <w:rFonts w:hint="eastAsia" w:ascii="宋体" w:hAnsi="宋体" w:eastAsia="宋体" w:cs="宋体"/>
                <w:color w:val="231F20"/>
                <w:kern w:val="0"/>
                <w:sz w:val="18"/>
                <w:szCs w:val="18"/>
                <w:highlight w:val="none"/>
                <w:lang w:bidi="ar"/>
              </w:rPr>
              <w:t>）</w:t>
            </w:r>
          </w:p>
        </w:tc>
        <w:tc>
          <w:tcPr>
            <w:tcW w:w="112" w:type="pct"/>
            <w:tcBorders>
              <w:bottom w:val="single" w:color="auto" w:sz="6" w:space="0"/>
              <w:tl2br w:val="nil"/>
              <w:tr2bl w:val="nil"/>
            </w:tcBorders>
            <w:noWrap/>
            <w:vAlign w:val="center"/>
          </w:tcPr>
          <w:p w14:paraId="6B324542">
            <w:pPr>
              <w:widowControl/>
              <w:jc w:val="center"/>
              <w:textAlignment w:val="center"/>
              <w:rPr>
                <w:rFonts w:ascii="Times New Roman" w:hAnsi="Times New Roman" w:eastAsia="ZLKHBM-18" w:cs="Times New Roman"/>
                <w:color w:val="231F20"/>
                <w:kern w:val="0"/>
                <w:sz w:val="18"/>
                <w:szCs w:val="18"/>
                <w:highlight w:val="none"/>
                <w:lang w:bidi="ar"/>
              </w:rPr>
            </w:pPr>
          </w:p>
        </w:tc>
        <w:tc>
          <w:tcPr>
            <w:tcW w:w="532" w:type="pct"/>
            <w:tcBorders>
              <w:top w:val="single" w:color="000000" w:sz="6" w:space="0"/>
              <w:bottom w:val="single" w:color="auto" w:sz="6" w:space="0"/>
              <w:tl2br w:val="nil"/>
              <w:tr2bl w:val="nil"/>
            </w:tcBorders>
            <w:noWrap/>
            <w:vAlign w:val="center"/>
          </w:tcPr>
          <w:p w14:paraId="7B95DE12">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Site</w:t>
            </w:r>
          </w:p>
        </w:tc>
        <w:tc>
          <w:tcPr>
            <w:tcW w:w="469" w:type="pct"/>
            <w:tcBorders>
              <w:top w:val="single" w:color="000000" w:sz="6" w:space="0"/>
              <w:bottom w:val="single" w:color="auto" w:sz="6" w:space="0"/>
              <w:tl2br w:val="nil"/>
              <w:tr2bl w:val="nil"/>
            </w:tcBorders>
            <w:noWrap/>
            <w:vAlign w:val="center"/>
          </w:tcPr>
          <w:p w14:paraId="2BA0FECB">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Crude rate</w:t>
            </w:r>
            <w:r>
              <w:rPr>
                <w:rFonts w:hint="eastAsia" w:ascii="宋体" w:hAnsi="宋体" w:eastAsia="宋体" w:cs="宋体"/>
                <w:color w:val="231F20"/>
                <w:kern w:val="0"/>
                <w:sz w:val="18"/>
                <w:szCs w:val="18"/>
                <w:highlight w:val="none"/>
                <w:lang w:bidi="ar"/>
              </w:rPr>
              <w:t>（</w:t>
            </w:r>
            <w:r>
              <w:rPr>
                <w:rFonts w:ascii="Times New Roman" w:hAnsi="Times New Roman" w:eastAsia="ZLKHBM-18" w:cs="Times New Roman"/>
                <w:color w:val="231F20"/>
                <w:kern w:val="0"/>
                <w:sz w:val="18"/>
                <w:szCs w:val="18"/>
                <w:highlight w:val="none"/>
                <w:lang w:bidi="ar"/>
              </w:rPr>
              <w:t>1/10</w:t>
            </w:r>
            <w:r>
              <w:rPr>
                <w:rFonts w:ascii="Times New Roman" w:hAnsi="Times New Roman" w:eastAsia="ZLKHBM-18" w:cs="Times New Roman"/>
                <w:color w:val="231F20"/>
                <w:kern w:val="0"/>
                <w:sz w:val="18"/>
                <w:szCs w:val="18"/>
                <w:highlight w:val="none"/>
                <w:vertAlign w:val="superscript"/>
                <w:lang w:bidi="ar"/>
              </w:rPr>
              <w:t>5</w:t>
            </w:r>
            <w:r>
              <w:rPr>
                <w:rFonts w:hint="eastAsia" w:ascii="宋体" w:hAnsi="宋体" w:eastAsia="宋体" w:cs="宋体"/>
                <w:color w:val="231F20"/>
                <w:kern w:val="0"/>
                <w:sz w:val="18"/>
                <w:szCs w:val="18"/>
                <w:highlight w:val="none"/>
                <w:lang w:bidi="ar"/>
              </w:rPr>
              <w:t>）</w:t>
            </w:r>
          </w:p>
        </w:tc>
        <w:tc>
          <w:tcPr>
            <w:tcW w:w="489" w:type="pct"/>
            <w:tcBorders>
              <w:top w:val="single" w:color="000000" w:sz="6" w:space="0"/>
              <w:bottom w:val="single" w:color="auto" w:sz="6" w:space="0"/>
              <w:tl2br w:val="nil"/>
              <w:tr2bl w:val="nil"/>
            </w:tcBorders>
            <w:noWrap/>
            <w:vAlign w:val="center"/>
          </w:tcPr>
          <w:p w14:paraId="24810B1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Proportion</w:t>
            </w:r>
            <w:r>
              <w:rPr>
                <w:rFonts w:hint="eastAsia" w:ascii="宋体" w:hAnsi="宋体" w:eastAsia="宋体" w:cs="宋体"/>
                <w:color w:val="231F20"/>
                <w:kern w:val="0"/>
                <w:sz w:val="18"/>
                <w:szCs w:val="18"/>
                <w:highlight w:val="none"/>
                <w:lang w:bidi="ar"/>
              </w:rPr>
              <w:t>（</w:t>
            </w:r>
            <w:r>
              <w:rPr>
                <w:rFonts w:ascii="Times New Roman" w:hAnsi="Times New Roman" w:eastAsia="ZLKHBM-18" w:cs="Times New Roman"/>
                <w:color w:val="231F20"/>
                <w:kern w:val="0"/>
                <w:sz w:val="18"/>
                <w:szCs w:val="18"/>
                <w:highlight w:val="none"/>
                <w:lang w:bidi="ar"/>
              </w:rPr>
              <w:t>%</w:t>
            </w:r>
            <w:r>
              <w:rPr>
                <w:rFonts w:hint="eastAsia" w:ascii="宋体" w:hAnsi="宋体" w:eastAsia="宋体" w:cs="宋体"/>
                <w:color w:val="231F20"/>
                <w:kern w:val="0"/>
                <w:sz w:val="18"/>
                <w:szCs w:val="18"/>
                <w:highlight w:val="none"/>
                <w:lang w:bidi="ar"/>
              </w:rPr>
              <w:t>）</w:t>
            </w:r>
          </w:p>
        </w:tc>
      </w:tr>
      <w:tr w14:paraId="54DC73E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22" w:type="pct"/>
            <w:tcBorders>
              <w:top w:val="single" w:color="auto" w:sz="6" w:space="0"/>
            </w:tcBorders>
            <w:noWrap/>
            <w:vAlign w:val="center"/>
          </w:tcPr>
          <w:p w14:paraId="2FC419D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1</w:t>
            </w:r>
          </w:p>
        </w:tc>
        <w:tc>
          <w:tcPr>
            <w:tcW w:w="525" w:type="pct"/>
            <w:tcBorders>
              <w:top w:val="single" w:color="auto" w:sz="6" w:space="0"/>
            </w:tcBorders>
            <w:noWrap/>
            <w:vAlign w:val="center"/>
          </w:tcPr>
          <w:p w14:paraId="3C6E013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Lung</w:t>
            </w:r>
          </w:p>
        </w:tc>
        <w:tc>
          <w:tcPr>
            <w:tcW w:w="469" w:type="pct"/>
            <w:tcBorders>
              <w:top w:val="single" w:color="auto" w:sz="6" w:space="0"/>
            </w:tcBorders>
            <w:noWrap/>
            <w:vAlign w:val="center"/>
          </w:tcPr>
          <w:p w14:paraId="51DB81C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70.22</w:t>
            </w:r>
          </w:p>
        </w:tc>
        <w:tc>
          <w:tcPr>
            <w:tcW w:w="463" w:type="pct"/>
            <w:tcBorders>
              <w:top w:val="single" w:color="auto" w:sz="6" w:space="0"/>
            </w:tcBorders>
            <w:noWrap/>
            <w:vAlign w:val="center"/>
          </w:tcPr>
          <w:p w14:paraId="0D16AE3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23.94</w:t>
            </w:r>
          </w:p>
        </w:tc>
        <w:tc>
          <w:tcPr>
            <w:tcW w:w="112" w:type="pct"/>
            <w:tcBorders>
              <w:top w:val="single" w:color="auto" w:sz="6" w:space="0"/>
            </w:tcBorders>
            <w:noWrap/>
            <w:vAlign w:val="center"/>
          </w:tcPr>
          <w:p w14:paraId="36DFF102">
            <w:pPr>
              <w:jc w:val="center"/>
              <w:rPr>
                <w:rFonts w:ascii="Times New Roman" w:hAnsi="Times New Roman" w:eastAsia="ZLKHBM-18" w:cs="Times New Roman"/>
                <w:color w:val="231F20"/>
                <w:kern w:val="0"/>
                <w:sz w:val="18"/>
                <w:szCs w:val="18"/>
                <w:highlight w:val="none"/>
                <w:lang w:bidi="ar"/>
              </w:rPr>
            </w:pPr>
          </w:p>
        </w:tc>
        <w:tc>
          <w:tcPr>
            <w:tcW w:w="578" w:type="pct"/>
            <w:tcBorders>
              <w:top w:val="single" w:color="auto" w:sz="6" w:space="0"/>
            </w:tcBorders>
            <w:noWrap/>
            <w:vAlign w:val="center"/>
          </w:tcPr>
          <w:p w14:paraId="3510C61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Lung</w:t>
            </w:r>
          </w:p>
        </w:tc>
        <w:tc>
          <w:tcPr>
            <w:tcW w:w="456" w:type="pct"/>
            <w:tcBorders>
              <w:top w:val="single" w:color="auto" w:sz="6" w:space="0"/>
            </w:tcBorders>
            <w:noWrap/>
            <w:vAlign w:val="center"/>
          </w:tcPr>
          <w:p w14:paraId="4540210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92.91 </w:t>
            </w:r>
          </w:p>
        </w:tc>
        <w:tc>
          <w:tcPr>
            <w:tcW w:w="469" w:type="pct"/>
            <w:tcBorders>
              <w:top w:val="single" w:color="auto" w:sz="6" w:space="0"/>
            </w:tcBorders>
            <w:noWrap/>
            <w:vAlign w:val="center"/>
          </w:tcPr>
          <w:p w14:paraId="5B9BA70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26.88 </w:t>
            </w:r>
          </w:p>
        </w:tc>
        <w:tc>
          <w:tcPr>
            <w:tcW w:w="112" w:type="pct"/>
            <w:tcBorders>
              <w:top w:val="single" w:color="auto" w:sz="6" w:space="0"/>
            </w:tcBorders>
            <w:noWrap/>
            <w:vAlign w:val="center"/>
          </w:tcPr>
          <w:p w14:paraId="77A98769">
            <w:pPr>
              <w:jc w:val="center"/>
              <w:rPr>
                <w:rFonts w:ascii="Times New Roman" w:hAnsi="Times New Roman" w:eastAsia="ZLKHBM-18" w:cs="Times New Roman"/>
                <w:color w:val="231F20"/>
                <w:kern w:val="0"/>
                <w:sz w:val="18"/>
                <w:szCs w:val="18"/>
                <w:highlight w:val="none"/>
                <w:lang w:bidi="ar"/>
              </w:rPr>
            </w:pPr>
          </w:p>
        </w:tc>
        <w:tc>
          <w:tcPr>
            <w:tcW w:w="532" w:type="pct"/>
            <w:tcBorders>
              <w:top w:val="single" w:color="auto" w:sz="6" w:space="0"/>
            </w:tcBorders>
            <w:noWrap/>
            <w:vAlign w:val="center"/>
          </w:tcPr>
          <w:p w14:paraId="40D3CEA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Lung</w:t>
            </w:r>
          </w:p>
        </w:tc>
        <w:tc>
          <w:tcPr>
            <w:tcW w:w="469" w:type="pct"/>
            <w:tcBorders>
              <w:top w:val="single" w:color="auto" w:sz="6" w:space="0"/>
            </w:tcBorders>
            <w:noWrap/>
            <w:vAlign w:val="center"/>
          </w:tcPr>
          <w:p w14:paraId="06785E6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45.88 </w:t>
            </w:r>
          </w:p>
        </w:tc>
        <w:tc>
          <w:tcPr>
            <w:tcW w:w="489" w:type="pct"/>
            <w:tcBorders>
              <w:top w:val="single" w:color="auto" w:sz="6" w:space="0"/>
            </w:tcBorders>
            <w:noWrap/>
            <w:vAlign w:val="center"/>
          </w:tcPr>
          <w:p w14:paraId="1BDCDC7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19.33 </w:t>
            </w:r>
          </w:p>
        </w:tc>
      </w:tr>
      <w:tr w14:paraId="3CAB300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22" w:type="pct"/>
            <w:tcBorders>
              <w:tl2br w:val="nil"/>
              <w:tr2bl w:val="nil"/>
            </w:tcBorders>
            <w:noWrap/>
            <w:vAlign w:val="center"/>
          </w:tcPr>
          <w:p w14:paraId="213BAAAD">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2</w:t>
            </w:r>
          </w:p>
        </w:tc>
        <w:tc>
          <w:tcPr>
            <w:tcW w:w="525" w:type="pct"/>
            <w:tcBorders>
              <w:tl2br w:val="nil"/>
              <w:tr2bl w:val="nil"/>
            </w:tcBorders>
            <w:noWrap/>
            <w:vAlign w:val="center"/>
          </w:tcPr>
          <w:p w14:paraId="02D5D2C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Stomach</w:t>
            </w:r>
          </w:p>
        </w:tc>
        <w:tc>
          <w:tcPr>
            <w:tcW w:w="469" w:type="pct"/>
            <w:tcBorders>
              <w:tl2br w:val="nil"/>
              <w:tr2bl w:val="nil"/>
            </w:tcBorders>
            <w:noWrap/>
            <w:vAlign w:val="center"/>
          </w:tcPr>
          <w:p w14:paraId="69926B6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38.97</w:t>
            </w:r>
          </w:p>
        </w:tc>
        <w:tc>
          <w:tcPr>
            <w:tcW w:w="463" w:type="pct"/>
            <w:tcBorders>
              <w:tl2br w:val="nil"/>
              <w:tr2bl w:val="nil"/>
            </w:tcBorders>
            <w:noWrap/>
            <w:vAlign w:val="center"/>
          </w:tcPr>
          <w:p w14:paraId="568D169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13.28</w:t>
            </w:r>
          </w:p>
        </w:tc>
        <w:tc>
          <w:tcPr>
            <w:tcW w:w="112" w:type="pct"/>
            <w:tcBorders>
              <w:tl2br w:val="nil"/>
              <w:tr2bl w:val="nil"/>
            </w:tcBorders>
            <w:noWrap/>
            <w:vAlign w:val="center"/>
          </w:tcPr>
          <w:p w14:paraId="7C819D15">
            <w:pPr>
              <w:jc w:val="center"/>
              <w:rPr>
                <w:rFonts w:ascii="Times New Roman" w:hAnsi="Times New Roman" w:eastAsia="ZLKHBM-18" w:cs="Times New Roman"/>
                <w:color w:val="231F20"/>
                <w:kern w:val="0"/>
                <w:sz w:val="18"/>
                <w:szCs w:val="18"/>
                <w:highlight w:val="none"/>
                <w:lang w:bidi="ar"/>
              </w:rPr>
            </w:pPr>
          </w:p>
        </w:tc>
        <w:tc>
          <w:tcPr>
            <w:tcW w:w="578" w:type="pct"/>
            <w:tcBorders>
              <w:tl2br w:val="nil"/>
              <w:tr2bl w:val="nil"/>
            </w:tcBorders>
            <w:noWrap/>
            <w:vAlign w:val="center"/>
          </w:tcPr>
          <w:p w14:paraId="6AAFED6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Stomach</w:t>
            </w:r>
          </w:p>
        </w:tc>
        <w:tc>
          <w:tcPr>
            <w:tcW w:w="456" w:type="pct"/>
            <w:tcBorders>
              <w:tl2br w:val="nil"/>
              <w:tr2bl w:val="nil"/>
            </w:tcBorders>
            <w:noWrap/>
            <w:vAlign w:val="center"/>
          </w:tcPr>
          <w:p w14:paraId="499DA8A0">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54.81 </w:t>
            </w:r>
          </w:p>
        </w:tc>
        <w:tc>
          <w:tcPr>
            <w:tcW w:w="469" w:type="pct"/>
            <w:tcBorders>
              <w:tl2br w:val="nil"/>
              <w:tr2bl w:val="nil"/>
            </w:tcBorders>
            <w:noWrap/>
            <w:vAlign w:val="center"/>
          </w:tcPr>
          <w:p w14:paraId="2859626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15.86 </w:t>
            </w:r>
          </w:p>
        </w:tc>
        <w:tc>
          <w:tcPr>
            <w:tcW w:w="112" w:type="pct"/>
            <w:tcBorders>
              <w:tl2br w:val="nil"/>
              <w:tr2bl w:val="nil"/>
            </w:tcBorders>
            <w:noWrap/>
            <w:vAlign w:val="center"/>
          </w:tcPr>
          <w:p w14:paraId="4B842342">
            <w:pPr>
              <w:jc w:val="center"/>
              <w:rPr>
                <w:rFonts w:ascii="Times New Roman" w:hAnsi="Times New Roman" w:eastAsia="ZLKHBM-18" w:cs="Times New Roman"/>
                <w:color w:val="231F20"/>
                <w:kern w:val="0"/>
                <w:sz w:val="18"/>
                <w:szCs w:val="18"/>
                <w:highlight w:val="none"/>
                <w:lang w:bidi="ar"/>
              </w:rPr>
            </w:pPr>
          </w:p>
        </w:tc>
        <w:tc>
          <w:tcPr>
            <w:tcW w:w="532" w:type="pct"/>
            <w:tcBorders>
              <w:tl2br w:val="nil"/>
              <w:tr2bl w:val="nil"/>
            </w:tcBorders>
            <w:noWrap/>
            <w:vAlign w:val="center"/>
          </w:tcPr>
          <w:p w14:paraId="68AF541D">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Breast</w:t>
            </w:r>
          </w:p>
        </w:tc>
        <w:tc>
          <w:tcPr>
            <w:tcW w:w="469" w:type="pct"/>
            <w:tcBorders>
              <w:tl2br w:val="nil"/>
              <w:tr2bl w:val="nil"/>
            </w:tcBorders>
            <w:noWrap/>
            <w:vAlign w:val="center"/>
          </w:tcPr>
          <w:p w14:paraId="6A28759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27.04 </w:t>
            </w:r>
          </w:p>
        </w:tc>
        <w:tc>
          <w:tcPr>
            <w:tcW w:w="489" w:type="pct"/>
            <w:tcBorders>
              <w:tl2br w:val="nil"/>
              <w:tr2bl w:val="nil"/>
            </w:tcBorders>
            <w:noWrap/>
            <w:vAlign w:val="center"/>
          </w:tcPr>
          <w:p w14:paraId="6123512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11.39 </w:t>
            </w:r>
          </w:p>
        </w:tc>
      </w:tr>
      <w:tr w14:paraId="15F1B54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22" w:type="pct"/>
            <w:tcBorders>
              <w:tl2br w:val="nil"/>
              <w:tr2bl w:val="nil"/>
            </w:tcBorders>
            <w:noWrap/>
            <w:vAlign w:val="center"/>
          </w:tcPr>
          <w:p w14:paraId="4F9B2B5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3</w:t>
            </w:r>
          </w:p>
        </w:tc>
        <w:tc>
          <w:tcPr>
            <w:tcW w:w="525" w:type="pct"/>
            <w:tcBorders>
              <w:tl2br w:val="nil"/>
              <w:tr2bl w:val="nil"/>
            </w:tcBorders>
            <w:noWrap/>
            <w:vAlign w:val="center"/>
          </w:tcPr>
          <w:p w14:paraId="2C32489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Liver</w:t>
            </w:r>
          </w:p>
        </w:tc>
        <w:tc>
          <w:tcPr>
            <w:tcW w:w="469" w:type="pct"/>
            <w:tcBorders>
              <w:tl2br w:val="nil"/>
              <w:tr2bl w:val="nil"/>
            </w:tcBorders>
            <w:noWrap/>
            <w:vAlign w:val="center"/>
          </w:tcPr>
          <w:p w14:paraId="7C2F18A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33.22</w:t>
            </w:r>
          </w:p>
        </w:tc>
        <w:tc>
          <w:tcPr>
            <w:tcW w:w="463" w:type="pct"/>
            <w:tcBorders>
              <w:tl2br w:val="nil"/>
              <w:tr2bl w:val="nil"/>
            </w:tcBorders>
            <w:noWrap/>
            <w:vAlign w:val="center"/>
          </w:tcPr>
          <w:p w14:paraId="7E9288B2">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11.32</w:t>
            </w:r>
          </w:p>
        </w:tc>
        <w:tc>
          <w:tcPr>
            <w:tcW w:w="112" w:type="pct"/>
            <w:tcBorders>
              <w:tl2br w:val="nil"/>
              <w:tr2bl w:val="nil"/>
            </w:tcBorders>
            <w:noWrap/>
            <w:vAlign w:val="center"/>
          </w:tcPr>
          <w:p w14:paraId="089BBCB3">
            <w:pPr>
              <w:jc w:val="center"/>
              <w:rPr>
                <w:rFonts w:ascii="Times New Roman" w:hAnsi="Times New Roman" w:eastAsia="ZLKHBM-18" w:cs="Times New Roman"/>
                <w:color w:val="231F20"/>
                <w:kern w:val="0"/>
                <w:sz w:val="18"/>
                <w:szCs w:val="18"/>
                <w:highlight w:val="none"/>
                <w:lang w:bidi="ar"/>
              </w:rPr>
            </w:pPr>
          </w:p>
        </w:tc>
        <w:tc>
          <w:tcPr>
            <w:tcW w:w="578" w:type="pct"/>
            <w:tcBorders>
              <w:tl2br w:val="nil"/>
              <w:tr2bl w:val="nil"/>
            </w:tcBorders>
            <w:noWrap/>
            <w:vAlign w:val="center"/>
          </w:tcPr>
          <w:p w14:paraId="5CFC855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Liver</w:t>
            </w:r>
          </w:p>
        </w:tc>
        <w:tc>
          <w:tcPr>
            <w:tcW w:w="456" w:type="pct"/>
            <w:tcBorders>
              <w:tl2br w:val="nil"/>
              <w:tr2bl w:val="nil"/>
            </w:tcBorders>
            <w:noWrap/>
            <w:vAlign w:val="center"/>
          </w:tcPr>
          <w:p w14:paraId="6715A05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48.62 </w:t>
            </w:r>
          </w:p>
        </w:tc>
        <w:tc>
          <w:tcPr>
            <w:tcW w:w="469" w:type="pct"/>
            <w:tcBorders>
              <w:tl2br w:val="nil"/>
              <w:tr2bl w:val="nil"/>
            </w:tcBorders>
            <w:noWrap/>
            <w:vAlign w:val="center"/>
          </w:tcPr>
          <w:p w14:paraId="18B5AC7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14.07 </w:t>
            </w:r>
          </w:p>
        </w:tc>
        <w:tc>
          <w:tcPr>
            <w:tcW w:w="112" w:type="pct"/>
            <w:tcBorders>
              <w:tl2br w:val="nil"/>
              <w:tr2bl w:val="nil"/>
            </w:tcBorders>
            <w:noWrap/>
            <w:vAlign w:val="center"/>
          </w:tcPr>
          <w:p w14:paraId="6F96EDB3">
            <w:pPr>
              <w:jc w:val="center"/>
              <w:rPr>
                <w:rFonts w:ascii="Times New Roman" w:hAnsi="Times New Roman" w:eastAsia="ZLKHBM-18" w:cs="Times New Roman"/>
                <w:color w:val="231F20"/>
                <w:kern w:val="0"/>
                <w:sz w:val="18"/>
                <w:szCs w:val="18"/>
                <w:highlight w:val="none"/>
                <w:lang w:bidi="ar"/>
              </w:rPr>
            </w:pPr>
          </w:p>
        </w:tc>
        <w:tc>
          <w:tcPr>
            <w:tcW w:w="532" w:type="pct"/>
            <w:tcBorders>
              <w:tl2br w:val="nil"/>
              <w:tr2bl w:val="nil"/>
            </w:tcBorders>
            <w:noWrap/>
            <w:vAlign w:val="center"/>
          </w:tcPr>
          <w:p w14:paraId="48826C9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Stomach</w:t>
            </w:r>
          </w:p>
        </w:tc>
        <w:tc>
          <w:tcPr>
            <w:tcW w:w="469" w:type="pct"/>
            <w:tcBorders>
              <w:tl2br w:val="nil"/>
              <w:tr2bl w:val="nil"/>
            </w:tcBorders>
            <w:noWrap/>
            <w:vAlign w:val="center"/>
          </w:tcPr>
          <w:p w14:paraId="3382625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21.97 </w:t>
            </w:r>
          </w:p>
        </w:tc>
        <w:tc>
          <w:tcPr>
            <w:tcW w:w="489" w:type="pct"/>
            <w:tcBorders>
              <w:tl2br w:val="nil"/>
              <w:tr2bl w:val="nil"/>
            </w:tcBorders>
            <w:noWrap/>
            <w:vAlign w:val="center"/>
          </w:tcPr>
          <w:p w14:paraId="784DFCF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9.26 </w:t>
            </w:r>
          </w:p>
        </w:tc>
      </w:tr>
      <w:tr w14:paraId="3C9FCEC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22" w:type="pct"/>
            <w:tcBorders>
              <w:tl2br w:val="nil"/>
              <w:tr2bl w:val="nil"/>
            </w:tcBorders>
            <w:noWrap/>
            <w:vAlign w:val="center"/>
          </w:tcPr>
          <w:p w14:paraId="2369FCC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4</w:t>
            </w:r>
          </w:p>
        </w:tc>
        <w:tc>
          <w:tcPr>
            <w:tcW w:w="525" w:type="pct"/>
            <w:tcBorders>
              <w:tl2br w:val="nil"/>
              <w:tr2bl w:val="nil"/>
            </w:tcBorders>
            <w:noWrap/>
            <w:vAlign w:val="center"/>
          </w:tcPr>
          <w:p w14:paraId="3987D21B">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Esophagus</w:t>
            </w:r>
          </w:p>
        </w:tc>
        <w:tc>
          <w:tcPr>
            <w:tcW w:w="469" w:type="pct"/>
            <w:tcBorders>
              <w:tl2br w:val="nil"/>
              <w:tr2bl w:val="nil"/>
            </w:tcBorders>
            <w:noWrap/>
            <w:vAlign w:val="center"/>
          </w:tcPr>
          <w:p w14:paraId="0ED8A2BB">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32.67</w:t>
            </w:r>
          </w:p>
        </w:tc>
        <w:tc>
          <w:tcPr>
            <w:tcW w:w="463" w:type="pct"/>
            <w:tcBorders>
              <w:tl2br w:val="nil"/>
              <w:tr2bl w:val="nil"/>
            </w:tcBorders>
            <w:noWrap/>
            <w:vAlign w:val="center"/>
          </w:tcPr>
          <w:p w14:paraId="3D16D53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11.13</w:t>
            </w:r>
          </w:p>
        </w:tc>
        <w:tc>
          <w:tcPr>
            <w:tcW w:w="112" w:type="pct"/>
            <w:tcBorders>
              <w:tl2br w:val="nil"/>
              <w:tr2bl w:val="nil"/>
            </w:tcBorders>
            <w:noWrap/>
            <w:vAlign w:val="center"/>
          </w:tcPr>
          <w:p w14:paraId="4B94C16F">
            <w:pPr>
              <w:jc w:val="center"/>
              <w:rPr>
                <w:rFonts w:ascii="Times New Roman" w:hAnsi="Times New Roman" w:eastAsia="ZLKHBM-18" w:cs="Times New Roman"/>
                <w:color w:val="231F20"/>
                <w:kern w:val="0"/>
                <w:sz w:val="18"/>
                <w:szCs w:val="18"/>
                <w:highlight w:val="none"/>
                <w:lang w:bidi="ar"/>
              </w:rPr>
            </w:pPr>
          </w:p>
        </w:tc>
        <w:tc>
          <w:tcPr>
            <w:tcW w:w="578" w:type="pct"/>
            <w:tcBorders>
              <w:tl2br w:val="nil"/>
              <w:tr2bl w:val="nil"/>
            </w:tcBorders>
            <w:noWrap/>
            <w:vAlign w:val="center"/>
          </w:tcPr>
          <w:p w14:paraId="5011E83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Esophagus</w:t>
            </w:r>
          </w:p>
        </w:tc>
        <w:tc>
          <w:tcPr>
            <w:tcW w:w="456" w:type="pct"/>
            <w:tcBorders>
              <w:tl2br w:val="nil"/>
              <w:tr2bl w:val="nil"/>
            </w:tcBorders>
            <w:noWrap/>
            <w:vAlign w:val="center"/>
          </w:tcPr>
          <w:p w14:paraId="37C60652">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44.78 </w:t>
            </w:r>
          </w:p>
        </w:tc>
        <w:tc>
          <w:tcPr>
            <w:tcW w:w="469" w:type="pct"/>
            <w:tcBorders>
              <w:tl2br w:val="nil"/>
              <w:tr2bl w:val="nil"/>
            </w:tcBorders>
            <w:noWrap/>
            <w:vAlign w:val="center"/>
          </w:tcPr>
          <w:p w14:paraId="5729D88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12.96 </w:t>
            </w:r>
          </w:p>
        </w:tc>
        <w:tc>
          <w:tcPr>
            <w:tcW w:w="112" w:type="pct"/>
            <w:tcBorders>
              <w:tl2br w:val="nil"/>
              <w:tr2bl w:val="nil"/>
            </w:tcBorders>
            <w:noWrap/>
            <w:vAlign w:val="center"/>
          </w:tcPr>
          <w:p w14:paraId="4593A98B">
            <w:pPr>
              <w:jc w:val="center"/>
              <w:rPr>
                <w:rFonts w:ascii="Times New Roman" w:hAnsi="Times New Roman" w:eastAsia="ZLKHBM-18" w:cs="Times New Roman"/>
                <w:color w:val="231F20"/>
                <w:kern w:val="0"/>
                <w:sz w:val="18"/>
                <w:szCs w:val="18"/>
                <w:highlight w:val="none"/>
                <w:lang w:bidi="ar"/>
              </w:rPr>
            </w:pPr>
          </w:p>
        </w:tc>
        <w:tc>
          <w:tcPr>
            <w:tcW w:w="532" w:type="pct"/>
            <w:tcBorders>
              <w:tl2br w:val="nil"/>
              <w:tr2bl w:val="nil"/>
            </w:tcBorders>
            <w:noWrap/>
            <w:vAlign w:val="center"/>
          </w:tcPr>
          <w:p w14:paraId="0E17AF5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Colorectum</w:t>
            </w:r>
          </w:p>
        </w:tc>
        <w:tc>
          <w:tcPr>
            <w:tcW w:w="469" w:type="pct"/>
            <w:tcBorders>
              <w:tl2br w:val="nil"/>
              <w:tr2bl w:val="nil"/>
            </w:tcBorders>
            <w:noWrap/>
            <w:vAlign w:val="center"/>
          </w:tcPr>
          <w:p w14:paraId="51E0E62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20.49 </w:t>
            </w:r>
          </w:p>
        </w:tc>
        <w:tc>
          <w:tcPr>
            <w:tcW w:w="489" w:type="pct"/>
            <w:tcBorders>
              <w:tl2br w:val="nil"/>
              <w:tr2bl w:val="nil"/>
            </w:tcBorders>
            <w:noWrap/>
            <w:vAlign w:val="center"/>
          </w:tcPr>
          <w:p w14:paraId="37DFF33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8.63 </w:t>
            </w:r>
          </w:p>
        </w:tc>
      </w:tr>
      <w:tr w14:paraId="05D3231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22" w:type="pct"/>
            <w:tcBorders>
              <w:tl2br w:val="nil"/>
              <w:tr2bl w:val="nil"/>
            </w:tcBorders>
            <w:noWrap/>
            <w:vAlign w:val="center"/>
          </w:tcPr>
          <w:p w14:paraId="3EC2030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5</w:t>
            </w:r>
          </w:p>
        </w:tc>
        <w:tc>
          <w:tcPr>
            <w:tcW w:w="525" w:type="pct"/>
            <w:tcBorders>
              <w:tl2br w:val="nil"/>
              <w:tr2bl w:val="nil"/>
            </w:tcBorders>
            <w:noWrap/>
            <w:vAlign w:val="center"/>
          </w:tcPr>
          <w:p w14:paraId="778D77D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Breast</w:t>
            </w:r>
          </w:p>
        </w:tc>
        <w:tc>
          <w:tcPr>
            <w:tcW w:w="469" w:type="pct"/>
            <w:tcBorders>
              <w:tl2br w:val="nil"/>
              <w:tr2bl w:val="nil"/>
            </w:tcBorders>
            <w:noWrap/>
            <w:vAlign w:val="center"/>
          </w:tcPr>
          <w:p w14:paraId="1EC6F5E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27.04</w:t>
            </w:r>
          </w:p>
        </w:tc>
        <w:tc>
          <w:tcPr>
            <w:tcW w:w="463" w:type="pct"/>
            <w:tcBorders>
              <w:tl2br w:val="nil"/>
              <w:tr2bl w:val="nil"/>
            </w:tcBorders>
            <w:noWrap/>
            <w:vAlign w:val="center"/>
          </w:tcPr>
          <w:p w14:paraId="6E32B32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4.45</w:t>
            </w:r>
          </w:p>
        </w:tc>
        <w:tc>
          <w:tcPr>
            <w:tcW w:w="112" w:type="pct"/>
            <w:tcBorders>
              <w:tl2br w:val="nil"/>
              <w:tr2bl w:val="nil"/>
            </w:tcBorders>
            <w:noWrap/>
            <w:vAlign w:val="center"/>
          </w:tcPr>
          <w:p w14:paraId="62A0E919">
            <w:pPr>
              <w:jc w:val="center"/>
              <w:rPr>
                <w:rFonts w:ascii="Times New Roman" w:hAnsi="Times New Roman" w:eastAsia="ZLKHBM-18" w:cs="Times New Roman"/>
                <w:color w:val="231F20"/>
                <w:kern w:val="0"/>
                <w:sz w:val="18"/>
                <w:szCs w:val="18"/>
                <w:highlight w:val="none"/>
                <w:lang w:bidi="ar"/>
              </w:rPr>
            </w:pPr>
          </w:p>
        </w:tc>
        <w:tc>
          <w:tcPr>
            <w:tcW w:w="578" w:type="pct"/>
            <w:tcBorders>
              <w:tl2br w:val="nil"/>
              <w:tr2bl w:val="nil"/>
            </w:tcBorders>
            <w:noWrap/>
            <w:vAlign w:val="center"/>
          </w:tcPr>
          <w:p w14:paraId="51D7D86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Colorectum</w:t>
            </w:r>
          </w:p>
        </w:tc>
        <w:tc>
          <w:tcPr>
            <w:tcW w:w="456" w:type="pct"/>
            <w:tcBorders>
              <w:tl2br w:val="nil"/>
              <w:tr2bl w:val="nil"/>
            </w:tcBorders>
            <w:noWrap/>
            <w:vAlign w:val="center"/>
          </w:tcPr>
          <w:p w14:paraId="69BF8CC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28.51 </w:t>
            </w:r>
          </w:p>
        </w:tc>
        <w:tc>
          <w:tcPr>
            <w:tcW w:w="469" w:type="pct"/>
            <w:tcBorders>
              <w:tl2br w:val="nil"/>
              <w:tr2bl w:val="nil"/>
            </w:tcBorders>
            <w:noWrap/>
            <w:vAlign w:val="center"/>
          </w:tcPr>
          <w:p w14:paraId="417CA980">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8.25 </w:t>
            </w:r>
          </w:p>
        </w:tc>
        <w:tc>
          <w:tcPr>
            <w:tcW w:w="112" w:type="pct"/>
            <w:tcBorders>
              <w:tl2br w:val="nil"/>
              <w:tr2bl w:val="nil"/>
            </w:tcBorders>
            <w:noWrap/>
            <w:vAlign w:val="center"/>
          </w:tcPr>
          <w:p w14:paraId="4923D909">
            <w:pPr>
              <w:jc w:val="center"/>
              <w:rPr>
                <w:rFonts w:ascii="Times New Roman" w:hAnsi="Times New Roman" w:eastAsia="ZLKHBM-18" w:cs="Times New Roman"/>
                <w:color w:val="231F20"/>
                <w:kern w:val="0"/>
                <w:sz w:val="18"/>
                <w:szCs w:val="18"/>
                <w:highlight w:val="none"/>
                <w:lang w:bidi="ar"/>
              </w:rPr>
            </w:pPr>
          </w:p>
        </w:tc>
        <w:tc>
          <w:tcPr>
            <w:tcW w:w="532" w:type="pct"/>
            <w:tcBorders>
              <w:tl2br w:val="nil"/>
              <w:tr2bl w:val="nil"/>
            </w:tcBorders>
            <w:noWrap/>
            <w:vAlign w:val="center"/>
          </w:tcPr>
          <w:p w14:paraId="72F51A3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Esophagus</w:t>
            </w:r>
          </w:p>
        </w:tc>
        <w:tc>
          <w:tcPr>
            <w:tcW w:w="469" w:type="pct"/>
            <w:tcBorders>
              <w:tl2br w:val="nil"/>
              <w:tr2bl w:val="nil"/>
            </w:tcBorders>
            <w:noWrap/>
            <w:vAlign w:val="center"/>
          </w:tcPr>
          <w:p w14:paraId="709CCD0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19.67 </w:t>
            </w:r>
          </w:p>
        </w:tc>
        <w:tc>
          <w:tcPr>
            <w:tcW w:w="489" w:type="pct"/>
            <w:tcBorders>
              <w:tl2br w:val="nil"/>
              <w:tr2bl w:val="nil"/>
            </w:tcBorders>
            <w:noWrap/>
            <w:vAlign w:val="center"/>
          </w:tcPr>
          <w:p w14:paraId="546FE090">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8.29 </w:t>
            </w:r>
          </w:p>
        </w:tc>
      </w:tr>
      <w:tr w14:paraId="70F4CAC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22" w:type="pct"/>
            <w:tcBorders>
              <w:tl2br w:val="nil"/>
              <w:tr2bl w:val="nil"/>
            </w:tcBorders>
            <w:noWrap/>
            <w:vAlign w:val="center"/>
          </w:tcPr>
          <w:p w14:paraId="64A7CD4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6</w:t>
            </w:r>
          </w:p>
        </w:tc>
        <w:tc>
          <w:tcPr>
            <w:tcW w:w="525" w:type="pct"/>
            <w:tcBorders>
              <w:tl2br w:val="nil"/>
              <w:tr2bl w:val="nil"/>
            </w:tcBorders>
            <w:noWrap/>
            <w:vAlign w:val="center"/>
          </w:tcPr>
          <w:p w14:paraId="464826F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Colorectum</w:t>
            </w:r>
          </w:p>
        </w:tc>
        <w:tc>
          <w:tcPr>
            <w:tcW w:w="469" w:type="pct"/>
            <w:tcBorders>
              <w:tl2br w:val="nil"/>
              <w:tr2bl w:val="nil"/>
            </w:tcBorders>
            <w:noWrap/>
            <w:vAlign w:val="center"/>
          </w:tcPr>
          <w:p w14:paraId="3D507E5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24.64 </w:t>
            </w:r>
          </w:p>
        </w:tc>
        <w:tc>
          <w:tcPr>
            <w:tcW w:w="463" w:type="pct"/>
            <w:tcBorders>
              <w:tl2br w:val="nil"/>
              <w:tr2bl w:val="nil"/>
            </w:tcBorders>
            <w:noWrap/>
            <w:vAlign w:val="center"/>
          </w:tcPr>
          <w:p w14:paraId="5831F4B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8.40 </w:t>
            </w:r>
          </w:p>
        </w:tc>
        <w:tc>
          <w:tcPr>
            <w:tcW w:w="112" w:type="pct"/>
            <w:tcBorders>
              <w:tl2br w:val="nil"/>
              <w:tr2bl w:val="nil"/>
            </w:tcBorders>
            <w:noWrap/>
            <w:vAlign w:val="center"/>
          </w:tcPr>
          <w:p w14:paraId="2D85A12F">
            <w:pPr>
              <w:jc w:val="center"/>
              <w:rPr>
                <w:rFonts w:ascii="Times New Roman" w:hAnsi="Times New Roman" w:eastAsia="ZLKHBM-18" w:cs="Times New Roman"/>
                <w:color w:val="231F20"/>
                <w:kern w:val="0"/>
                <w:sz w:val="18"/>
                <w:szCs w:val="18"/>
                <w:highlight w:val="none"/>
                <w:lang w:bidi="ar"/>
              </w:rPr>
            </w:pPr>
          </w:p>
        </w:tc>
        <w:tc>
          <w:tcPr>
            <w:tcW w:w="578" w:type="pct"/>
            <w:tcBorders>
              <w:tl2br w:val="nil"/>
              <w:tr2bl w:val="nil"/>
            </w:tcBorders>
            <w:noWrap/>
            <w:vAlign w:val="center"/>
          </w:tcPr>
          <w:p w14:paraId="442D4A52">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Prostate</w:t>
            </w:r>
          </w:p>
        </w:tc>
        <w:tc>
          <w:tcPr>
            <w:tcW w:w="456" w:type="pct"/>
            <w:tcBorders>
              <w:tl2br w:val="nil"/>
              <w:tr2bl w:val="nil"/>
            </w:tcBorders>
            <w:noWrap/>
            <w:vAlign w:val="center"/>
          </w:tcPr>
          <w:p w14:paraId="04C1D09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11.15 </w:t>
            </w:r>
          </w:p>
        </w:tc>
        <w:tc>
          <w:tcPr>
            <w:tcW w:w="469" w:type="pct"/>
            <w:tcBorders>
              <w:tl2br w:val="nil"/>
              <w:tr2bl w:val="nil"/>
            </w:tcBorders>
            <w:noWrap/>
            <w:vAlign w:val="center"/>
          </w:tcPr>
          <w:p w14:paraId="58EA655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3.23 </w:t>
            </w:r>
          </w:p>
        </w:tc>
        <w:tc>
          <w:tcPr>
            <w:tcW w:w="112" w:type="pct"/>
            <w:tcBorders>
              <w:tl2br w:val="nil"/>
              <w:tr2bl w:val="nil"/>
            </w:tcBorders>
            <w:noWrap/>
            <w:vAlign w:val="center"/>
          </w:tcPr>
          <w:p w14:paraId="2748D35D">
            <w:pPr>
              <w:jc w:val="center"/>
              <w:rPr>
                <w:rFonts w:ascii="Times New Roman" w:hAnsi="Times New Roman" w:eastAsia="ZLKHBM-18" w:cs="Times New Roman"/>
                <w:color w:val="231F20"/>
                <w:kern w:val="0"/>
                <w:sz w:val="18"/>
                <w:szCs w:val="18"/>
                <w:highlight w:val="none"/>
                <w:lang w:bidi="ar"/>
              </w:rPr>
            </w:pPr>
          </w:p>
        </w:tc>
        <w:tc>
          <w:tcPr>
            <w:tcW w:w="532" w:type="pct"/>
            <w:tcBorders>
              <w:tl2br w:val="nil"/>
              <w:tr2bl w:val="nil"/>
            </w:tcBorders>
            <w:noWrap/>
            <w:vAlign w:val="center"/>
          </w:tcPr>
          <w:p w14:paraId="7BD9781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Liver</w:t>
            </w:r>
          </w:p>
        </w:tc>
        <w:tc>
          <w:tcPr>
            <w:tcW w:w="469" w:type="pct"/>
            <w:tcBorders>
              <w:tl2br w:val="nil"/>
              <w:tr2bl w:val="nil"/>
            </w:tcBorders>
            <w:noWrap/>
            <w:vAlign w:val="center"/>
          </w:tcPr>
          <w:p w14:paraId="643CFBAB">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16.68 </w:t>
            </w:r>
          </w:p>
        </w:tc>
        <w:tc>
          <w:tcPr>
            <w:tcW w:w="489" w:type="pct"/>
            <w:tcBorders>
              <w:tl2br w:val="nil"/>
              <w:tr2bl w:val="nil"/>
            </w:tcBorders>
            <w:noWrap/>
            <w:vAlign w:val="center"/>
          </w:tcPr>
          <w:p w14:paraId="215B507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7.03 </w:t>
            </w:r>
          </w:p>
        </w:tc>
      </w:tr>
      <w:tr w14:paraId="664B752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22" w:type="pct"/>
            <w:tcBorders>
              <w:tl2br w:val="nil"/>
              <w:tr2bl w:val="nil"/>
            </w:tcBorders>
            <w:noWrap/>
            <w:vAlign w:val="center"/>
          </w:tcPr>
          <w:p w14:paraId="5B23910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7</w:t>
            </w:r>
          </w:p>
        </w:tc>
        <w:tc>
          <w:tcPr>
            <w:tcW w:w="525" w:type="pct"/>
            <w:tcBorders>
              <w:tl2br w:val="nil"/>
              <w:tr2bl w:val="nil"/>
            </w:tcBorders>
            <w:noWrap/>
            <w:vAlign w:val="center"/>
          </w:tcPr>
          <w:p w14:paraId="164044CB">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Cervix uteri</w:t>
            </w:r>
          </w:p>
        </w:tc>
        <w:tc>
          <w:tcPr>
            <w:tcW w:w="469" w:type="pct"/>
            <w:tcBorders>
              <w:tl2br w:val="nil"/>
              <w:tr2bl w:val="nil"/>
            </w:tcBorders>
            <w:noWrap/>
            <w:vAlign w:val="center"/>
          </w:tcPr>
          <w:p w14:paraId="3BDA73E2">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16.42</w:t>
            </w:r>
          </w:p>
        </w:tc>
        <w:tc>
          <w:tcPr>
            <w:tcW w:w="463" w:type="pct"/>
            <w:tcBorders>
              <w:tl2br w:val="nil"/>
              <w:tr2bl w:val="nil"/>
            </w:tcBorders>
            <w:noWrap/>
            <w:vAlign w:val="center"/>
          </w:tcPr>
          <w:p w14:paraId="55B78FD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2.7</w:t>
            </w:r>
            <w:r>
              <w:rPr>
                <w:rFonts w:hint="eastAsia" w:ascii="Times New Roman" w:hAnsi="Times New Roman" w:eastAsia="宋体" w:cs="Times New Roman"/>
                <w:color w:val="231F20"/>
                <w:kern w:val="0"/>
                <w:sz w:val="18"/>
                <w:szCs w:val="18"/>
                <w:highlight w:val="none"/>
                <w:lang w:bidi="ar"/>
              </w:rPr>
              <w:t>0</w:t>
            </w:r>
          </w:p>
        </w:tc>
        <w:tc>
          <w:tcPr>
            <w:tcW w:w="112" w:type="pct"/>
            <w:tcBorders>
              <w:tl2br w:val="nil"/>
              <w:tr2bl w:val="nil"/>
            </w:tcBorders>
            <w:noWrap/>
            <w:vAlign w:val="center"/>
          </w:tcPr>
          <w:p w14:paraId="6EF1E0EE">
            <w:pPr>
              <w:jc w:val="center"/>
              <w:rPr>
                <w:rFonts w:ascii="Times New Roman" w:hAnsi="Times New Roman" w:eastAsia="ZLKHBM-18" w:cs="Times New Roman"/>
                <w:color w:val="231F20"/>
                <w:kern w:val="0"/>
                <w:sz w:val="18"/>
                <w:szCs w:val="18"/>
                <w:highlight w:val="none"/>
                <w:lang w:bidi="ar"/>
              </w:rPr>
            </w:pPr>
          </w:p>
        </w:tc>
        <w:tc>
          <w:tcPr>
            <w:tcW w:w="578" w:type="pct"/>
            <w:tcBorders>
              <w:tl2br w:val="nil"/>
              <w:tr2bl w:val="nil"/>
            </w:tcBorders>
            <w:noWrap/>
            <w:vAlign w:val="center"/>
          </w:tcPr>
          <w:p w14:paraId="656AE8C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Pancreas</w:t>
            </w:r>
          </w:p>
        </w:tc>
        <w:tc>
          <w:tcPr>
            <w:tcW w:w="456" w:type="pct"/>
            <w:tcBorders>
              <w:tl2br w:val="nil"/>
              <w:tr2bl w:val="nil"/>
            </w:tcBorders>
            <w:noWrap/>
            <w:vAlign w:val="center"/>
          </w:tcPr>
          <w:p w14:paraId="5EEF17D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6.37 </w:t>
            </w:r>
          </w:p>
        </w:tc>
        <w:tc>
          <w:tcPr>
            <w:tcW w:w="469" w:type="pct"/>
            <w:tcBorders>
              <w:tl2br w:val="nil"/>
              <w:tr2bl w:val="nil"/>
            </w:tcBorders>
            <w:noWrap/>
            <w:vAlign w:val="center"/>
          </w:tcPr>
          <w:p w14:paraId="041DF7E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1.84 </w:t>
            </w:r>
          </w:p>
        </w:tc>
        <w:tc>
          <w:tcPr>
            <w:tcW w:w="112" w:type="pct"/>
            <w:tcBorders>
              <w:tl2br w:val="nil"/>
              <w:tr2bl w:val="nil"/>
            </w:tcBorders>
            <w:noWrap/>
            <w:vAlign w:val="center"/>
          </w:tcPr>
          <w:p w14:paraId="11B71A15">
            <w:pPr>
              <w:jc w:val="center"/>
              <w:rPr>
                <w:rFonts w:ascii="Times New Roman" w:hAnsi="Times New Roman" w:eastAsia="ZLKHBM-18" w:cs="Times New Roman"/>
                <w:color w:val="231F20"/>
                <w:kern w:val="0"/>
                <w:sz w:val="18"/>
                <w:szCs w:val="18"/>
                <w:highlight w:val="none"/>
                <w:lang w:bidi="ar"/>
              </w:rPr>
            </w:pPr>
          </w:p>
        </w:tc>
        <w:tc>
          <w:tcPr>
            <w:tcW w:w="532" w:type="pct"/>
            <w:tcBorders>
              <w:tl2br w:val="nil"/>
              <w:tr2bl w:val="nil"/>
            </w:tcBorders>
            <w:noWrap/>
            <w:vAlign w:val="center"/>
          </w:tcPr>
          <w:p w14:paraId="1749401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Cervix uteri</w:t>
            </w:r>
          </w:p>
        </w:tc>
        <w:tc>
          <w:tcPr>
            <w:tcW w:w="469" w:type="pct"/>
            <w:tcBorders>
              <w:tl2br w:val="nil"/>
              <w:tr2bl w:val="nil"/>
            </w:tcBorders>
            <w:noWrap/>
            <w:vAlign w:val="center"/>
          </w:tcPr>
          <w:p w14:paraId="447F857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16.42 </w:t>
            </w:r>
          </w:p>
        </w:tc>
        <w:tc>
          <w:tcPr>
            <w:tcW w:w="489" w:type="pct"/>
            <w:tcBorders>
              <w:tl2br w:val="nil"/>
              <w:tr2bl w:val="nil"/>
            </w:tcBorders>
            <w:noWrap/>
            <w:vAlign w:val="center"/>
          </w:tcPr>
          <w:p w14:paraId="063125F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6.92 </w:t>
            </w:r>
          </w:p>
        </w:tc>
      </w:tr>
      <w:tr w14:paraId="3EA5A50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22" w:type="pct"/>
            <w:tcBorders>
              <w:tl2br w:val="nil"/>
              <w:tr2bl w:val="nil"/>
            </w:tcBorders>
            <w:noWrap/>
            <w:vAlign w:val="center"/>
          </w:tcPr>
          <w:p w14:paraId="480905C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8</w:t>
            </w:r>
          </w:p>
        </w:tc>
        <w:tc>
          <w:tcPr>
            <w:tcW w:w="525" w:type="pct"/>
            <w:tcBorders>
              <w:tl2br w:val="nil"/>
              <w:tr2bl w:val="nil"/>
            </w:tcBorders>
            <w:noWrap/>
            <w:vAlign w:val="center"/>
          </w:tcPr>
          <w:p w14:paraId="26568C2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Prostate</w:t>
            </w:r>
          </w:p>
        </w:tc>
        <w:tc>
          <w:tcPr>
            <w:tcW w:w="469" w:type="pct"/>
            <w:tcBorders>
              <w:tl2br w:val="nil"/>
              <w:tr2bl w:val="nil"/>
            </w:tcBorders>
            <w:noWrap/>
            <w:vAlign w:val="center"/>
          </w:tcPr>
          <w:p w14:paraId="65FEECD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11.15</w:t>
            </w:r>
          </w:p>
        </w:tc>
        <w:tc>
          <w:tcPr>
            <w:tcW w:w="463" w:type="pct"/>
            <w:tcBorders>
              <w:tl2br w:val="nil"/>
              <w:tr2bl w:val="nil"/>
            </w:tcBorders>
            <w:noWrap/>
            <w:vAlign w:val="center"/>
          </w:tcPr>
          <w:p w14:paraId="37C8E1D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1.97</w:t>
            </w:r>
          </w:p>
        </w:tc>
        <w:tc>
          <w:tcPr>
            <w:tcW w:w="112" w:type="pct"/>
            <w:tcBorders>
              <w:tl2br w:val="nil"/>
              <w:tr2bl w:val="nil"/>
            </w:tcBorders>
            <w:noWrap/>
            <w:vAlign w:val="center"/>
          </w:tcPr>
          <w:p w14:paraId="4A80F4ED">
            <w:pPr>
              <w:jc w:val="center"/>
              <w:rPr>
                <w:rFonts w:ascii="Times New Roman" w:hAnsi="Times New Roman" w:eastAsia="ZLKHBM-18" w:cs="Times New Roman"/>
                <w:color w:val="231F20"/>
                <w:kern w:val="0"/>
                <w:sz w:val="18"/>
                <w:szCs w:val="18"/>
                <w:highlight w:val="none"/>
                <w:lang w:bidi="ar"/>
              </w:rPr>
            </w:pPr>
          </w:p>
        </w:tc>
        <w:tc>
          <w:tcPr>
            <w:tcW w:w="578" w:type="pct"/>
            <w:tcBorders>
              <w:tl2br w:val="nil"/>
              <w:tr2bl w:val="nil"/>
            </w:tcBorders>
            <w:noWrap/>
            <w:vAlign w:val="center"/>
          </w:tcPr>
          <w:p w14:paraId="37B97992">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Brain &amp; CNS</w:t>
            </w:r>
          </w:p>
        </w:tc>
        <w:tc>
          <w:tcPr>
            <w:tcW w:w="456" w:type="pct"/>
            <w:tcBorders>
              <w:tl2br w:val="nil"/>
              <w:tr2bl w:val="nil"/>
            </w:tcBorders>
            <w:noWrap/>
            <w:vAlign w:val="center"/>
          </w:tcPr>
          <w:p w14:paraId="1C1F7CA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6.21 </w:t>
            </w:r>
          </w:p>
        </w:tc>
        <w:tc>
          <w:tcPr>
            <w:tcW w:w="469" w:type="pct"/>
            <w:tcBorders>
              <w:tl2br w:val="nil"/>
              <w:tr2bl w:val="nil"/>
            </w:tcBorders>
            <w:noWrap/>
            <w:vAlign w:val="center"/>
          </w:tcPr>
          <w:p w14:paraId="307ECB4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1.80 </w:t>
            </w:r>
          </w:p>
        </w:tc>
        <w:tc>
          <w:tcPr>
            <w:tcW w:w="112" w:type="pct"/>
            <w:tcBorders>
              <w:tl2br w:val="nil"/>
              <w:tr2bl w:val="nil"/>
            </w:tcBorders>
            <w:noWrap/>
            <w:vAlign w:val="center"/>
          </w:tcPr>
          <w:p w14:paraId="4C3792CB">
            <w:pPr>
              <w:jc w:val="center"/>
              <w:rPr>
                <w:rFonts w:ascii="Times New Roman" w:hAnsi="Times New Roman" w:eastAsia="ZLKHBM-18" w:cs="Times New Roman"/>
                <w:color w:val="231F20"/>
                <w:kern w:val="0"/>
                <w:sz w:val="18"/>
                <w:szCs w:val="18"/>
                <w:highlight w:val="none"/>
                <w:lang w:bidi="ar"/>
              </w:rPr>
            </w:pPr>
          </w:p>
        </w:tc>
        <w:tc>
          <w:tcPr>
            <w:tcW w:w="532" w:type="pct"/>
            <w:tcBorders>
              <w:tl2br w:val="nil"/>
              <w:tr2bl w:val="nil"/>
            </w:tcBorders>
            <w:noWrap/>
            <w:vAlign w:val="center"/>
          </w:tcPr>
          <w:p w14:paraId="7AF0335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Thyroid</w:t>
            </w:r>
          </w:p>
        </w:tc>
        <w:tc>
          <w:tcPr>
            <w:tcW w:w="469" w:type="pct"/>
            <w:tcBorders>
              <w:tl2br w:val="nil"/>
              <w:tr2bl w:val="nil"/>
            </w:tcBorders>
            <w:noWrap/>
            <w:vAlign w:val="center"/>
          </w:tcPr>
          <w:p w14:paraId="053196F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9.51 </w:t>
            </w:r>
          </w:p>
        </w:tc>
        <w:tc>
          <w:tcPr>
            <w:tcW w:w="489" w:type="pct"/>
            <w:tcBorders>
              <w:tl2br w:val="nil"/>
              <w:tr2bl w:val="nil"/>
            </w:tcBorders>
            <w:noWrap/>
            <w:vAlign w:val="center"/>
          </w:tcPr>
          <w:p w14:paraId="4E32310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4.01 </w:t>
            </w:r>
          </w:p>
        </w:tc>
      </w:tr>
      <w:tr w14:paraId="4B22088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22" w:type="pct"/>
            <w:tcBorders>
              <w:tl2br w:val="nil"/>
              <w:tr2bl w:val="nil"/>
            </w:tcBorders>
            <w:noWrap/>
            <w:vAlign w:val="center"/>
          </w:tcPr>
          <w:p w14:paraId="5219B40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9</w:t>
            </w:r>
          </w:p>
        </w:tc>
        <w:tc>
          <w:tcPr>
            <w:tcW w:w="525" w:type="pct"/>
            <w:tcBorders>
              <w:tl2br w:val="nil"/>
              <w:tr2bl w:val="nil"/>
            </w:tcBorders>
            <w:noWrap/>
            <w:vAlign w:val="center"/>
          </w:tcPr>
          <w:p w14:paraId="0792054B">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Corpus uteri</w:t>
            </w:r>
          </w:p>
        </w:tc>
        <w:tc>
          <w:tcPr>
            <w:tcW w:w="469" w:type="pct"/>
            <w:tcBorders>
              <w:tl2br w:val="nil"/>
              <w:tr2bl w:val="nil"/>
            </w:tcBorders>
            <w:noWrap/>
            <w:vAlign w:val="center"/>
          </w:tcPr>
          <w:p w14:paraId="52FE9BD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6.51 </w:t>
            </w:r>
          </w:p>
        </w:tc>
        <w:tc>
          <w:tcPr>
            <w:tcW w:w="463" w:type="pct"/>
            <w:tcBorders>
              <w:tl2br w:val="nil"/>
              <w:tr2bl w:val="nil"/>
            </w:tcBorders>
            <w:noWrap/>
            <w:vAlign w:val="center"/>
          </w:tcPr>
          <w:p w14:paraId="3E52E7F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1.07 </w:t>
            </w:r>
          </w:p>
        </w:tc>
        <w:tc>
          <w:tcPr>
            <w:tcW w:w="112" w:type="pct"/>
            <w:tcBorders>
              <w:tl2br w:val="nil"/>
              <w:tr2bl w:val="nil"/>
            </w:tcBorders>
            <w:noWrap/>
            <w:vAlign w:val="center"/>
          </w:tcPr>
          <w:p w14:paraId="2DD59AE7">
            <w:pPr>
              <w:jc w:val="center"/>
              <w:rPr>
                <w:rFonts w:ascii="Times New Roman" w:hAnsi="Times New Roman" w:eastAsia="ZLKHBM-18" w:cs="Times New Roman"/>
                <w:color w:val="231F20"/>
                <w:kern w:val="0"/>
                <w:sz w:val="18"/>
                <w:szCs w:val="18"/>
                <w:highlight w:val="none"/>
                <w:lang w:bidi="ar"/>
              </w:rPr>
            </w:pPr>
          </w:p>
        </w:tc>
        <w:tc>
          <w:tcPr>
            <w:tcW w:w="578" w:type="pct"/>
            <w:tcBorders>
              <w:tl2br w:val="nil"/>
              <w:tr2bl w:val="nil"/>
            </w:tcBorders>
            <w:noWrap/>
            <w:vAlign w:val="center"/>
          </w:tcPr>
          <w:p w14:paraId="3128F0F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Bladder</w:t>
            </w:r>
          </w:p>
        </w:tc>
        <w:tc>
          <w:tcPr>
            <w:tcW w:w="456" w:type="pct"/>
            <w:tcBorders>
              <w:tl2br w:val="nil"/>
              <w:tr2bl w:val="nil"/>
            </w:tcBorders>
            <w:noWrap/>
            <w:vAlign w:val="center"/>
          </w:tcPr>
          <w:p w14:paraId="3011013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5.74 </w:t>
            </w:r>
          </w:p>
        </w:tc>
        <w:tc>
          <w:tcPr>
            <w:tcW w:w="469" w:type="pct"/>
            <w:tcBorders>
              <w:tl2br w:val="nil"/>
              <w:tr2bl w:val="nil"/>
            </w:tcBorders>
            <w:noWrap/>
            <w:vAlign w:val="center"/>
          </w:tcPr>
          <w:p w14:paraId="475EE78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1.66 </w:t>
            </w:r>
          </w:p>
        </w:tc>
        <w:tc>
          <w:tcPr>
            <w:tcW w:w="112" w:type="pct"/>
            <w:tcBorders>
              <w:tl2br w:val="nil"/>
              <w:tr2bl w:val="nil"/>
            </w:tcBorders>
            <w:noWrap/>
            <w:vAlign w:val="center"/>
          </w:tcPr>
          <w:p w14:paraId="1304FF40">
            <w:pPr>
              <w:jc w:val="center"/>
              <w:rPr>
                <w:rFonts w:ascii="Times New Roman" w:hAnsi="Times New Roman" w:eastAsia="ZLKHBM-18" w:cs="Times New Roman"/>
                <w:color w:val="231F20"/>
                <w:kern w:val="0"/>
                <w:sz w:val="18"/>
                <w:szCs w:val="18"/>
                <w:highlight w:val="none"/>
                <w:lang w:bidi="ar"/>
              </w:rPr>
            </w:pPr>
          </w:p>
        </w:tc>
        <w:tc>
          <w:tcPr>
            <w:tcW w:w="532" w:type="pct"/>
            <w:tcBorders>
              <w:tl2br w:val="nil"/>
              <w:tr2bl w:val="nil"/>
            </w:tcBorders>
            <w:noWrap/>
            <w:vAlign w:val="center"/>
          </w:tcPr>
          <w:p w14:paraId="6F0F49B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Corpus uteri</w:t>
            </w:r>
          </w:p>
        </w:tc>
        <w:tc>
          <w:tcPr>
            <w:tcW w:w="469" w:type="pct"/>
            <w:tcBorders>
              <w:tl2br w:val="nil"/>
              <w:tr2bl w:val="nil"/>
            </w:tcBorders>
            <w:noWrap/>
            <w:vAlign w:val="center"/>
          </w:tcPr>
          <w:p w14:paraId="6651B532">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6.51 </w:t>
            </w:r>
          </w:p>
        </w:tc>
        <w:tc>
          <w:tcPr>
            <w:tcW w:w="489" w:type="pct"/>
            <w:tcBorders>
              <w:tl2br w:val="nil"/>
              <w:tr2bl w:val="nil"/>
            </w:tcBorders>
            <w:noWrap/>
            <w:vAlign w:val="center"/>
          </w:tcPr>
          <w:p w14:paraId="6105B1AB">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2.74 </w:t>
            </w:r>
          </w:p>
        </w:tc>
      </w:tr>
      <w:tr w14:paraId="312E95B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22" w:type="pct"/>
            <w:tcBorders>
              <w:tl2br w:val="nil"/>
              <w:tr2bl w:val="nil"/>
            </w:tcBorders>
            <w:noWrap/>
            <w:vAlign w:val="center"/>
          </w:tcPr>
          <w:p w14:paraId="20D3E3B0">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10</w:t>
            </w:r>
          </w:p>
        </w:tc>
        <w:tc>
          <w:tcPr>
            <w:tcW w:w="525" w:type="pct"/>
            <w:tcBorders>
              <w:tl2br w:val="nil"/>
              <w:tr2bl w:val="nil"/>
            </w:tcBorders>
            <w:noWrap/>
            <w:vAlign w:val="center"/>
          </w:tcPr>
          <w:p w14:paraId="21EE095F">
            <w:pPr>
              <w:widowControl/>
              <w:jc w:val="center"/>
              <w:textAlignment w:val="center"/>
              <w:rPr>
                <w:rFonts w:ascii="Times New Roman" w:hAnsi="Times New Roman" w:eastAsia="ZLKHBM-18" w:cs="Times New Roman"/>
                <w:color w:val="231F20"/>
                <w:kern w:val="0"/>
                <w:sz w:val="18"/>
                <w:szCs w:val="18"/>
                <w:highlight w:val="none"/>
                <w:lang w:bidi="ar"/>
              </w:rPr>
            </w:pPr>
            <w:r>
              <w:rPr>
                <w:rFonts w:hint="eastAsia" w:ascii="Times New Roman" w:hAnsi="Times New Roman" w:eastAsia="宋体" w:cs="Times New Roman"/>
                <w:color w:val="231F20"/>
                <w:kern w:val="0"/>
                <w:sz w:val="18"/>
                <w:szCs w:val="18"/>
                <w:highlight w:val="none"/>
                <w:lang w:bidi="ar"/>
              </w:rPr>
              <w:t>O</w:t>
            </w:r>
            <w:r>
              <w:rPr>
                <w:rFonts w:ascii="Times New Roman" w:hAnsi="Times New Roman" w:eastAsia="宋体" w:cs="Times New Roman"/>
                <w:color w:val="231F20"/>
                <w:kern w:val="0"/>
                <w:sz w:val="18"/>
                <w:szCs w:val="18"/>
                <w:highlight w:val="none"/>
                <w:lang w:bidi="ar"/>
              </w:rPr>
              <w:t>varian</w:t>
            </w:r>
          </w:p>
        </w:tc>
        <w:tc>
          <w:tcPr>
            <w:tcW w:w="469" w:type="pct"/>
            <w:tcBorders>
              <w:tl2br w:val="nil"/>
              <w:tr2bl w:val="nil"/>
            </w:tcBorders>
            <w:noWrap/>
            <w:vAlign w:val="center"/>
          </w:tcPr>
          <w:p w14:paraId="481CCCD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6.33 </w:t>
            </w:r>
          </w:p>
        </w:tc>
        <w:tc>
          <w:tcPr>
            <w:tcW w:w="463" w:type="pct"/>
            <w:tcBorders>
              <w:tl2br w:val="nil"/>
              <w:tr2bl w:val="nil"/>
            </w:tcBorders>
            <w:noWrap/>
            <w:vAlign w:val="center"/>
          </w:tcPr>
          <w:p w14:paraId="29AE5C3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1.04 </w:t>
            </w:r>
          </w:p>
        </w:tc>
        <w:tc>
          <w:tcPr>
            <w:tcW w:w="112" w:type="pct"/>
            <w:tcBorders>
              <w:tl2br w:val="nil"/>
              <w:tr2bl w:val="nil"/>
            </w:tcBorders>
            <w:noWrap/>
            <w:vAlign w:val="center"/>
          </w:tcPr>
          <w:p w14:paraId="01CCE28F">
            <w:pPr>
              <w:jc w:val="center"/>
              <w:rPr>
                <w:rFonts w:ascii="Times New Roman" w:hAnsi="Times New Roman" w:eastAsia="ZLKHBM-18" w:cs="Times New Roman"/>
                <w:color w:val="231F20"/>
                <w:kern w:val="0"/>
                <w:sz w:val="18"/>
                <w:szCs w:val="18"/>
                <w:highlight w:val="none"/>
                <w:lang w:bidi="ar"/>
              </w:rPr>
            </w:pPr>
          </w:p>
        </w:tc>
        <w:tc>
          <w:tcPr>
            <w:tcW w:w="578" w:type="pct"/>
            <w:tcBorders>
              <w:tl2br w:val="nil"/>
              <w:tr2bl w:val="nil"/>
            </w:tcBorders>
            <w:noWrap/>
            <w:vAlign w:val="center"/>
          </w:tcPr>
          <w:p w14:paraId="0BD3FC0C">
            <w:pPr>
              <w:widowControl/>
              <w:jc w:val="center"/>
              <w:textAlignment w:val="center"/>
              <w:rPr>
                <w:rFonts w:ascii="Times New Roman" w:hAnsi="Times New Roman" w:eastAsia="ZLKHBM-18" w:cs="Times New Roman"/>
                <w:color w:val="231F20"/>
                <w:kern w:val="0"/>
                <w:sz w:val="18"/>
                <w:szCs w:val="18"/>
                <w:highlight w:val="none"/>
                <w:lang w:bidi="ar"/>
              </w:rPr>
            </w:pPr>
            <w:r>
              <w:rPr>
                <w:rFonts w:hint="eastAsia" w:ascii="Times New Roman" w:hAnsi="Times New Roman" w:eastAsia="宋体" w:cs="Times New Roman"/>
                <w:color w:val="231F20"/>
                <w:kern w:val="0"/>
                <w:sz w:val="18"/>
                <w:szCs w:val="18"/>
                <w:highlight w:val="none"/>
                <w:lang w:bidi="ar"/>
              </w:rPr>
              <w:t>N</w:t>
            </w:r>
            <w:r>
              <w:rPr>
                <w:rFonts w:ascii="Times New Roman" w:hAnsi="Times New Roman" w:eastAsia="宋体" w:cs="Times New Roman"/>
                <w:color w:val="231F20"/>
                <w:kern w:val="0"/>
                <w:sz w:val="18"/>
                <w:szCs w:val="18"/>
                <w:highlight w:val="none"/>
                <w:lang w:bidi="ar"/>
              </w:rPr>
              <w:t>asopharynx</w:t>
            </w:r>
          </w:p>
        </w:tc>
        <w:tc>
          <w:tcPr>
            <w:tcW w:w="456" w:type="pct"/>
            <w:tcBorders>
              <w:tl2br w:val="nil"/>
              <w:tr2bl w:val="nil"/>
            </w:tcBorders>
            <w:noWrap/>
            <w:vAlign w:val="center"/>
          </w:tcPr>
          <w:p w14:paraId="5DC7F08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5.37 </w:t>
            </w:r>
          </w:p>
        </w:tc>
        <w:tc>
          <w:tcPr>
            <w:tcW w:w="469" w:type="pct"/>
            <w:tcBorders>
              <w:tl2br w:val="nil"/>
              <w:tr2bl w:val="nil"/>
            </w:tcBorders>
            <w:noWrap/>
            <w:vAlign w:val="center"/>
          </w:tcPr>
          <w:p w14:paraId="63AC4502">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1.55 </w:t>
            </w:r>
          </w:p>
        </w:tc>
        <w:tc>
          <w:tcPr>
            <w:tcW w:w="112" w:type="pct"/>
            <w:tcBorders>
              <w:tl2br w:val="nil"/>
              <w:tr2bl w:val="nil"/>
            </w:tcBorders>
            <w:noWrap/>
            <w:vAlign w:val="center"/>
          </w:tcPr>
          <w:p w14:paraId="029E7C75">
            <w:pPr>
              <w:jc w:val="center"/>
              <w:rPr>
                <w:rFonts w:ascii="Times New Roman" w:hAnsi="Times New Roman" w:eastAsia="ZLKHBM-18" w:cs="Times New Roman"/>
                <w:color w:val="231F20"/>
                <w:kern w:val="0"/>
                <w:sz w:val="18"/>
                <w:szCs w:val="18"/>
                <w:highlight w:val="none"/>
                <w:lang w:bidi="ar"/>
              </w:rPr>
            </w:pPr>
          </w:p>
        </w:tc>
        <w:tc>
          <w:tcPr>
            <w:tcW w:w="532" w:type="pct"/>
            <w:tcBorders>
              <w:tl2br w:val="nil"/>
              <w:tr2bl w:val="nil"/>
            </w:tcBorders>
            <w:noWrap/>
            <w:vAlign w:val="center"/>
          </w:tcPr>
          <w:p w14:paraId="0DF68261">
            <w:pPr>
              <w:widowControl/>
              <w:jc w:val="center"/>
              <w:textAlignment w:val="center"/>
              <w:rPr>
                <w:rFonts w:ascii="Times New Roman" w:hAnsi="Times New Roman" w:eastAsia="ZLKHBM-18" w:cs="Times New Roman"/>
                <w:color w:val="231F20"/>
                <w:kern w:val="0"/>
                <w:sz w:val="18"/>
                <w:szCs w:val="18"/>
                <w:highlight w:val="none"/>
                <w:lang w:bidi="ar"/>
              </w:rPr>
            </w:pPr>
            <w:r>
              <w:rPr>
                <w:rFonts w:hint="eastAsia" w:ascii="Times New Roman" w:hAnsi="Times New Roman" w:eastAsia="宋体" w:cs="Times New Roman"/>
                <w:color w:val="231F20"/>
                <w:kern w:val="0"/>
                <w:sz w:val="18"/>
                <w:szCs w:val="18"/>
                <w:highlight w:val="none"/>
                <w:lang w:bidi="ar"/>
              </w:rPr>
              <w:t>O</w:t>
            </w:r>
            <w:r>
              <w:rPr>
                <w:rFonts w:ascii="Times New Roman" w:hAnsi="Times New Roman" w:eastAsia="宋体" w:cs="Times New Roman"/>
                <w:color w:val="231F20"/>
                <w:kern w:val="0"/>
                <w:sz w:val="18"/>
                <w:szCs w:val="18"/>
                <w:highlight w:val="none"/>
                <w:lang w:bidi="ar"/>
              </w:rPr>
              <w:t>varian</w:t>
            </w:r>
          </w:p>
        </w:tc>
        <w:tc>
          <w:tcPr>
            <w:tcW w:w="469" w:type="pct"/>
            <w:tcBorders>
              <w:tl2br w:val="nil"/>
              <w:tr2bl w:val="nil"/>
            </w:tcBorders>
            <w:noWrap/>
            <w:vAlign w:val="center"/>
          </w:tcPr>
          <w:p w14:paraId="1B3A459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6.33 </w:t>
            </w:r>
          </w:p>
        </w:tc>
        <w:tc>
          <w:tcPr>
            <w:tcW w:w="489" w:type="pct"/>
            <w:tcBorders>
              <w:tl2br w:val="nil"/>
              <w:tr2bl w:val="nil"/>
            </w:tcBorders>
            <w:noWrap/>
            <w:vAlign w:val="center"/>
          </w:tcPr>
          <w:p w14:paraId="4A60DC3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2.67 </w:t>
            </w:r>
          </w:p>
        </w:tc>
      </w:tr>
    </w:tbl>
    <w:p w14:paraId="37CF07C5">
      <w:pPr>
        <w:spacing w:line="240" w:lineRule="auto"/>
        <w:jc w:val="left"/>
        <w:rPr>
          <w:rFonts w:hint="eastAsia" w:ascii="Times New Roman" w:hAnsi="Times New Roman" w:cs="Times New Roman"/>
          <w:sz w:val="28"/>
          <w:szCs w:val="28"/>
          <w:highlight w:val="none"/>
          <w:lang w:eastAsia="zh-CN"/>
        </w:rPr>
      </w:pPr>
      <w:r>
        <w:rPr>
          <w:rFonts w:ascii="Times New Roman" w:hAnsi="Times New Roman" w:cs="Times New Roman"/>
          <w:sz w:val="16"/>
          <w:szCs w:val="16"/>
          <w:highlight w:val="none"/>
        </w:rPr>
        <w:t>Note: Breast cancer cases include females only.</w:t>
      </w:r>
    </w:p>
    <w:p w14:paraId="2BDD7B75">
      <w:pPr>
        <w:spacing w:line="360" w:lineRule="auto"/>
        <w:ind w:firstLine="560" w:firstLineChars="200"/>
        <w:jc w:val="both"/>
        <w:rPr>
          <w:rFonts w:hint="eastAsia" w:ascii="Times New Roman" w:hAnsi="Times New Roman" w:cs="Times New Roman"/>
          <w:sz w:val="28"/>
          <w:szCs w:val="28"/>
          <w:highlight w:val="none"/>
          <w:lang w:eastAsia="zh-CN"/>
        </w:rPr>
      </w:pPr>
      <w:r>
        <w:rPr>
          <w:rFonts w:hint="eastAsia" w:ascii="Times New Roman" w:hAnsi="Times New Roman" w:cs="Times New Roman"/>
          <w:sz w:val="28"/>
          <w:szCs w:val="28"/>
          <w:highlight w:val="none"/>
          <w:lang w:eastAsia="zh-CN"/>
        </w:rPr>
        <w:t>2018—2023遂宁市全人群恶性肿瘤粗死亡率前五位依次为肺癌（52.96/10万）、肝癌（30.45/10万）、胃癌（30.42/10万）、食管癌（25.00/10万）和结直肠癌（12.68/10万），粗死亡率前十</w:t>
      </w:r>
      <w:r>
        <w:rPr>
          <w:rFonts w:hint="eastAsia" w:ascii="Times New Roman" w:hAnsi="Times New Roman" w:cs="Times New Roman"/>
          <w:sz w:val="28"/>
          <w:szCs w:val="28"/>
          <w:highlight w:val="none"/>
          <w:lang w:val="en-US" w:eastAsia="zh-CN"/>
        </w:rPr>
        <w:t>恶性肿瘤</w:t>
      </w:r>
      <w:r>
        <w:rPr>
          <w:rFonts w:hint="eastAsia" w:ascii="Times New Roman" w:hAnsi="Times New Roman" w:cs="Times New Roman"/>
          <w:sz w:val="28"/>
          <w:szCs w:val="28"/>
          <w:highlight w:val="none"/>
          <w:lang w:eastAsia="zh-CN"/>
        </w:rPr>
        <w:t>占所有恶性肿瘤的86.3</w:t>
      </w:r>
      <w:r>
        <w:rPr>
          <w:rFonts w:hint="eastAsia" w:ascii="Times New Roman" w:hAnsi="Times New Roman" w:cs="Times New Roman"/>
          <w:sz w:val="28"/>
          <w:szCs w:val="28"/>
          <w:highlight w:val="none"/>
          <w:lang w:val="en-US" w:eastAsia="zh-CN"/>
        </w:rPr>
        <w:t>2</w:t>
      </w:r>
      <w:r>
        <w:rPr>
          <w:rFonts w:hint="eastAsia" w:ascii="Times New Roman" w:hAnsi="Times New Roman" w:cs="Times New Roman"/>
          <w:sz w:val="28"/>
          <w:szCs w:val="28"/>
          <w:highlight w:val="none"/>
          <w:lang w:eastAsia="zh-CN"/>
        </w:rPr>
        <w:t>%。不同性别恶性肿瘤粗死亡率前五位与全人群一致，</w:t>
      </w:r>
      <w:r>
        <w:rPr>
          <w:rFonts w:hint="eastAsia" w:ascii="Times New Roman" w:hAnsi="Times New Roman" w:cs="Times New Roman"/>
          <w:sz w:val="28"/>
          <w:szCs w:val="28"/>
          <w:highlight w:val="none"/>
          <w:lang w:val="en-US" w:eastAsia="zh-CN"/>
        </w:rPr>
        <w:t>仅女性二三位顺序不同，</w:t>
      </w:r>
      <w:r>
        <w:rPr>
          <w:rFonts w:hint="eastAsia" w:ascii="Times New Roman" w:hAnsi="Times New Roman" w:cs="Times New Roman"/>
          <w:sz w:val="28"/>
          <w:szCs w:val="28"/>
          <w:highlight w:val="none"/>
          <w:lang w:eastAsia="zh-CN"/>
        </w:rPr>
        <w:t>男、女性粗死亡率前十</w:t>
      </w:r>
      <w:r>
        <w:rPr>
          <w:rFonts w:hint="eastAsia" w:ascii="Times New Roman" w:hAnsi="Times New Roman" w:cs="Times New Roman"/>
          <w:sz w:val="28"/>
          <w:szCs w:val="28"/>
          <w:highlight w:val="none"/>
          <w:lang w:val="en-US" w:eastAsia="zh-CN"/>
        </w:rPr>
        <w:t>恶性肿瘤</w:t>
      </w:r>
      <w:r>
        <w:rPr>
          <w:rFonts w:hint="eastAsia" w:ascii="Times New Roman" w:hAnsi="Times New Roman" w:cs="Times New Roman"/>
          <w:sz w:val="28"/>
          <w:szCs w:val="28"/>
          <w:highlight w:val="none"/>
          <w:lang w:eastAsia="zh-CN"/>
        </w:rPr>
        <w:t xml:space="preserve">分别占所有恶性肿瘤的90.98%和83.58%（Table </w:t>
      </w:r>
      <w:r>
        <w:rPr>
          <w:rFonts w:hint="eastAsia" w:ascii="Times New Roman" w:hAnsi="Times New Roman" w:cs="Times New Roman"/>
          <w:sz w:val="28"/>
          <w:szCs w:val="28"/>
          <w:highlight w:val="none"/>
          <w:lang w:val="en-US" w:eastAsia="zh-CN"/>
        </w:rPr>
        <w:t>7</w:t>
      </w:r>
      <w:r>
        <w:rPr>
          <w:rFonts w:hint="eastAsia" w:ascii="Times New Roman" w:hAnsi="Times New Roman" w:cs="Times New Roman"/>
          <w:sz w:val="28"/>
          <w:szCs w:val="28"/>
          <w:highlight w:val="none"/>
          <w:lang w:eastAsia="zh-CN"/>
        </w:rPr>
        <w:t>）。</w:t>
      </w:r>
    </w:p>
    <w:p w14:paraId="6BFBCEC5">
      <w:pPr>
        <w:spacing w:line="360" w:lineRule="auto"/>
        <w:jc w:val="center"/>
        <w:rPr>
          <w:rFonts w:ascii="Times New Roman" w:hAnsi="Times New Roman" w:cs="Times New Roman"/>
          <w:sz w:val="24"/>
          <w:highlight w:val="none"/>
        </w:rPr>
      </w:pPr>
      <w:r>
        <w:rPr>
          <w:rFonts w:ascii="Times New Roman" w:hAnsi="Times New Roman" w:eastAsia="宋体" w:cs="Times New Roman"/>
          <w:sz w:val="24"/>
          <w:highlight w:val="none"/>
        </w:rPr>
        <w:t xml:space="preserve">Table </w:t>
      </w:r>
      <w:r>
        <w:rPr>
          <w:rFonts w:hint="eastAsia" w:ascii="Times New Roman" w:hAnsi="Times New Roman" w:eastAsia="宋体" w:cs="Times New Roman"/>
          <w:sz w:val="24"/>
          <w:highlight w:val="none"/>
          <w:lang w:val="en-US" w:eastAsia="zh-CN"/>
        </w:rPr>
        <w:t>7</w:t>
      </w:r>
      <w:r>
        <w:rPr>
          <w:rFonts w:ascii="Times New Roman" w:hAnsi="Times New Roman" w:eastAsia="宋体" w:cs="Times New Roman"/>
          <w:sz w:val="24"/>
          <w:highlight w:val="none"/>
        </w:rPr>
        <w:t xml:space="preserve"> </w:t>
      </w:r>
      <w:r>
        <w:rPr>
          <w:rFonts w:ascii="Times New Roman" w:hAnsi="Times New Roman" w:cs="Times New Roman"/>
          <w:sz w:val="24"/>
          <w:highlight w:val="none"/>
        </w:rPr>
        <w:t>Mortality</w:t>
      </w:r>
      <w:r>
        <w:rPr>
          <w:rFonts w:ascii="Times New Roman" w:hAnsi="Times New Roman" w:eastAsia="宋体" w:cs="Times New Roman"/>
          <w:sz w:val="24"/>
          <w:highlight w:val="none"/>
        </w:rPr>
        <w:t xml:space="preserve"> rank of malignant neoplasms in </w:t>
      </w:r>
      <w:r>
        <w:rPr>
          <w:rFonts w:ascii="Times New Roman" w:hAnsi="Times New Roman" w:cs="Times New Roman"/>
          <w:sz w:val="24"/>
          <w:highlight w:val="none"/>
        </w:rPr>
        <w:t>Suining from 2018 to 2023</w:t>
      </w:r>
    </w:p>
    <w:tbl>
      <w:tblPr>
        <w:tblStyle w:val="7"/>
        <w:tblW w:w="6585"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1"/>
        <w:gridCol w:w="1350"/>
        <w:gridCol w:w="990"/>
        <w:gridCol w:w="1019"/>
        <w:gridCol w:w="240"/>
        <w:gridCol w:w="1336"/>
        <w:gridCol w:w="975"/>
        <w:gridCol w:w="1035"/>
        <w:gridCol w:w="240"/>
        <w:gridCol w:w="1305"/>
        <w:gridCol w:w="1020"/>
        <w:gridCol w:w="1025"/>
      </w:tblGrid>
      <w:tr w14:paraId="4070C1C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303" w:type="pct"/>
            <w:vMerge w:val="restart"/>
            <w:tcBorders>
              <w:tl2br w:val="nil"/>
              <w:tr2bl w:val="nil"/>
            </w:tcBorders>
            <w:noWrap/>
            <w:vAlign w:val="center"/>
          </w:tcPr>
          <w:p w14:paraId="30151DBD">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Order</w:t>
            </w:r>
          </w:p>
        </w:tc>
        <w:tc>
          <w:tcPr>
            <w:tcW w:w="1497" w:type="pct"/>
            <w:gridSpan w:val="3"/>
            <w:tcBorders>
              <w:bottom w:val="single" w:color="000000" w:sz="6" w:space="0"/>
              <w:tl2br w:val="nil"/>
              <w:tr2bl w:val="nil"/>
            </w:tcBorders>
            <w:noWrap/>
            <w:vAlign w:val="center"/>
          </w:tcPr>
          <w:p w14:paraId="7A4FAFE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Both</w:t>
            </w:r>
          </w:p>
        </w:tc>
        <w:tc>
          <w:tcPr>
            <w:tcW w:w="106" w:type="pct"/>
            <w:tcBorders>
              <w:tl2br w:val="nil"/>
              <w:tr2bl w:val="nil"/>
            </w:tcBorders>
            <w:noWrap/>
            <w:vAlign w:val="center"/>
          </w:tcPr>
          <w:p w14:paraId="48A2D4C1">
            <w:pPr>
              <w:widowControl/>
              <w:jc w:val="center"/>
              <w:textAlignment w:val="center"/>
              <w:rPr>
                <w:rFonts w:ascii="Times New Roman" w:hAnsi="Times New Roman" w:eastAsia="ZLKHBM-18" w:cs="Times New Roman"/>
                <w:color w:val="231F20"/>
                <w:kern w:val="0"/>
                <w:sz w:val="18"/>
                <w:szCs w:val="18"/>
                <w:highlight w:val="none"/>
                <w:lang w:bidi="ar"/>
              </w:rPr>
            </w:pPr>
          </w:p>
        </w:tc>
        <w:tc>
          <w:tcPr>
            <w:tcW w:w="1491" w:type="pct"/>
            <w:gridSpan w:val="3"/>
            <w:tcBorders>
              <w:bottom w:val="single" w:color="000000" w:sz="6" w:space="0"/>
              <w:tl2br w:val="nil"/>
              <w:tr2bl w:val="nil"/>
            </w:tcBorders>
            <w:noWrap/>
            <w:vAlign w:val="center"/>
          </w:tcPr>
          <w:p w14:paraId="60348E6B">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Male</w:t>
            </w:r>
          </w:p>
        </w:tc>
        <w:tc>
          <w:tcPr>
            <w:tcW w:w="106" w:type="pct"/>
            <w:tcBorders>
              <w:tl2br w:val="nil"/>
              <w:tr2bl w:val="nil"/>
            </w:tcBorders>
            <w:noWrap/>
            <w:vAlign w:val="center"/>
          </w:tcPr>
          <w:p w14:paraId="6D6F1F4D">
            <w:pPr>
              <w:widowControl/>
              <w:jc w:val="center"/>
              <w:textAlignment w:val="center"/>
              <w:rPr>
                <w:rFonts w:ascii="Times New Roman" w:hAnsi="Times New Roman" w:eastAsia="ZLKHBM-18" w:cs="Times New Roman"/>
                <w:color w:val="231F20"/>
                <w:kern w:val="0"/>
                <w:sz w:val="18"/>
                <w:szCs w:val="18"/>
                <w:highlight w:val="none"/>
                <w:lang w:bidi="ar"/>
              </w:rPr>
            </w:pPr>
          </w:p>
        </w:tc>
        <w:tc>
          <w:tcPr>
            <w:tcW w:w="1493" w:type="pct"/>
            <w:gridSpan w:val="3"/>
            <w:tcBorders>
              <w:bottom w:val="single" w:color="000000" w:sz="6" w:space="0"/>
              <w:tl2br w:val="nil"/>
              <w:tr2bl w:val="nil"/>
            </w:tcBorders>
            <w:noWrap/>
            <w:vAlign w:val="center"/>
          </w:tcPr>
          <w:p w14:paraId="4C8C5A8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Female</w:t>
            </w:r>
          </w:p>
        </w:tc>
      </w:tr>
      <w:tr w14:paraId="4261532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jc w:val="center"/>
        </w:trPr>
        <w:tc>
          <w:tcPr>
            <w:tcW w:w="303" w:type="pct"/>
            <w:vMerge w:val="continue"/>
            <w:tcBorders>
              <w:bottom w:val="single" w:color="auto" w:sz="6" w:space="0"/>
              <w:tl2br w:val="nil"/>
              <w:tr2bl w:val="nil"/>
            </w:tcBorders>
            <w:noWrap/>
            <w:vAlign w:val="center"/>
          </w:tcPr>
          <w:p w14:paraId="5E696030">
            <w:pPr>
              <w:widowControl/>
              <w:jc w:val="center"/>
              <w:textAlignment w:val="center"/>
              <w:rPr>
                <w:rFonts w:ascii="Times New Roman" w:hAnsi="Times New Roman" w:eastAsia="ZLKHBM-18" w:cs="Times New Roman"/>
                <w:color w:val="231F20"/>
                <w:kern w:val="0"/>
                <w:sz w:val="18"/>
                <w:szCs w:val="18"/>
                <w:highlight w:val="none"/>
                <w:lang w:bidi="ar"/>
              </w:rPr>
            </w:pPr>
          </w:p>
        </w:tc>
        <w:tc>
          <w:tcPr>
            <w:tcW w:w="601" w:type="pct"/>
            <w:tcBorders>
              <w:top w:val="single" w:color="000000" w:sz="6" w:space="0"/>
              <w:bottom w:val="single" w:color="auto" w:sz="6" w:space="0"/>
              <w:tl2br w:val="nil"/>
              <w:tr2bl w:val="nil"/>
            </w:tcBorders>
            <w:noWrap/>
            <w:vAlign w:val="center"/>
          </w:tcPr>
          <w:p w14:paraId="7153344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Site</w:t>
            </w:r>
          </w:p>
        </w:tc>
        <w:tc>
          <w:tcPr>
            <w:tcW w:w="441" w:type="pct"/>
            <w:tcBorders>
              <w:top w:val="single" w:color="000000" w:sz="6" w:space="0"/>
              <w:bottom w:val="single" w:color="auto" w:sz="6" w:space="0"/>
              <w:tl2br w:val="nil"/>
              <w:tr2bl w:val="nil"/>
            </w:tcBorders>
            <w:noWrap/>
            <w:vAlign w:val="center"/>
          </w:tcPr>
          <w:p w14:paraId="47F1A77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Crude rate</w:t>
            </w:r>
            <w:r>
              <w:rPr>
                <w:rFonts w:hint="eastAsia" w:ascii="宋体" w:hAnsi="宋体" w:eastAsia="宋体" w:cs="宋体"/>
                <w:color w:val="231F20"/>
                <w:kern w:val="0"/>
                <w:sz w:val="18"/>
                <w:szCs w:val="18"/>
                <w:highlight w:val="none"/>
                <w:lang w:bidi="ar"/>
              </w:rPr>
              <w:t>（</w:t>
            </w:r>
            <w:r>
              <w:rPr>
                <w:rFonts w:ascii="Times New Roman" w:hAnsi="Times New Roman" w:eastAsia="ZLKHBM-18" w:cs="Times New Roman"/>
                <w:color w:val="231F20"/>
                <w:kern w:val="0"/>
                <w:sz w:val="18"/>
                <w:szCs w:val="18"/>
                <w:highlight w:val="none"/>
                <w:lang w:bidi="ar"/>
              </w:rPr>
              <w:t>1/10</w:t>
            </w:r>
            <w:r>
              <w:rPr>
                <w:rFonts w:ascii="Times New Roman" w:hAnsi="Times New Roman" w:eastAsia="ZLKHBM-18" w:cs="Times New Roman"/>
                <w:color w:val="231F20"/>
                <w:kern w:val="0"/>
                <w:sz w:val="18"/>
                <w:szCs w:val="18"/>
                <w:highlight w:val="none"/>
                <w:vertAlign w:val="superscript"/>
                <w:lang w:bidi="ar"/>
              </w:rPr>
              <w:t>5</w:t>
            </w:r>
            <w:r>
              <w:rPr>
                <w:rFonts w:hint="eastAsia" w:ascii="宋体" w:hAnsi="宋体" w:eastAsia="宋体" w:cs="宋体"/>
                <w:color w:val="231F20"/>
                <w:kern w:val="0"/>
                <w:sz w:val="18"/>
                <w:szCs w:val="18"/>
                <w:highlight w:val="none"/>
                <w:lang w:bidi="ar"/>
              </w:rPr>
              <w:t>）</w:t>
            </w:r>
          </w:p>
        </w:tc>
        <w:tc>
          <w:tcPr>
            <w:tcW w:w="454" w:type="pct"/>
            <w:tcBorders>
              <w:top w:val="single" w:color="000000" w:sz="6" w:space="0"/>
              <w:bottom w:val="single" w:color="auto" w:sz="6" w:space="0"/>
              <w:tl2br w:val="nil"/>
              <w:tr2bl w:val="nil"/>
            </w:tcBorders>
            <w:noWrap/>
            <w:vAlign w:val="center"/>
          </w:tcPr>
          <w:p w14:paraId="783331B2">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Proportion</w:t>
            </w:r>
            <w:r>
              <w:rPr>
                <w:rFonts w:hint="eastAsia" w:ascii="宋体" w:hAnsi="宋体" w:eastAsia="宋体" w:cs="宋体"/>
                <w:color w:val="231F20"/>
                <w:kern w:val="0"/>
                <w:sz w:val="18"/>
                <w:szCs w:val="18"/>
                <w:highlight w:val="none"/>
                <w:lang w:bidi="ar"/>
              </w:rPr>
              <w:t>（</w:t>
            </w:r>
            <w:r>
              <w:rPr>
                <w:rFonts w:ascii="Times New Roman" w:hAnsi="Times New Roman" w:eastAsia="ZLKHBM-18" w:cs="Times New Roman"/>
                <w:color w:val="231F20"/>
                <w:kern w:val="0"/>
                <w:sz w:val="18"/>
                <w:szCs w:val="18"/>
                <w:highlight w:val="none"/>
                <w:lang w:bidi="ar"/>
              </w:rPr>
              <w:t>%</w:t>
            </w:r>
            <w:r>
              <w:rPr>
                <w:rFonts w:hint="eastAsia" w:ascii="宋体" w:hAnsi="宋体" w:eastAsia="宋体" w:cs="宋体"/>
                <w:color w:val="231F20"/>
                <w:kern w:val="0"/>
                <w:sz w:val="18"/>
                <w:szCs w:val="18"/>
                <w:highlight w:val="none"/>
                <w:lang w:bidi="ar"/>
              </w:rPr>
              <w:t>）</w:t>
            </w:r>
          </w:p>
        </w:tc>
        <w:tc>
          <w:tcPr>
            <w:tcW w:w="106" w:type="pct"/>
            <w:tcBorders>
              <w:bottom w:val="single" w:color="auto" w:sz="6" w:space="0"/>
              <w:tl2br w:val="nil"/>
              <w:tr2bl w:val="nil"/>
            </w:tcBorders>
            <w:noWrap/>
            <w:vAlign w:val="center"/>
          </w:tcPr>
          <w:p w14:paraId="5C905F88">
            <w:pPr>
              <w:widowControl/>
              <w:jc w:val="center"/>
              <w:textAlignment w:val="center"/>
              <w:rPr>
                <w:rFonts w:ascii="Times New Roman" w:hAnsi="Times New Roman" w:eastAsia="ZLKHBM-18" w:cs="Times New Roman"/>
                <w:color w:val="231F20"/>
                <w:kern w:val="0"/>
                <w:sz w:val="18"/>
                <w:szCs w:val="18"/>
                <w:highlight w:val="none"/>
                <w:lang w:bidi="ar"/>
              </w:rPr>
            </w:pPr>
          </w:p>
        </w:tc>
        <w:tc>
          <w:tcPr>
            <w:tcW w:w="595" w:type="pct"/>
            <w:tcBorders>
              <w:top w:val="single" w:color="000000" w:sz="6" w:space="0"/>
              <w:bottom w:val="single" w:color="auto" w:sz="6" w:space="0"/>
              <w:tl2br w:val="nil"/>
              <w:tr2bl w:val="nil"/>
            </w:tcBorders>
            <w:noWrap/>
            <w:vAlign w:val="center"/>
          </w:tcPr>
          <w:p w14:paraId="03E5ACB0">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Site</w:t>
            </w:r>
          </w:p>
        </w:tc>
        <w:tc>
          <w:tcPr>
            <w:tcW w:w="434" w:type="pct"/>
            <w:tcBorders>
              <w:top w:val="single" w:color="000000" w:sz="6" w:space="0"/>
              <w:bottom w:val="single" w:color="auto" w:sz="6" w:space="0"/>
              <w:tl2br w:val="nil"/>
              <w:tr2bl w:val="nil"/>
            </w:tcBorders>
            <w:noWrap/>
            <w:vAlign w:val="center"/>
          </w:tcPr>
          <w:p w14:paraId="55248BB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Crude rate</w:t>
            </w:r>
            <w:r>
              <w:rPr>
                <w:rFonts w:hint="eastAsia" w:ascii="宋体" w:hAnsi="宋体" w:eastAsia="宋体" w:cs="宋体"/>
                <w:color w:val="231F20"/>
                <w:kern w:val="0"/>
                <w:sz w:val="18"/>
                <w:szCs w:val="18"/>
                <w:highlight w:val="none"/>
                <w:lang w:bidi="ar"/>
              </w:rPr>
              <w:t>（</w:t>
            </w:r>
            <w:r>
              <w:rPr>
                <w:rFonts w:ascii="Times New Roman" w:hAnsi="Times New Roman" w:eastAsia="ZLKHBM-18" w:cs="Times New Roman"/>
                <w:color w:val="231F20"/>
                <w:kern w:val="0"/>
                <w:sz w:val="18"/>
                <w:szCs w:val="18"/>
                <w:highlight w:val="none"/>
                <w:lang w:bidi="ar"/>
              </w:rPr>
              <w:t>1/10</w:t>
            </w:r>
            <w:r>
              <w:rPr>
                <w:rFonts w:ascii="Times New Roman" w:hAnsi="Times New Roman" w:eastAsia="ZLKHBM-18" w:cs="Times New Roman"/>
                <w:color w:val="231F20"/>
                <w:kern w:val="0"/>
                <w:sz w:val="18"/>
                <w:szCs w:val="18"/>
                <w:highlight w:val="none"/>
                <w:vertAlign w:val="superscript"/>
                <w:lang w:bidi="ar"/>
              </w:rPr>
              <w:t>5</w:t>
            </w:r>
            <w:r>
              <w:rPr>
                <w:rFonts w:hint="eastAsia" w:ascii="宋体" w:hAnsi="宋体" w:eastAsia="宋体" w:cs="宋体"/>
                <w:color w:val="231F20"/>
                <w:kern w:val="0"/>
                <w:sz w:val="18"/>
                <w:szCs w:val="18"/>
                <w:highlight w:val="none"/>
                <w:lang w:bidi="ar"/>
              </w:rPr>
              <w:t>）</w:t>
            </w:r>
          </w:p>
        </w:tc>
        <w:tc>
          <w:tcPr>
            <w:tcW w:w="461" w:type="pct"/>
            <w:tcBorders>
              <w:top w:val="single" w:color="000000" w:sz="6" w:space="0"/>
              <w:bottom w:val="single" w:color="auto" w:sz="6" w:space="0"/>
              <w:tl2br w:val="nil"/>
              <w:tr2bl w:val="nil"/>
            </w:tcBorders>
            <w:noWrap/>
            <w:vAlign w:val="center"/>
          </w:tcPr>
          <w:p w14:paraId="1D53500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Proportion</w:t>
            </w:r>
            <w:r>
              <w:rPr>
                <w:rFonts w:hint="eastAsia" w:ascii="宋体" w:hAnsi="宋体" w:eastAsia="宋体" w:cs="宋体"/>
                <w:color w:val="231F20"/>
                <w:kern w:val="0"/>
                <w:sz w:val="18"/>
                <w:szCs w:val="18"/>
                <w:highlight w:val="none"/>
                <w:lang w:bidi="ar"/>
              </w:rPr>
              <w:t>（</w:t>
            </w:r>
            <w:r>
              <w:rPr>
                <w:rFonts w:ascii="Times New Roman" w:hAnsi="Times New Roman" w:eastAsia="ZLKHBM-18" w:cs="Times New Roman"/>
                <w:color w:val="231F20"/>
                <w:kern w:val="0"/>
                <w:sz w:val="18"/>
                <w:szCs w:val="18"/>
                <w:highlight w:val="none"/>
                <w:lang w:bidi="ar"/>
              </w:rPr>
              <w:t>%</w:t>
            </w:r>
            <w:r>
              <w:rPr>
                <w:rFonts w:hint="eastAsia" w:ascii="宋体" w:hAnsi="宋体" w:eastAsia="宋体" w:cs="宋体"/>
                <w:color w:val="231F20"/>
                <w:kern w:val="0"/>
                <w:sz w:val="18"/>
                <w:szCs w:val="18"/>
                <w:highlight w:val="none"/>
                <w:lang w:bidi="ar"/>
              </w:rPr>
              <w:t>）</w:t>
            </w:r>
          </w:p>
        </w:tc>
        <w:tc>
          <w:tcPr>
            <w:tcW w:w="106" w:type="pct"/>
            <w:tcBorders>
              <w:bottom w:val="single" w:color="auto" w:sz="6" w:space="0"/>
              <w:tl2br w:val="nil"/>
              <w:tr2bl w:val="nil"/>
            </w:tcBorders>
            <w:noWrap/>
            <w:vAlign w:val="center"/>
          </w:tcPr>
          <w:p w14:paraId="596C9613">
            <w:pPr>
              <w:widowControl/>
              <w:jc w:val="center"/>
              <w:textAlignment w:val="center"/>
              <w:rPr>
                <w:rFonts w:ascii="Times New Roman" w:hAnsi="Times New Roman" w:eastAsia="ZLKHBM-18" w:cs="Times New Roman"/>
                <w:color w:val="231F20"/>
                <w:kern w:val="0"/>
                <w:sz w:val="18"/>
                <w:szCs w:val="18"/>
                <w:highlight w:val="none"/>
                <w:lang w:bidi="ar"/>
              </w:rPr>
            </w:pPr>
          </w:p>
        </w:tc>
        <w:tc>
          <w:tcPr>
            <w:tcW w:w="581" w:type="pct"/>
            <w:tcBorders>
              <w:top w:val="single" w:color="000000" w:sz="6" w:space="0"/>
              <w:bottom w:val="single" w:color="auto" w:sz="6" w:space="0"/>
              <w:tl2br w:val="nil"/>
              <w:tr2bl w:val="nil"/>
            </w:tcBorders>
            <w:noWrap/>
            <w:vAlign w:val="center"/>
          </w:tcPr>
          <w:p w14:paraId="6B73756B">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Site</w:t>
            </w:r>
          </w:p>
        </w:tc>
        <w:tc>
          <w:tcPr>
            <w:tcW w:w="454" w:type="pct"/>
            <w:tcBorders>
              <w:top w:val="single" w:color="000000" w:sz="6" w:space="0"/>
              <w:bottom w:val="single" w:color="auto" w:sz="6" w:space="0"/>
              <w:tl2br w:val="nil"/>
              <w:tr2bl w:val="nil"/>
            </w:tcBorders>
            <w:noWrap/>
            <w:vAlign w:val="center"/>
          </w:tcPr>
          <w:p w14:paraId="274C6CB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Crude rate</w:t>
            </w:r>
            <w:r>
              <w:rPr>
                <w:rFonts w:hint="eastAsia" w:ascii="宋体" w:hAnsi="宋体" w:eastAsia="宋体" w:cs="宋体"/>
                <w:color w:val="231F20"/>
                <w:kern w:val="0"/>
                <w:sz w:val="18"/>
                <w:szCs w:val="18"/>
                <w:highlight w:val="none"/>
                <w:lang w:bidi="ar"/>
              </w:rPr>
              <w:t>（</w:t>
            </w:r>
            <w:r>
              <w:rPr>
                <w:rFonts w:ascii="Times New Roman" w:hAnsi="Times New Roman" w:eastAsia="ZLKHBM-18" w:cs="Times New Roman"/>
                <w:color w:val="231F20"/>
                <w:kern w:val="0"/>
                <w:sz w:val="18"/>
                <w:szCs w:val="18"/>
                <w:highlight w:val="none"/>
                <w:lang w:bidi="ar"/>
              </w:rPr>
              <w:t>1/10</w:t>
            </w:r>
            <w:r>
              <w:rPr>
                <w:rFonts w:ascii="Times New Roman" w:hAnsi="Times New Roman" w:eastAsia="ZLKHBM-18" w:cs="Times New Roman"/>
                <w:color w:val="231F20"/>
                <w:kern w:val="0"/>
                <w:sz w:val="18"/>
                <w:szCs w:val="18"/>
                <w:highlight w:val="none"/>
                <w:vertAlign w:val="superscript"/>
                <w:lang w:bidi="ar"/>
              </w:rPr>
              <w:t>5</w:t>
            </w:r>
            <w:r>
              <w:rPr>
                <w:rFonts w:hint="eastAsia" w:ascii="宋体" w:hAnsi="宋体" w:eastAsia="宋体" w:cs="宋体"/>
                <w:color w:val="231F20"/>
                <w:kern w:val="0"/>
                <w:sz w:val="18"/>
                <w:szCs w:val="18"/>
                <w:highlight w:val="none"/>
                <w:lang w:bidi="ar"/>
              </w:rPr>
              <w:t>）</w:t>
            </w:r>
          </w:p>
        </w:tc>
        <w:tc>
          <w:tcPr>
            <w:tcW w:w="456" w:type="pct"/>
            <w:tcBorders>
              <w:top w:val="single" w:color="000000" w:sz="6" w:space="0"/>
              <w:bottom w:val="single" w:color="auto" w:sz="6" w:space="0"/>
              <w:tl2br w:val="nil"/>
              <w:tr2bl w:val="nil"/>
            </w:tcBorders>
            <w:noWrap/>
            <w:vAlign w:val="center"/>
          </w:tcPr>
          <w:p w14:paraId="71DE42D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ZLKHBM-18" w:cs="Times New Roman"/>
                <w:color w:val="231F20"/>
                <w:kern w:val="0"/>
                <w:sz w:val="18"/>
                <w:szCs w:val="18"/>
                <w:highlight w:val="none"/>
                <w:lang w:bidi="ar"/>
              </w:rPr>
              <w:t>Proportion</w:t>
            </w:r>
            <w:r>
              <w:rPr>
                <w:rFonts w:hint="eastAsia" w:ascii="宋体" w:hAnsi="宋体" w:eastAsia="宋体" w:cs="宋体"/>
                <w:color w:val="231F20"/>
                <w:kern w:val="0"/>
                <w:sz w:val="18"/>
                <w:szCs w:val="18"/>
                <w:highlight w:val="none"/>
                <w:lang w:bidi="ar"/>
              </w:rPr>
              <w:t>（</w:t>
            </w:r>
            <w:r>
              <w:rPr>
                <w:rFonts w:ascii="Times New Roman" w:hAnsi="Times New Roman" w:eastAsia="ZLKHBM-18" w:cs="Times New Roman"/>
                <w:color w:val="231F20"/>
                <w:kern w:val="0"/>
                <w:sz w:val="18"/>
                <w:szCs w:val="18"/>
                <w:highlight w:val="none"/>
                <w:lang w:bidi="ar"/>
              </w:rPr>
              <w:t>%</w:t>
            </w:r>
            <w:r>
              <w:rPr>
                <w:rFonts w:hint="eastAsia" w:ascii="宋体" w:hAnsi="宋体" w:eastAsia="宋体" w:cs="宋体"/>
                <w:color w:val="231F20"/>
                <w:kern w:val="0"/>
                <w:sz w:val="18"/>
                <w:szCs w:val="18"/>
                <w:highlight w:val="none"/>
                <w:lang w:bidi="ar"/>
              </w:rPr>
              <w:t>）</w:t>
            </w:r>
          </w:p>
        </w:tc>
      </w:tr>
      <w:tr w14:paraId="7CDE486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03" w:type="pct"/>
            <w:tcBorders>
              <w:top w:val="single" w:color="auto" w:sz="6" w:space="0"/>
            </w:tcBorders>
            <w:noWrap/>
            <w:vAlign w:val="center"/>
          </w:tcPr>
          <w:p w14:paraId="5F2AB4A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1</w:t>
            </w:r>
          </w:p>
        </w:tc>
        <w:tc>
          <w:tcPr>
            <w:tcW w:w="601" w:type="pct"/>
            <w:tcBorders>
              <w:top w:val="single" w:color="auto" w:sz="6" w:space="0"/>
            </w:tcBorders>
            <w:noWrap/>
            <w:vAlign w:val="center"/>
          </w:tcPr>
          <w:p w14:paraId="71E1B26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Lung</w:t>
            </w:r>
          </w:p>
        </w:tc>
        <w:tc>
          <w:tcPr>
            <w:tcW w:w="441" w:type="pct"/>
            <w:tcBorders>
              <w:top w:val="single" w:color="auto" w:sz="6" w:space="0"/>
            </w:tcBorders>
            <w:noWrap/>
            <w:vAlign w:val="center"/>
          </w:tcPr>
          <w:p w14:paraId="1242B9D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52.96 </w:t>
            </w:r>
          </w:p>
        </w:tc>
        <w:tc>
          <w:tcPr>
            <w:tcW w:w="454" w:type="pct"/>
            <w:tcBorders>
              <w:top w:val="single" w:color="auto" w:sz="6" w:space="0"/>
            </w:tcBorders>
            <w:noWrap/>
            <w:vAlign w:val="center"/>
          </w:tcPr>
          <w:p w14:paraId="036A24B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27.17 </w:t>
            </w:r>
          </w:p>
        </w:tc>
        <w:tc>
          <w:tcPr>
            <w:tcW w:w="106" w:type="pct"/>
            <w:tcBorders>
              <w:top w:val="single" w:color="auto" w:sz="6" w:space="0"/>
            </w:tcBorders>
            <w:noWrap/>
            <w:vAlign w:val="center"/>
          </w:tcPr>
          <w:p w14:paraId="1008B7F7">
            <w:pPr>
              <w:jc w:val="center"/>
              <w:rPr>
                <w:rFonts w:ascii="Times New Roman" w:hAnsi="Times New Roman" w:eastAsia="ZLKHBM-18" w:cs="Times New Roman"/>
                <w:color w:val="231F20"/>
                <w:kern w:val="0"/>
                <w:sz w:val="18"/>
                <w:szCs w:val="18"/>
                <w:highlight w:val="none"/>
                <w:lang w:bidi="ar"/>
              </w:rPr>
            </w:pPr>
          </w:p>
        </w:tc>
        <w:tc>
          <w:tcPr>
            <w:tcW w:w="595" w:type="pct"/>
            <w:tcBorders>
              <w:top w:val="single" w:color="auto" w:sz="6" w:space="0"/>
            </w:tcBorders>
            <w:noWrap/>
            <w:vAlign w:val="center"/>
          </w:tcPr>
          <w:p w14:paraId="40764AE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Lung</w:t>
            </w:r>
          </w:p>
        </w:tc>
        <w:tc>
          <w:tcPr>
            <w:tcW w:w="434" w:type="pct"/>
            <w:tcBorders>
              <w:top w:val="single" w:color="auto" w:sz="6" w:space="0"/>
            </w:tcBorders>
            <w:noWrap/>
            <w:vAlign w:val="center"/>
          </w:tcPr>
          <w:p w14:paraId="088C684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75.62 </w:t>
            </w:r>
          </w:p>
        </w:tc>
        <w:tc>
          <w:tcPr>
            <w:tcW w:w="461" w:type="pct"/>
            <w:tcBorders>
              <w:top w:val="single" w:color="auto" w:sz="6" w:space="0"/>
            </w:tcBorders>
            <w:noWrap/>
            <w:vAlign w:val="center"/>
          </w:tcPr>
          <w:p w14:paraId="3367A82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29.37 </w:t>
            </w:r>
          </w:p>
        </w:tc>
        <w:tc>
          <w:tcPr>
            <w:tcW w:w="106" w:type="pct"/>
            <w:tcBorders>
              <w:top w:val="single" w:color="auto" w:sz="6" w:space="0"/>
            </w:tcBorders>
            <w:noWrap/>
            <w:vAlign w:val="center"/>
          </w:tcPr>
          <w:p w14:paraId="13312BBF">
            <w:pPr>
              <w:jc w:val="center"/>
              <w:rPr>
                <w:rFonts w:ascii="Times New Roman" w:hAnsi="Times New Roman" w:eastAsia="ZLKHBM-18" w:cs="Times New Roman"/>
                <w:color w:val="231F20"/>
                <w:kern w:val="0"/>
                <w:sz w:val="18"/>
                <w:szCs w:val="18"/>
                <w:highlight w:val="none"/>
                <w:lang w:bidi="ar"/>
              </w:rPr>
            </w:pPr>
          </w:p>
        </w:tc>
        <w:tc>
          <w:tcPr>
            <w:tcW w:w="581" w:type="pct"/>
            <w:tcBorders>
              <w:top w:val="single" w:color="auto" w:sz="6" w:space="0"/>
            </w:tcBorders>
            <w:noWrap/>
            <w:vAlign w:val="center"/>
          </w:tcPr>
          <w:p w14:paraId="6D19F22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Lung</w:t>
            </w:r>
          </w:p>
        </w:tc>
        <w:tc>
          <w:tcPr>
            <w:tcW w:w="454" w:type="pct"/>
            <w:tcBorders>
              <w:top w:val="single" w:color="auto" w:sz="6" w:space="0"/>
            </w:tcBorders>
            <w:noWrap/>
            <w:vAlign w:val="center"/>
          </w:tcPr>
          <w:p w14:paraId="2F45A76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28.66 </w:t>
            </w:r>
          </w:p>
        </w:tc>
        <w:tc>
          <w:tcPr>
            <w:tcW w:w="456" w:type="pct"/>
            <w:tcBorders>
              <w:top w:val="single" w:color="auto" w:sz="6" w:space="0"/>
            </w:tcBorders>
            <w:noWrap/>
            <w:vAlign w:val="center"/>
          </w:tcPr>
          <w:p w14:paraId="5C7ED4E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22.41 </w:t>
            </w:r>
          </w:p>
        </w:tc>
      </w:tr>
      <w:tr w14:paraId="3BF5DD6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03" w:type="pct"/>
            <w:tcBorders>
              <w:tl2br w:val="nil"/>
              <w:tr2bl w:val="nil"/>
            </w:tcBorders>
            <w:noWrap/>
            <w:vAlign w:val="center"/>
          </w:tcPr>
          <w:p w14:paraId="1D67D2F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2</w:t>
            </w:r>
          </w:p>
        </w:tc>
        <w:tc>
          <w:tcPr>
            <w:tcW w:w="601" w:type="pct"/>
            <w:tcBorders>
              <w:tl2br w:val="nil"/>
              <w:tr2bl w:val="nil"/>
            </w:tcBorders>
            <w:noWrap/>
            <w:vAlign w:val="center"/>
          </w:tcPr>
          <w:p w14:paraId="7B526E1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Liver</w:t>
            </w:r>
          </w:p>
        </w:tc>
        <w:tc>
          <w:tcPr>
            <w:tcW w:w="441" w:type="pct"/>
            <w:tcBorders>
              <w:tl2br w:val="nil"/>
              <w:tr2bl w:val="nil"/>
            </w:tcBorders>
            <w:noWrap/>
            <w:vAlign w:val="center"/>
          </w:tcPr>
          <w:p w14:paraId="074B588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30.45 </w:t>
            </w:r>
          </w:p>
        </w:tc>
        <w:tc>
          <w:tcPr>
            <w:tcW w:w="454" w:type="pct"/>
            <w:tcBorders>
              <w:tl2br w:val="nil"/>
              <w:tr2bl w:val="nil"/>
            </w:tcBorders>
            <w:noWrap/>
            <w:vAlign w:val="center"/>
          </w:tcPr>
          <w:p w14:paraId="6DAF59B0">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15.62 </w:t>
            </w:r>
          </w:p>
        </w:tc>
        <w:tc>
          <w:tcPr>
            <w:tcW w:w="106" w:type="pct"/>
            <w:tcBorders>
              <w:tl2br w:val="nil"/>
              <w:tr2bl w:val="nil"/>
            </w:tcBorders>
            <w:noWrap/>
            <w:vAlign w:val="center"/>
          </w:tcPr>
          <w:p w14:paraId="5D3DF30A">
            <w:pPr>
              <w:jc w:val="center"/>
              <w:rPr>
                <w:rFonts w:ascii="Times New Roman" w:hAnsi="Times New Roman" w:eastAsia="ZLKHBM-18" w:cs="Times New Roman"/>
                <w:color w:val="231F20"/>
                <w:kern w:val="0"/>
                <w:sz w:val="18"/>
                <w:szCs w:val="18"/>
                <w:highlight w:val="none"/>
                <w:lang w:bidi="ar"/>
              </w:rPr>
            </w:pPr>
          </w:p>
        </w:tc>
        <w:tc>
          <w:tcPr>
            <w:tcW w:w="595" w:type="pct"/>
            <w:tcBorders>
              <w:tl2br w:val="nil"/>
              <w:tr2bl w:val="nil"/>
            </w:tcBorders>
            <w:noWrap/>
            <w:vAlign w:val="center"/>
          </w:tcPr>
          <w:p w14:paraId="193271E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Liver</w:t>
            </w:r>
          </w:p>
        </w:tc>
        <w:tc>
          <w:tcPr>
            <w:tcW w:w="434" w:type="pct"/>
            <w:tcBorders>
              <w:tl2br w:val="nil"/>
              <w:tr2bl w:val="nil"/>
            </w:tcBorders>
            <w:noWrap/>
            <w:vAlign w:val="center"/>
          </w:tcPr>
          <w:p w14:paraId="53F5C83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44.67 </w:t>
            </w:r>
          </w:p>
        </w:tc>
        <w:tc>
          <w:tcPr>
            <w:tcW w:w="461" w:type="pct"/>
            <w:tcBorders>
              <w:tl2br w:val="nil"/>
              <w:tr2bl w:val="nil"/>
            </w:tcBorders>
            <w:noWrap/>
            <w:vAlign w:val="center"/>
          </w:tcPr>
          <w:p w14:paraId="426D5FE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17.35 </w:t>
            </w:r>
          </w:p>
        </w:tc>
        <w:tc>
          <w:tcPr>
            <w:tcW w:w="106" w:type="pct"/>
            <w:tcBorders>
              <w:tl2br w:val="nil"/>
              <w:tr2bl w:val="nil"/>
            </w:tcBorders>
            <w:noWrap/>
            <w:vAlign w:val="center"/>
          </w:tcPr>
          <w:p w14:paraId="17E94DC1">
            <w:pPr>
              <w:jc w:val="center"/>
              <w:rPr>
                <w:rFonts w:ascii="Times New Roman" w:hAnsi="Times New Roman" w:eastAsia="ZLKHBM-18" w:cs="Times New Roman"/>
                <w:color w:val="231F20"/>
                <w:kern w:val="0"/>
                <w:sz w:val="18"/>
                <w:szCs w:val="18"/>
                <w:highlight w:val="none"/>
                <w:lang w:bidi="ar"/>
              </w:rPr>
            </w:pPr>
          </w:p>
        </w:tc>
        <w:tc>
          <w:tcPr>
            <w:tcW w:w="581" w:type="pct"/>
            <w:tcBorders>
              <w:tl2br w:val="nil"/>
              <w:tr2bl w:val="nil"/>
            </w:tcBorders>
            <w:noWrap/>
            <w:vAlign w:val="center"/>
          </w:tcPr>
          <w:p w14:paraId="330A26DD">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Stomach</w:t>
            </w:r>
          </w:p>
        </w:tc>
        <w:tc>
          <w:tcPr>
            <w:tcW w:w="454" w:type="pct"/>
            <w:tcBorders>
              <w:tl2br w:val="nil"/>
              <w:tr2bl w:val="nil"/>
            </w:tcBorders>
            <w:noWrap/>
            <w:vAlign w:val="center"/>
          </w:tcPr>
          <w:p w14:paraId="2AA9712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17.25 </w:t>
            </w:r>
          </w:p>
        </w:tc>
        <w:tc>
          <w:tcPr>
            <w:tcW w:w="456" w:type="pct"/>
            <w:tcBorders>
              <w:tl2br w:val="nil"/>
              <w:tr2bl w:val="nil"/>
            </w:tcBorders>
            <w:noWrap/>
            <w:vAlign w:val="center"/>
          </w:tcPr>
          <w:p w14:paraId="7BD007AD">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13.49 </w:t>
            </w:r>
          </w:p>
        </w:tc>
      </w:tr>
      <w:tr w14:paraId="0F4B361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03" w:type="pct"/>
            <w:tcBorders>
              <w:tl2br w:val="nil"/>
              <w:tr2bl w:val="nil"/>
            </w:tcBorders>
            <w:noWrap/>
            <w:vAlign w:val="center"/>
          </w:tcPr>
          <w:p w14:paraId="55FB081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3</w:t>
            </w:r>
          </w:p>
        </w:tc>
        <w:tc>
          <w:tcPr>
            <w:tcW w:w="601" w:type="pct"/>
            <w:tcBorders>
              <w:tl2br w:val="nil"/>
              <w:tr2bl w:val="nil"/>
            </w:tcBorders>
            <w:noWrap/>
            <w:vAlign w:val="center"/>
          </w:tcPr>
          <w:p w14:paraId="3917CC20">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Stomach</w:t>
            </w:r>
          </w:p>
        </w:tc>
        <w:tc>
          <w:tcPr>
            <w:tcW w:w="441" w:type="pct"/>
            <w:tcBorders>
              <w:tl2br w:val="nil"/>
              <w:tr2bl w:val="nil"/>
            </w:tcBorders>
            <w:noWrap/>
            <w:vAlign w:val="center"/>
          </w:tcPr>
          <w:p w14:paraId="05091AA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30.42 </w:t>
            </w:r>
          </w:p>
        </w:tc>
        <w:tc>
          <w:tcPr>
            <w:tcW w:w="454" w:type="pct"/>
            <w:tcBorders>
              <w:tl2br w:val="nil"/>
              <w:tr2bl w:val="nil"/>
            </w:tcBorders>
            <w:noWrap/>
            <w:vAlign w:val="center"/>
          </w:tcPr>
          <w:p w14:paraId="01A53552">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15.60 </w:t>
            </w:r>
          </w:p>
        </w:tc>
        <w:tc>
          <w:tcPr>
            <w:tcW w:w="106" w:type="pct"/>
            <w:tcBorders>
              <w:tl2br w:val="nil"/>
              <w:tr2bl w:val="nil"/>
            </w:tcBorders>
            <w:noWrap/>
            <w:vAlign w:val="center"/>
          </w:tcPr>
          <w:p w14:paraId="1DD05C71">
            <w:pPr>
              <w:jc w:val="center"/>
              <w:rPr>
                <w:rFonts w:ascii="Times New Roman" w:hAnsi="Times New Roman" w:eastAsia="ZLKHBM-18" w:cs="Times New Roman"/>
                <w:color w:val="231F20"/>
                <w:kern w:val="0"/>
                <w:sz w:val="18"/>
                <w:szCs w:val="18"/>
                <w:highlight w:val="none"/>
                <w:lang w:bidi="ar"/>
              </w:rPr>
            </w:pPr>
          </w:p>
        </w:tc>
        <w:tc>
          <w:tcPr>
            <w:tcW w:w="595" w:type="pct"/>
            <w:tcBorders>
              <w:tl2br w:val="nil"/>
              <w:tr2bl w:val="nil"/>
            </w:tcBorders>
            <w:noWrap/>
            <w:vAlign w:val="center"/>
          </w:tcPr>
          <w:p w14:paraId="0491AC1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Stomach</w:t>
            </w:r>
          </w:p>
        </w:tc>
        <w:tc>
          <w:tcPr>
            <w:tcW w:w="434" w:type="pct"/>
            <w:tcBorders>
              <w:tl2br w:val="nil"/>
              <w:tr2bl w:val="nil"/>
            </w:tcBorders>
            <w:noWrap/>
            <w:vAlign w:val="center"/>
          </w:tcPr>
          <w:p w14:paraId="6D95C94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42.69 </w:t>
            </w:r>
          </w:p>
        </w:tc>
        <w:tc>
          <w:tcPr>
            <w:tcW w:w="461" w:type="pct"/>
            <w:tcBorders>
              <w:tl2br w:val="nil"/>
              <w:tr2bl w:val="nil"/>
            </w:tcBorders>
            <w:noWrap/>
            <w:vAlign w:val="center"/>
          </w:tcPr>
          <w:p w14:paraId="276D061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16.58 </w:t>
            </w:r>
          </w:p>
        </w:tc>
        <w:tc>
          <w:tcPr>
            <w:tcW w:w="106" w:type="pct"/>
            <w:tcBorders>
              <w:tl2br w:val="nil"/>
              <w:tr2bl w:val="nil"/>
            </w:tcBorders>
            <w:noWrap/>
            <w:vAlign w:val="center"/>
          </w:tcPr>
          <w:p w14:paraId="0102D954">
            <w:pPr>
              <w:jc w:val="center"/>
              <w:rPr>
                <w:rFonts w:ascii="Times New Roman" w:hAnsi="Times New Roman" w:eastAsia="ZLKHBM-18" w:cs="Times New Roman"/>
                <w:color w:val="231F20"/>
                <w:kern w:val="0"/>
                <w:sz w:val="18"/>
                <w:szCs w:val="18"/>
                <w:highlight w:val="none"/>
                <w:lang w:bidi="ar"/>
              </w:rPr>
            </w:pPr>
          </w:p>
        </w:tc>
        <w:tc>
          <w:tcPr>
            <w:tcW w:w="581" w:type="pct"/>
            <w:tcBorders>
              <w:tl2br w:val="nil"/>
              <w:tr2bl w:val="nil"/>
            </w:tcBorders>
            <w:noWrap/>
            <w:vAlign w:val="center"/>
          </w:tcPr>
          <w:p w14:paraId="5ADBB88D">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Liver</w:t>
            </w:r>
          </w:p>
        </w:tc>
        <w:tc>
          <w:tcPr>
            <w:tcW w:w="454" w:type="pct"/>
            <w:tcBorders>
              <w:tl2br w:val="nil"/>
              <w:tr2bl w:val="nil"/>
            </w:tcBorders>
            <w:noWrap/>
            <w:vAlign w:val="center"/>
          </w:tcPr>
          <w:p w14:paraId="2618082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15.18 </w:t>
            </w:r>
          </w:p>
        </w:tc>
        <w:tc>
          <w:tcPr>
            <w:tcW w:w="456" w:type="pct"/>
            <w:tcBorders>
              <w:tl2br w:val="nil"/>
              <w:tr2bl w:val="nil"/>
            </w:tcBorders>
            <w:noWrap/>
            <w:vAlign w:val="center"/>
          </w:tcPr>
          <w:p w14:paraId="01ABDCE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11.87 </w:t>
            </w:r>
          </w:p>
        </w:tc>
      </w:tr>
      <w:tr w14:paraId="66FF8D4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03" w:type="pct"/>
            <w:tcBorders>
              <w:tl2br w:val="nil"/>
              <w:tr2bl w:val="nil"/>
            </w:tcBorders>
            <w:noWrap/>
            <w:vAlign w:val="center"/>
          </w:tcPr>
          <w:p w14:paraId="7895722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4</w:t>
            </w:r>
          </w:p>
        </w:tc>
        <w:tc>
          <w:tcPr>
            <w:tcW w:w="601" w:type="pct"/>
            <w:tcBorders>
              <w:tl2br w:val="nil"/>
              <w:tr2bl w:val="nil"/>
            </w:tcBorders>
            <w:noWrap/>
            <w:vAlign w:val="center"/>
          </w:tcPr>
          <w:p w14:paraId="75F0201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Esophagus</w:t>
            </w:r>
          </w:p>
        </w:tc>
        <w:tc>
          <w:tcPr>
            <w:tcW w:w="441" w:type="pct"/>
            <w:tcBorders>
              <w:tl2br w:val="nil"/>
              <w:tr2bl w:val="nil"/>
            </w:tcBorders>
            <w:noWrap/>
            <w:vAlign w:val="center"/>
          </w:tcPr>
          <w:p w14:paraId="3D2C12B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25.00 </w:t>
            </w:r>
          </w:p>
        </w:tc>
        <w:tc>
          <w:tcPr>
            <w:tcW w:w="454" w:type="pct"/>
            <w:tcBorders>
              <w:tl2br w:val="nil"/>
              <w:tr2bl w:val="nil"/>
            </w:tcBorders>
            <w:noWrap/>
            <w:vAlign w:val="center"/>
          </w:tcPr>
          <w:p w14:paraId="31A051DB">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12.82 </w:t>
            </w:r>
          </w:p>
        </w:tc>
        <w:tc>
          <w:tcPr>
            <w:tcW w:w="106" w:type="pct"/>
            <w:tcBorders>
              <w:tl2br w:val="nil"/>
              <w:tr2bl w:val="nil"/>
            </w:tcBorders>
            <w:noWrap/>
            <w:vAlign w:val="center"/>
          </w:tcPr>
          <w:p w14:paraId="74BC5AF7">
            <w:pPr>
              <w:jc w:val="center"/>
              <w:rPr>
                <w:rFonts w:ascii="Times New Roman" w:hAnsi="Times New Roman" w:eastAsia="ZLKHBM-18" w:cs="Times New Roman"/>
                <w:color w:val="231F20"/>
                <w:kern w:val="0"/>
                <w:sz w:val="18"/>
                <w:szCs w:val="18"/>
                <w:highlight w:val="none"/>
                <w:lang w:bidi="ar"/>
              </w:rPr>
            </w:pPr>
          </w:p>
        </w:tc>
        <w:tc>
          <w:tcPr>
            <w:tcW w:w="595" w:type="pct"/>
            <w:tcBorders>
              <w:tl2br w:val="nil"/>
              <w:tr2bl w:val="nil"/>
            </w:tcBorders>
            <w:noWrap/>
            <w:vAlign w:val="center"/>
          </w:tcPr>
          <w:p w14:paraId="419E997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Esophagus</w:t>
            </w:r>
          </w:p>
        </w:tc>
        <w:tc>
          <w:tcPr>
            <w:tcW w:w="434" w:type="pct"/>
            <w:tcBorders>
              <w:tl2br w:val="nil"/>
              <w:tr2bl w:val="nil"/>
            </w:tcBorders>
            <w:noWrap/>
            <w:vAlign w:val="center"/>
          </w:tcPr>
          <w:p w14:paraId="494A91C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34.83 </w:t>
            </w:r>
          </w:p>
        </w:tc>
        <w:tc>
          <w:tcPr>
            <w:tcW w:w="461" w:type="pct"/>
            <w:tcBorders>
              <w:tl2br w:val="nil"/>
              <w:tr2bl w:val="nil"/>
            </w:tcBorders>
            <w:noWrap/>
            <w:vAlign w:val="center"/>
          </w:tcPr>
          <w:p w14:paraId="2846E38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13.53 </w:t>
            </w:r>
          </w:p>
        </w:tc>
        <w:tc>
          <w:tcPr>
            <w:tcW w:w="106" w:type="pct"/>
            <w:tcBorders>
              <w:tl2br w:val="nil"/>
              <w:tr2bl w:val="nil"/>
            </w:tcBorders>
            <w:noWrap/>
            <w:vAlign w:val="center"/>
          </w:tcPr>
          <w:p w14:paraId="0CBF3EF1">
            <w:pPr>
              <w:jc w:val="center"/>
              <w:rPr>
                <w:rFonts w:ascii="Times New Roman" w:hAnsi="Times New Roman" w:eastAsia="ZLKHBM-18" w:cs="Times New Roman"/>
                <w:color w:val="231F20"/>
                <w:kern w:val="0"/>
                <w:sz w:val="18"/>
                <w:szCs w:val="18"/>
                <w:highlight w:val="none"/>
                <w:lang w:bidi="ar"/>
              </w:rPr>
            </w:pPr>
          </w:p>
        </w:tc>
        <w:tc>
          <w:tcPr>
            <w:tcW w:w="581" w:type="pct"/>
            <w:tcBorders>
              <w:tl2br w:val="nil"/>
              <w:tr2bl w:val="nil"/>
            </w:tcBorders>
            <w:noWrap/>
            <w:vAlign w:val="center"/>
          </w:tcPr>
          <w:p w14:paraId="45A9372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Esophagus</w:t>
            </w:r>
          </w:p>
        </w:tc>
        <w:tc>
          <w:tcPr>
            <w:tcW w:w="454" w:type="pct"/>
            <w:tcBorders>
              <w:tl2br w:val="nil"/>
              <w:tr2bl w:val="nil"/>
            </w:tcBorders>
            <w:noWrap/>
            <w:vAlign w:val="center"/>
          </w:tcPr>
          <w:p w14:paraId="3BFAD4D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14.45 </w:t>
            </w:r>
          </w:p>
        </w:tc>
        <w:tc>
          <w:tcPr>
            <w:tcW w:w="456" w:type="pct"/>
            <w:tcBorders>
              <w:tl2br w:val="nil"/>
              <w:tr2bl w:val="nil"/>
            </w:tcBorders>
            <w:noWrap/>
            <w:vAlign w:val="center"/>
          </w:tcPr>
          <w:p w14:paraId="08C2D7F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11.30 </w:t>
            </w:r>
          </w:p>
        </w:tc>
      </w:tr>
      <w:tr w14:paraId="1532526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03" w:type="pct"/>
            <w:tcBorders>
              <w:tl2br w:val="nil"/>
              <w:tr2bl w:val="nil"/>
            </w:tcBorders>
            <w:noWrap/>
            <w:vAlign w:val="center"/>
          </w:tcPr>
          <w:p w14:paraId="7DA71E8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5</w:t>
            </w:r>
          </w:p>
        </w:tc>
        <w:tc>
          <w:tcPr>
            <w:tcW w:w="601" w:type="pct"/>
            <w:tcBorders>
              <w:tl2br w:val="nil"/>
              <w:tr2bl w:val="nil"/>
            </w:tcBorders>
            <w:noWrap/>
            <w:vAlign w:val="center"/>
          </w:tcPr>
          <w:p w14:paraId="128DBD9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Colorectum</w:t>
            </w:r>
          </w:p>
        </w:tc>
        <w:tc>
          <w:tcPr>
            <w:tcW w:w="441" w:type="pct"/>
            <w:tcBorders>
              <w:tl2br w:val="nil"/>
              <w:tr2bl w:val="nil"/>
            </w:tcBorders>
            <w:noWrap/>
            <w:vAlign w:val="center"/>
          </w:tcPr>
          <w:p w14:paraId="12A4704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12.68 </w:t>
            </w:r>
          </w:p>
        </w:tc>
        <w:tc>
          <w:tcPr>
            <w:tcW w:w="454" w:type="pct"/>
            <w:tcBorders>
              <w:tl2br w:val="nil"/>
              <w:tr2bl w:val="nil"/>
            </w:tcBorders>
            <w:noWrap/>
            <w:vAlign w:val="center"/>
          </w:tcPr>
          <w:p w14:paraId="3CB0112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6.50 </w:t>
            </w:r>
          </w:p>
        </w:tc>
        <w:tc>
          <w:tcPr>
            <w:tcW w:w="106" w:type="pct"/>
            <w:tcBorders>
              <w:tl2br w:val="nil"/>
              <w:tr2bl w:val="nil"/>
            </w:tcBorders>
            <w:noWrap/>
            <w:vAlign w:val="center"/>
          </w:tcPr>
          <w:p w14:paraId="01FF2739">
            <w:pPr>
              <w:jc w:val="center"/>
              <w:rPr>
                <w:rFonts w:ascii="Times New Roman" w:hAnsi="Times New Roman" w:eastAsia="ZLKHBM-18" w:cs="Times New Roman"/>
                <w:color w:val="231F20"/>
                <w:kern w:val="0"/>
                <w:sz w:val="18"/>
                <w:szCs w:val="18"/>
                <w:highlight w:val="none"/>
                <w:lang w:bidi="ar"/>
              </w:rPr>
            </w:pPr>
          </w:p>
        </w:tc>
        <w:tc>
          <w:tcPr>
            <w:tcW w:w="595" w:type="pct"/>
            <w:tcBorders>
              <w:tl2br w:val="nil"/>
              <w:tr2bl w:val="nil"/>
            </w:tcBorders>
            <w:noWrap/>
            <w:vAlign w:val="center"/>
          </w:tcPr>
          <w:p w14:paraId="4C22479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Colorectum</w:t>
            </w:r>
          </w:p>
        </w:tc>
        <w:tc>
          <w:tcPr>
            <w:tcW w:w="434" w:type="pct"/>
            <w:tcBorders>
              <w:tl2br w:val="nil"/>
              <w:tr2bl w:val="nil"/>
            </w:tcBorders>
            <w:noWrap/>
            <w:vAlign w:val="center"/>
          </w:tcPr>
          <w:p w14:paraId="5371203D">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15.07 </w:t>
            </w:r>
          </w:p>
        </w:tc>
        <w:tc>
          <w:tcPr>
            <w:tcW w:w="461" w:type="pct"/>
            <w:tcBorders>
              <w:tl2br w:val="nil"/>
              <w:tr2bl w:val="nil"/>
            </w:tcBorders>
            <w:noWrap/>
            <w:vAlign w:val="center"/>
          </w:tcPr>
          <w:p w14:paraId="0618C05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5.85 </w:t>
            </w:r>
          </w:p>
        </w:tc>
        <w:tc>
          <w:tcPr>
            <w:tcW w:w="106" w:type="pct"/>
            <w:tcBorders>
              <w:tl2br w:val="nil"/>
              <w:tr2bl w:val="nil"/>
            </w:tcBorders>
            <w:noWrap/>
            <w:vAlign w:val="center"/>
          </w:tcPr>
          <w:p w14:paraId="63BA0C4D">
            <w:pPr>
              <w:jc w:val="center"/>
              <w:rPr>
                <w:rFonts w:ascii="Times New Roman" w:hAnsi="Times New Roman" w:eastAsia="ZLKHBM-18" w:cs="Times New Roman"/>
                <w:color w:val="231F20"/>
                <w:kern w:val="0"/>
                <w:sz w:val="18"/>
                <w:szCs w:val="18"/>
                <w:highlight w:val="none"/>
                <w:lang w:bidi="ar"/>
              </w:rPr>
            </w:pPr>
          </w:p>
        </w:tc>
        <w:tc>
          <w:tcPr>
            <w:tcW w:w="581" w:type="pct"/>
            <w:tcBorders>
              <w:tl2br w:val="nil"/>
              <w:tr2bl w:val="nil"/>
            </w:tcBorders>
            <w:noWrap/>
            <w:vAlign w:val="center"/>
          </w:tcPr>
          <w:p w14:paraId="408624A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Colorectum</w:t>
            </w:r>
          </w:p>
        </w:tc>
        <w:tc>
          <w:tcPr>
            <w:tcW w:w="454" w:type="pct"/>
            <w:tcBorders>
              <w:tl2br w:val="nil"/>
              <w:tr2bl w:val="nil"/>
            </w:tcBorders>
            <w:noWrap/>
            <w:vAlign w:val="center"/>
          </w:tcPr>
          <w:p w14:paraId="2A87D13B">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10.11 </w:t>
            </w:r>
          </w:p>
        </w:tc>
        <w:tc>
          <w:tcPr>
            <w:tcW w:w="456" w:type="pct"/>
            <w:tcBorders>
              <w:tl2br w:val="nil"/>
              <w:tr2bl w:val="nil"/>
            </w:tcBorders>
            <w:noWrap/>
            <w:vAlign w:val="center"/>
          </w:tcPr>
          <w:p w14:paraId="6BDB689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7.91 </w:t>
            </w:r>
          </w:p>
        </w:tc>
      </w:tr>
      <w:tr w14:paraId="423DF70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03" w:type="pct"/>
            <w:tcBorders>
              <w:tl2br w:val="nil"/>
              <w:tr2bl w:val="nil"/>
            </w:tcBorders>
            <w:noWrap/>
            <w:vAlign w:val="center"/>
          </w:tcPr>
          <w:p w14:paraId="317544E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6</w:t>
            </w:r>
          </w:p>
        </w:tc>
        <w:tc>
          <w:tcPr>
            <w:tcW w:w="601" w:type="pct"/>
            <w:tcBorders>
              <w:tl2br w:val="nil"/>
              <w:tr2bl w:val="nil"/>
            </w:tcBorders>
            <w:noWrap/>
            <w:vAlign w:val="center"/>
          </w:tcPr>
          <w:p w14:paraId="06EAE46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Breast</w:t>
            </w:r>
          </w:p>
        </w:tc>
        <w:tc>
          <w:tcPr>
            <w:tcW w:w="441" w:type="pct"/>
            <w:tcBorders>
              <w:tl2br w:val="nil"/>
              <w:tr2bl w:val="nil"/>
            </w:tcBorders>
            <w:noWrap/>
            <w:vAlign w:val="center"/>
          </w:tcPr>
          <w:p w14:paraId="4CE5CC60">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6.11 </w:t>
            </w:r>
          </w:p>
        </w:tc>
        <w:tc>
          <w:tcPr>
            <w:tcW w:w="454" w:type="pct"/>
            <w:tcBorders>
              <w:tl2br w:val="nil"/>
              <w:tr2bl w:val="nil"/>
            </w:tcBorders>
            <w:noWrap/>
            <w:vAlign w:val="center"/>
          </w:tcPr>
          <w:p w14:paraId="1700321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1.5</w:t>
            </w:r>
            <w:r>
              <w:rPr>
                <w:rFonts w:hint="eastAsia" w:ascii="Times New Roman" w:hAnsi="Times New Roman" w:eastAsia="宋体" w:cs="Times New Roman"/>
                <w:color w:val="231F20"/>
                <w:kern w:val="0"/>
                <w:sz w:val="18"/>
                <w:szCs w:val="18"/>
                <w:highlight w:val="none"/>
                <w:lang w:val="en-US" w:eastAsia="zh-CN" w:bidi="ar"/>
              </w:rPr>
              <w:t>1</w:t>
            </w:r>
            <w:r>
              <w:rPr>
                <w:rFonts w:ascii="Times New Roman" w:hAnsi="Times New Roman" w:eastAsia="宋体" w:cs="Times New Roman"/>
                <w:color w:val="231F20"/>
                <w:kern w:val="0"/>
                <w:sz w:val="18"/>
                <w:szCs w:val="18"/>
                <w:highlight w:val="none"/>
                <w:lang w:bidi="ar"/>
              </w:rPr>
              <w:t xml:space="preserve"> </w:t>
            </w:r>
          </w:p>
        </w:tc>
        <w:tc>
          <w:tcPr>
            <w:tcW w:w="106" w:type="pct"/>
            <w:tcBorders>
              <w:tl2br w:val="nil"/>
              <w:tr2bl w:val="nil"/>
            </w:tcBorders>
            <w:noWrap/>
            <w:vAlign w:val="center"/>
          </w:tcPr>
          <w:p w14:paraId="7E43EFE9">
            <w:pPr>
              <w:jc w:val="center"/>
              <w:rPr>
                <w:rFonts w:ascii="Times New Roman" w:hAnsi="Times New Roman" w:eastAsia="ZLKHBM-18" w:cs="Times New Roman"/>
                <w:color w:val="231F20"/>
                <w:kern w:val="0"/>
                <w:sz w:val="18"/>
                <w:szCs w:val="18"/>
                <w:highlight w:val="none"/>
                <w:lang w:bidi="ar"/>
              </w:rPr>
            </w:pPr>
          </w:p>
        </w:tc>
        <w:tc>
          <w:tcPr>
            <w:tcW w:w="595" w:type="pct"/>
            <w:tcBorders>
              <w:tl2br w:val="nil"/>
              <w:tr2bl w:val="nil"/>
            </w:tcBorders>
            <w:noWrap/>
            <w:vAlign w:val="center"/>
          </w:tcPr>
          <w:p w14:paraId="104F595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Pancreas</w:t>
            </w:r>
          </w:p>
        </w:tc>
        <w:tc>
          <w:tcPr>
            <w:tcW w:w="434" w:type="pct"/>
            <w:tcBorders>
              <w:tl2br w:val="nil"/>
              <w:tr2bl w:val="nil"/>
            </w:tcBorders>
            <w:noWrap/>
            <w:vAlign w:val="center"/>
          </w:tcPr>
          <w:p w14:paraId="04F5F77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5.66 </w:t>
            </w:r>
          </w:p>
        </w:tc>
        <w:tc>
          <w:tcPr>
            <w:tcW w:w="461" w:type="pct"/>
            <w:tcBorders>
              <w:tl2br w:val="nil"/>
              <w:tr2bl w:val="nil"/>
            </w:tcBorders>
            <w:noWrap/>
            <w:vAlign w:val="center"/>
          </w:tcPr>
          <w:p w14:paraId="0FF7EB6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2.20 </w:t>
            </w:r>
          </w:p>
        </w:tc>
        <w:tc>
          <w:tcPr>
            <w:tcW w:w="106" w:type="pct"/>
            <w:tcBorders>
              <w:tl2br w:val="nil"/>
              <w:tr2bl w:val="nil"/>
            </w:tcBorders>
            <w:noWrap/>
            <w:vAlign w:val="center"/>
          </w:tcPr>
          <w:p w14:paraId="09D97F9A">
            <w:pPr>
              <w:jc w:val="center"/>
              <w:rPr>
                <w:rFonts w:ascii="Times New Roman" w:hAnsi="Times New Roman" w:eastAsia="ZLKHBM-18" w:cs="Times New Roman"/>
                <w:color w:val="231F20"/>
                <w:kern w:val="0"/>
                <w:sz w:val="18"/>
                <w:szCs w:val="18"/>
                <w:highlight w:val="none"/>
                <w:lang w:bidi="ar"/>
              </w:rPr>
            </w:pPr>
          </w:p>
        </w:tc>
        <w:tc>
          <w:tcPr>
            <w:tcW w:w="581" w:type="pct"/>
            <w:tcBorders>
              <w:tl2br w:val="nil"/>
              <w:tr2bl w:val="nil"/>
            </w:tcBorders>
            <w:noWrap/>
            <w:vAlign w:val="center"/>
          </w:tcPr>
          <w:p w14:paraId="6783D97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Breast</w:t>
            </w:r>
          </w:p>
        </w:tc>
        <w:tc>
          <w:tcPr>
            <w:tcW w:w="454" w:type="pct"/>
            <w:tcBorders>
              <w:tl2br w:val="nil"/>
              <w:tr2bl w:val="nil"/>
            </w:tcBorders>
            <w:noWrap/>
            <w:vAlign w:val="center"/>
          </w:tcPr>
          <w:p w14:paraId="33FB8F7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6.11 </w:t>
            </w:r>
          </w:p>
        </w:tc>
        <w:tc>
          <w:tcPr>
            <w:tcW w:w="456" w:type="pct"/>
            <w:tcBorders>
              <w:tl2br w:val="nil"/>
              <w:tr2bl w:val="nil"/>
            </w:tcBorders>
            <w:noWrap/>
            <w:vAlign w:val="center"/>
          </w:tcPr>
          <w:p w14:paraId="17BA0550">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4.78 </w:t>
            </w:r>
          </w:p>
        </w:tc>
      </w:tr>
      <w:tr w14:paraId="33BE9F9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03" w:type="pct"/>
            <w:tcBorders>
              <w:tl2br w:val="nil"/>
              <w:tr2bl w:val="nil"/>
            </w:tcBorders>
            <w:noWrap/>
            <w:vAlign w:val="center"/>
          </w:tcPr>
          <w:p w14:paraId="5F875D7F">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7</w:t>
            </w:r>
          </w:p>
        </w:tc>
        <w:tc>
          <w:tcPr>
            <w:tcW w:w="601" w:type="pct"/>
            <w:tcBorders>
              <w:tl2br w:val="nil"/>
              <w:tr2bl w:val="nil"/>
            </w:tcBorders>
            <w:noWrap/>
            <w:vAlign w:val="center"/>
          </w:tcPr>
          <w:p w14:paraId="5721C5E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Cervix uteri</w:t>
            </w:r>
          </w:p>
        </w:tc>
        <w:tc>
          <w:tcPr>
            <w:tcW w:w="441" w:type="pct"/>
            <w:tcBorders>
              <w:tl2br w:val="nil"/>
              <w:tr2bl w:val="nil"/>
            </w:tcBorders>
            <w:noWrap/>
            <w:vAlign w:val="center"/>
          </w:tcPr>
          <w:p w14:paraId="787B52B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5.31 </w:t>
            </w:r>
          </w:p>
        </w:tc>
        <w:tc>
          <w:tcPr>
            <w:tcW w:w="454" w:type="pct"/>
            <w:tcBorders>
              <w:tl2br w:val="nil"/>
              <w:tr2bl w:val="nil"/>
            </w:tcBorders>
            <w:noWrap/>
            <w:vAlign w:val="center"/>
          </w:tcPr>
          <w:p w14:paraId="794B0D1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1.31 </w:t>
            </w:r>
          </w:p>
        </w:tc>
        <w:tc>
          <w:tcPr>
            <w:tcW w:w="106" w:type="pct"/>
            <w:tcBorders>
              <w:tl2br w:val="nil"/>
              <w:tr2bl w:val="nil"/>
            </w:tcBorders>
            <w:noWrap/>
            <w:vAlign w:val="center"/>
          </w:tcPr>
          <w:p w14:paraId="55FBE7F4">
            <w:pPr>
              <w:jc w:val="center"/>
              <w:rPr>
                <w:rFonts w:ascii="Times New Roman" w:hAnsi="Times New Roman" w:eastAsia="ZLKHBM-18" w:cs="Times New Roman"/>
                <w:color w:val="231F20"/>
                <w:kern w:val="0"/>
                <w:sz w:val="18"/>
                <w:szCs w:val="18"/>
                <w:highlight w:val="none"/>
                <w:lang w:bidi="ar"/>
              </w:rPr>
            </w:pPr>
          </w:p>
        </w:tc>
        <w:tc>
          <w:tcPr>
            <w:tcW w:w="595" w:type="pct"/>
            <w:tcBorders>
              <w:tl2br w:val="nil"/>
              <w:tr2bl w:val="nil"/>
            </w:tcBorders>
            <w:noWrap/>
            <w:vAlign w:val="center"/>
          </w:tcPr>
          <w:p w14:paraId="3DAB2E30">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Brain &amp; CNS</w:t>
            </w:r>
          </w:p>
        </w:tc>
        <w:tc>
          <w:tcPr>
            <w:tcW w:w="434" w:type="pct"/>
            <w:tcBorders>
              <w:tl2br w:val="nil"/>
              <w:tr2bl w:val="nil"/>
            </w:tcBorders>
            <w:noWrap/>
            <w:vAlign w:val="center"/>
          </w:tcPr>
          <w:p w14:paraId="6F2B10E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5.00 </w:t>
            </w:r>
          </w:p>
        </w:tc>
        <w:tc>
          <w:tcPr>
            <w:tcW w:w="461" w:type="pct"/>
            <w:tcBorders>
              <w:tl2br w:val="nil"/>
              <w:tr2bl w:val="nil"/>
            </w:tcBorders>
            <w:noWrap/>
            <w:vAlign w:val="center"/>
          </w:tcPr>
          <w:p w14:paraId="6D1C7A3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1.94 </w:t>
            </w:r>
          </w:p>
        </w:tc>
        <w:tc>
          <w:tcPr>
            <w:tcW w:w="106" w:type="pct"/>
            <w:tcBorders>
              <w:tl2br w:val="nil"/>
              <w:tr2bl w:val="nil"/>
            </w:tcBorders>
            <w:noWrap/>
            <w:vAlign w:val="center"/>
          </w:tcPr>
          <w:p w14:paraId="78D7CD4C">
            <w:pPr>
              <w:jc w:val="center"/>
              <w:rPr>
                <w:rFonts w:ascii="Times New Roman" w:hAnsi="Times New Roman" w:eastAsia="ZLKHBM-18" w:cs="Times New Roman"/>
                <w:color w:val="231F20"/>
                <w:kern w:val="0"/>
                <w:sz w:val="18"/>
                <w:szCs w:val="18"/>
                <w:highlight w:val="none"/>
                <w:lang w:bidi="ar"/>
              </w:rPr>
            </w:pPr>
          </w:p>
        </w:tc>
        <w:tc>
          <w:tcPr>
            <w:tcW w:w="581" w:type="pct"/>
            <w:tcBorders>
              <w:tl2br w:val="nil"/>
              <w:tr2bl w:val="nil"/>
            </w:tcBorders>
            <w:noWrap/>
            <w:vAlign w:val="center"/>
          </w:tcPr>
          <w:p w14:paraId="7D82D717">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Cervix uteri</w:t>
            </w:r>
          </w:p>
        </w:tc>
        <w:tc>
          <w:tcPr>
            <w:tcW w:w="454" w:type="pct"/>
            <w:tcBorders>
              <w:tl2br w:val="nil"/>
              <w:tr2bl w:val="nil"/>
            </w:tcBorders>
            <w:noWrap/>
            <w:vAlign w:val="center"/>
          </w:tcPr>
          <w:p w14:paraId="0891332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5.31 </w:t>
            </w:r>
          </w:p>
        </w:tc>
        <w:tc>
          <w:tcPr>
            <w:tcW w:w="456" w:type="pct"/>
            <w:tcBorders>
              <w:tl2br w:val="nil"/>
              <w:tr2bl w:val="nil"/>
            </w:tcBorders>
            <w:noWrap/>
            <w:vAlign w:val="center"/>
          </w:tcPr>
          <w:p w14:paraId="6F960F7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4.15 </w:t>
            </w:r>
          </w:p>
        </w:tc>
      </w:tr>
      <w:tr w14:paraId="1E36C29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03" w:type="pct"/>
            <w:tcBorders>
              <w:tl2br w:val="nil"/>
              <w:tr2bl w:val="nil"/>
            </w:tcBorders>
            <w:noWrap/>
            <w:vAlign w:val="center"/>
          </w:tcPr>
          <w:p w14:paraId="34FDF8F2">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8</w:t>
            </w:r>
          </w:p>
        </w:tc>
        <w:tc>
          <w:tcPr>
            <w:tcW w:w="601" w:type="pct"/>
            <w:tcBorders>
              <w:tl2br w:val="nil"/>
              <w:tr2bl w:val="nil"/>
            </w:tcBorders>
            <w:noWrap/>
            <w:vAlign w:val="center"/>
          </w:tcPr>
          <w:p w14:paraId="63CF041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Pancreas</w:t>
            </w:r>
          </w:p>
        </w:tc>
        <w:tc>
          <w:tcPr>
            <w:tcW w:w="441" w:type="pct"/>
            <w:tcBorders>
              <w:tl2br w:val="nil"/>
              <w:tr2bl w:val="nil"/>
            </w:tcBorders>
            <w:noWrap/>
            <w:vAlign w:val="center"/>
          </w:tcPr>
          <w:p w14:paraId="0D382CC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4.65 </w:t>
            </w:r>
          </w:p>
        </w:tc>
        <w:tc>
          <w:tcPr>
            <w:tcW w:w="454" w:type="pct"/>
            <w:tcBorders>
              <w:tl2br w:val="nil"/>
              <w:tr2bl w:val="nil"/>
            </w:tcBorders>
            <w:noWrap/>
            <w:vAlign w:val="center"/>
          </w:tcPr>
          <w:p w14:paraId="7CEE3FF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2.39 </w:t>
            </w:r>
          </w:p>
        </w:tc>
        <w:tc>
          <w:tcPr>
            <w:tcW w:w="106" w:type="pct"/>
            <w:tcBorders>
              <w:tl2br w:val="nil"/>
              <w:tr2bl w:val="nil"/>
            </w:tcBorders>
            <w:noWrap/>
            <w:vAlign w:val="center"/>
          </w:tcPr>
          <w:p w14:paraId="6C2CF73E">
            <w:pPr>
              <w:jc w:val="center"/>
              <w:rPr>
                <w:rFonts w:ascii="Times New Roman" w:hAnsi="Times New Roman" w:eastAsia="ZLKHBM-18" w:cs="Times New Roman"/>
                <w:color w:val="231F20"/>
                <w:kern w:val="0"/>
                <w:sz w:val="18"/>
                <w:szCs w:val="18"/>
                <w:highlight w:val="none"/>
                <w:lang w:bidi="ar"/>
              </w:rPr>
            </w:pPr>
          </w:p>
        </w:tc>
        <w:tc>
          <w:tcPr>
            <w:tcW w:w="595" w:type="pct"/>
            <w:tcBorders>
              <w:tl2br w:val="nil"/>
              <w:tr2bl w:val="nil"/>
            </w:tcBorders>
            <w:noWrap/>
            <w:vAlign w:val="center"/>
          </w:tcPr>
          <w:p w14:paraId="375E645B">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Prostate</w:t>
            </w:r>
          </w:p>
        </w:tc>
        <w:tc>
          <w:tcPr>
            <w:tcW w:w="434" w:type="pct"/>
            <w:tcBorders>
              <w:tl2br w:val="nil"/>
              <w:tr2bl w:val="nil"/>
            </w:tcBorders>
            <w:noWrap/>
            <w:vAlign w:val="center"/>
          </w:tcPr>
          <w:p w14:paraId="234E102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4.35 </w:t>
            </w:r>
          </w:p>
        </w:tc>
        <w:tc>
          <w:tcPr>
            <w:tcW w:w="461" w:type="pct"/>
            <w:tcBorders>
              <w:tl2br w:val="nil"/>
              <w:tr2bl w:val="nil"/>
            </w:tcBorders>
            <w:noWrap/>
            <w:vAlign w:val="center"/>
          </w:tcPr>
          <w:p w14:paraId="65FE607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1.69 </w:t>
            </w:r>
          </w:p>
        </w:tc>
        <w:tc>
          <w:tcPr>
            <w:tcW w:w="106" w:type="pct"/>
            <w:tcBorders>
              <w:tl2br w:val="nil"/>
              <w:tr2bl w:val="nil"/>
            </w:tcBorders>
            <w:noWrap/>
            <w:vAlign w:val="center"/>
          </w:tcPr>
          <w:p w14:paraId="4797E13C">
            <w:pPr>
              <w:jc w:val="center"/>
              <w:rPr>
                <w:rFonts w:ascii="Times New Roman" w:hAnsi="Times New Roman" w:eastAsia="ZLKHBM-18" w:cs="Times New Roman"/>
                <w:color w:val="231F20"/>
                <w:kern w:val="0"/>
                <w:sz w:val="18"/>
                <w:szCs w:val="18"/>
                <w:highlight w:val="none"/>
                <w:lang w:bidi="ar"/>
              </w:rPr>
            </w:pPr>
          </w:p>
        </w:tc>
        <w:tc>
          <w:tcPr>
            <w:tcW w:w="581" w:type="pct"/>
            <w:tcBorders>
              <w:tl2br w:val="nil"/>
              <w:tr2bl w:val="nil"/>
            </w:tcBorders>
            <w:noWrap/>
            <w:vAlign w:val="center"/>
          </w:tcPr>
          <w:p w14:paraId="23A6C323">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Brain &amp; CNS</w:t>
            </w:r>
          </w:p>
        </w:tc>
        <w:tc>
          <w:tcPr>
            <w:tcW w:w="454" w:type="pct"/>
            <w:tcBorders>
              <w:tl2br w:val="nil"/>
              <w:tr2bl w:val="nil"/>
            </w:tcBorders>
            <w:noWrap/>
            <w:vAlign w:val="center"/>
          </w:tcPr>
          <w:p w14:paraId="1AEA28E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3.69 </w:t>
            </w:r>
          </w:p>
        </w:tc>
        <w:tc>
          <w:tcPr>
            <w:tcW w:w="456" w:type="pct"/>
            <w:tcBorders>
              <w:tl2br w:val="nil"/>
              <w:tr2bl w:val="nil"/>
            </w:tcBorders>
            <w:noWrap/>
            <w:vAlign w:val="center"/>
          </w:tcPr>
          <w:p w14:paraId="520F74CA">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2.89 </w:t>
            </w:r>
          </w:p>
        </w:tc>
      </w:tr>
      <w:tr w14:paraId="7F45971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03" w:type="pct"/>
            <w:tcBorders>
              <w:tl2br w:val="nil"/>
              <w:tr2bl w:val="nil"/>
            </w:tcBorders>
            <w:noWrap/>
            <w:vAlign w:val="center"/>
          </w:tcPr>
          <w:p w14:paraId="24DF3C99">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9</w:t>
            </w:r>
          </w:p>
        </w:tc>
        <w:tc>
          <w:tcPr>
            <w:tcW w:w="601" w:type="pct"/>
            <w:tcBorders>
              <w:tl2br w:val="nil"/>
              <w:tr2bl w:val="nil"/>
            </w:tcBorders>
            <w:noWrap/>
            <w:vAlign w:val="center"/>
          </w:tcPr>
          <w:p w14:paraId="6C8050F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Brain &amp; CNS</w:t>
            </w:r>
          </w:p>
        </w:tc>
        <w:tc>
          <w:tcPr>
            <w:tcW w:w="441" w:type="pct"/>
            <w:tcBorders>
              <w:tl2br w:val="nil"/>
              <w:tr2bl w:val="nil"/>
            </w:tcBorders>
            <w:noWrap/>
            <w:vAlign w:val="center"/>
          </w:tcPr>
          <w:p w14:paraId="5B4863FC">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4.37 </w:t>
            </w:r>
          </w:p>
        </w:tc>
        <w:tc>
          <w:tcPr>
            <w:tcW w:w="454" w:type="pct"/>
            <w:tcBorders>
              <w:tl2br w:val="nil"/>
              <w:tr2bl w:val="nil"/>
            </w:tcBorders>
            <w:noWrap/>
            <w:vAlign w:val="center"/>
          </w:tcPr>
          <w:p w14:paraId="3CFEDB32">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2.24 </w:t>
            </w:r>
          </w:p>
        </w:tc>
        <w:tc>
          <w:tcPr>
            <w:tcW w:w="106" w:type="pct"/>
            <w:tcBorders>
              <w:tl2br w:val="nil"/>
              <w:tr2bl w:val="nil"/>
            </w:tcBorders>
            <w:noWrap/>
            <w:vAlign w:val="center"/>
          </w:tcPr>
          <w:p w14:paraId="27D1FB3D">
            <w:pPr>
              <w:jc w:val="center"/>
              <w:rPr>
                <w:rFonts w:ascii="Times New Roman" w:hAnsi="Times New Roman" w:eastAsia="ZLKHBM-18" w:cs="Times New Roman"/>
                <w:color w:val="231F20"/>
                <w:kern w:val="0"/>
                <w:sz w:val="18"/>
                <w:szCs w:val="18"/>
                <w:highlight w:val="none"/>
                <w:lang w:bidi="ar"/>
              </w:rPr>
            </w:pPr>
          </w:p>
        </w:tc>
        <w:tc>
          <w:tcPr>
            <w:tcW w:w="595" w:type="pct"/>
            <w:tcBorders>
              <w:tl2br w:val="nil"/>
              <w:tr2bl w:val="nil"/>
            </w:tcBorders>
            <w:noWrap/>
            <w:vAlign w:val="center"/>
          </w:tcPr>
          <w:p w14:paraId="2D970802">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Other and unspecified </w:t>
            </w:r>
          </w:p>
        </w:tc>
        <w:tc>
          <w:tcPr>
            <w:tcW w:w="434" w:type="pct"/>
            <w:tcBorders>
              <w:tl2br w:val="nil"/>
              <w:tr2bl w:val="nil"/>
            </w:tcBorders>
            <w:noWrap/>
            <w:vAlign w:val="center"/>
          </w:tcPr>
          <w:p w14:paraId="3E18E37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3.41 </w:t>
            </w:r>
          </w:p>
        </w:tc>
        <w:tc>
          <w:tcPr>
            <w:tcW w:w="461" w:type="pct"/>
            <w:tcBorders>
              <w:tl2br w:val="nil"/>
              <w:tr2bl w:val="nil"/>
            </w:tcBorders>
            <w:noWrap/>
            <w:vAlign w:val="center"/>
          </w:tcPr>
          <w:p w14:paraId="73F91A9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1.32 </w:t>
            </w:r>
          </w:p>
        </w:tc>
        <w:tc>
          <w:tcPr>
            <w:tcW w:w="106" w:type="pct"/>
            <w:tcBorders>
              <w:tl2br w:val="nil"/>
              <w:tr2bl w:val="nil"/>
            </w:tcBorders>
            <w:noWrap/>
            <w:vAlign w:val="center"/>
          </w:tcPr>
          <w:p w14:paraId="196C1771">
            <w:pPr>
              <w:jc w:val="center"/>
              <w:rPr>
                <w:rFonts w:ascii="Times New Roman" w:hAnsi="Times New Roman" w:eastAsia="ZLKHBM-18" w:cs="Times New Roman"/>
                <w:color w:val="231F20"/>
                <w:kern w:val="0"/>
                <w:sz w:val="18"/>
                <w:szCs w:val="18"/>
                <w:highlight w:val="none"/>
                <w:lang w:bidi="ar"/>
              </w:rPr>
            </w:pPr>
          </w:p>
        </w:tc>
        <w:tc>
          <w:tcPr>
            <w:tcW w:w="581" w:type="pct"/>
            <w:tcBorders>
              <w:tl2br w:val="nil"/>
              <w:tr2bl w:val="nil"/>
            </w:tcBorders>
            <w:noWrap/>
            <w:vAlign w:val="center"/>
          </w:tcPr>
          <w:p w14:paraId="3F9D074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Pancreas</w:t>
            </w:r>
          </w:p>
        </w:tc>
        <w:tc>
          <w:tcPr>
            <w:tcW w:w="454" w:type="pct"/>
            <w:tcBorders>
              <w:tl2br w:val="nil"/>
              <w:tr2bl w:val="nil"/>
            </w:tcBorders>
            <w:noWrap/>
            <w:vAlign w:val="center"/>
          </w:tcPr>
          <w:p w14:paraId="0CBCDA9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3.57 </w:t>
            </w:r>
          </w:p>
        </w:tc>
        <w:tc>
          <w:tcPr>
            <w:tcW w:w="456" w:type="pct"/>
            <w:tcBorders>
              <w:tl2br w:val="nil"/>
              <w:tr2bl w:val="nil"/>
            </w:tcBorders>
            <w:noWrap/>
            <w:vAlign w:val="center"/>
          </w:tcPr>
          <w:p w14:paraId="5C277AF6">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2.80 </w:t>
            </w:r>
          </w:p>
        </w:tc>
      </w:tr>
      <w:tr w14:paraId="25F0025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303" w:type="pct"/>
            <w:tcBorders>
              <w:tl2br w:val="nil"/>
              <w:tr2bl w:val="nil"/>
            </w:tcBorders>
            <w:noWrap/>
            <w:vAlign w:val="center"/>
          </w:tcPr>
          <w:p w14:paraId="08021591">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10</w:t>
            </w:r>
          </w:p>
        </w:tc>
        <w:tc>
          <w:tcPr>
            <w:tcW w:w="601" w:type="pct"/>
            <w:tcBorders>
              <w:tl2br w:val="nil"/>
              <w:tr2bl w:val="nil"/>
            </w:tcBorders>
            <w:noWrap/>
            <w:vAlign w:val="center"/>
          </w:tcPr>
          <w:p w14:paraId="66FF63F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Prostate</w:t>
            </w:r>
          </w:p>
        </w:tc>
        <w:tc>
          <w:tcPr>
            <w:tcW w:w="441" w:type="pct"/>
            <w:tcBorders>
              <w:tl2br w:val="nil"/>
              <w:tr2bl w:val="nil"/>
            </w:tcBorders>
            <w:noWrap/>
            <w:vAlign w:val="center"/>
          </w:tcPr>
          <w:p w14:paraId="07BE0E7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4.35 </w:t>
            </w:r>
          </w:p>
        </w:tc>
        <w:tc>
          <w:tcPr>
            <w:tcW w:w="454" w:type="pct"/>
            <w:tcBorders>
              <w:tl2br w:val="nil"/>
              <w:tr2bl w:val="nil"/>
            </w:tcBorders>
            <w:noWrap/>
            <w:vAlign w:val="center"/>
          </w:tcPr>
          <w:p w14:paraId="3F527A08">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1.16 </w:t>
            </w:r>
          </w:p>
        </w:tc>
        <w:tc>
          <w:tcPr>
            <w:tcW w:w="106" w:type="pct"/>
            <w:tcBorders>
              <w:tl2br w:val="nil"/>
              <w:tr2bl w:val="nil"/>
            </w:tcBorders>
            <w:noWrap/>
            <w:vAlign w:val="center"/>
          </w:tcPr>
          <w:p w14:paraId="344009AB">
            <w:pPr>
              <w:jc w:val="center"/>
              <w:rPr>
                <w:rFonts w:ascii="Times New Roman" w:hAnsi="Times New Roman" w:eastAsia="ZLKHBM-18" w:cs="Times New Roman"/>
                <w:color w:val="231F20"/>
                <w:kern w:val="0"/>
                <w:sz w:val="18"/>
                <w:szCs w:val="18"/>
                <w:highlight w:val="none"/>
                <w:lang w:bidi="ar"/>
              </w:rPr>
            </w:pPr>
          </w:p>
        </w:tc>
        <w:tc>
          <w:tcPr>
            <w:tcW w:w="595" w:type="pct"/>
            <w:tcBorders>
              <w:tl2br w:val="nil"/>
              <w:tr2bl w:val="nil"/>
            </w:tcBorders>
            <w:noWrap/>
            <w:vAlign w:val="center"/>
          </w:tcPr>
          <w:p w14:paraId="7F4B3284">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Nasopharynx</w:t>
            </w:r>
          </w:p>
        </w:tc>
        <w:tc>
          <w:tcPr>
            <w:tcW w:w="434" w:type="pct"/>
            <w:tcBorders>
              <w:tl2br w:val="nil"/>
              <w:tr2bl w:val="nil"/>
            </w:tcBorders>
            <w:noWrap/>
            <w:vAlign w:val="center"/>
          </w:tcPr>
          <w:p w14:paraId="1182110D">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2.95 </w:t>
            </w:r>
          </w:p>
        </w:tc>
        <w:tc>
          <w:tcPr>
            <w:tcW w:w="461" w:type="pct"/>
            <w:tcBorders>
              <w:tl2br w:val="nil"/>
              <w:tr2bl w:val="nil"/>
            </w:tcBorders>
            <w:noWrap/>
            <w:vAlign w:val="center"/>
          </w:tcPr>
          <w:p w14:paraId="50A41D6E">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1.15 </w:t>
            </w:r>
          </w:p>
        </w:tc>
        <w:tc>
          <w:tcPr>
            <w:tcW w:w="106" w:type="pct"/>
            <w:tcBorders>
              <w:tl2br w:val="nil"/>
              <w:tr2bl w:val="nil"/>
            </w:tcBorders>
            <w:noWrap/>
            <w:vAlign w:val="center"/>
          </w:tcPr>
          <w:p w14:paraId="4DBB34B6">
            <w:pPr>
              <w:jc w:val="center"/>
              <w:rPr>
                <w:rFonts w:ascii="Times New Roman" w:hAnsi="Times New Roman" w:eastAsia="ZLKHBM-18" w:cs="Times New Roman"/>
                <w:color w:val="231F20"/>
                <w:kern w:val="0"/>
                <w:sz w:val="18"/>
                <w:szCs w:val="18"/>
                <w:highlight w:val="none"/>
                <w:lang w:bidi="ar"/>
              </w:rPr>
            </w:pPr>
          </w:p>
        </w:tc>
        <w:tc>
          <w:tcPr>
            <w:tcW w:w="581" w:type="pct"/>
            <w:tcBorders>
              <w:tl2br w:val="nil"/>
              <w:tr2bl w:val="nil"/>
            </w:tcBorders>
            <w:noWrap/>
            <w:vAlign w:val="center"/>
          </w:tcPr>
          <w:p w14:paraId="01A9DDD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Ovarian</w:t>
            </w:r>
          </w:p>
        </w:tc>
        <w:tc>
          <w:tcPr>
            <w:tcW w:w="454" w:type="pct"/>
            <w:tcBorders>
              <w:tl2br w:val="nil"/>
              <w:tr2bl w:val="nil"/>
            </w:tcBorders>
            <w:noWrap/>
            <w:vAlign w:val="center"/>
          </w:tcPr>
          <w:p w14:paraId="3092F050">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2.53 </w:t>
            </w:r>
          </w:p>
        </w:tc>
        <w:tc>
          <w:tcPr>
            <w:tcW w:w="456" w:type="pct"/>
            <w:tcBorders>
              <w:tl2br w:val="nil"/>
              <w:tr2bl w:val="nil"/>
            </w:tcBorders>
            <w:noWrap/>
            <w:vAlign w:val="center"/>
          </w:tcPr>
          <w:p w14:paraId="6DD03AA5">
            <w:pPr>
              <w:widowControl/>
              <w:jc w:val="center"/>
              <w:textAlignment w:val="center"/>
              <w:rPr>
                <w:rFonts w:ascii="Times New Roman" w:hAnsi="Times New Roman" w:eastAsia="ZLKHBM-18"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 xml:space="preserve">1.98 </w:t>
            </w:r>
          </w:p>
        </w:tc>
      </w:tr>
    </w:tbl>
    <w:p w14:paraId="6146C1FC">
      <w:pPr>
        <w:spacing w:line="240" w:lineRule="auto"/>
        <w:jc w:val="left"/>
        <w:rPr>
          <w:rFonts w:hint="eastAsia" w:ascii="Times New Roman" w:hAnsi="Times New Roman" w:cs="Times New Roman"/>
          <w:sz w:val="28"/>
          <w:szCs w:val="28"/>
          <w:highlight w:val="none"/>
          <w:lang w:eastAsia="zh-CN"/>
        </w:rPr>
      </w:pPr>
      <w:r>
        <w:rPr>
          <w:rFonts w:ascii="Times New Roman" w:hAnsi="Times New Roman" w:cs="Times New Roman"/>
          <w:sz w:val="16"/>
          <w:szCs w:val="16"/>
          <w:highlight w:val="none"/>
        </w:rPr>
        <w:t>Note: Breast cancer cases include females only.</w:t>
      </w:r>
    </w:p>
    <w:p w14:paraId="7280C6DB">
      <w:pPr>
        <w:spacing w:line="360" w:lineRule="auto"/>
        <w:rPr>
          <w:rFonts w:ascii="Times New Roman" w:hAnsi="Times New Roman" w:cs="Times New Roman"/>
          <w:b/>
          <w:bCs/>
          <w:sz w:val="28"/>
          <w:szCs w:val="28"/>
          <w:highlight w:val="none"/>
        </w:rPr>
      </w:pPr>
      <w:r>
        <w:rPr>
          <w:rFonts w:ascii="Times New Roman" w:hAnsi="Times New Roman" w:cs="Times New Roman"/>
          <w:b/>
          <w:bCs/>
          <w:sz w:val="28"/>
          <w:szCs w:val="28"/>
          <w:highlight w:val="none"/>
        </w:rPr>
        <w:t>2.</w:t>
      </w:r>
      <w:r>
        <w:rPr>
          <w:rFonts w:hint="eastAsia" w:ascii="Times New Roman" w:hAnsi="Times New Roman" w:cs="Times New Roman"/>
          <w:b/>
          <w:bCs/>
          <w:sz w:val="28"/>
          <w:szCs w:val="28"/>
          <w:highlight w:val="none"/>
          <w:lang w:val="en-US" w:eastAsia="zh-CN"/>
        </w:rPr>
        <w:t>6</w:t>
      </w:r>
      <w:r>
        <w:rPr>
          <w:rFonts w:ascii="Times New Roman" w:hAnsi="Times New Roman" w:cs="Times New Roman"/>
          <w:b/>
          <w:bCs/>
          <w:sz w:val="28"/>
          <w:szCs w:val="28"/>
          <w:highlight w:val="none"/>
        </w:rPr>
        <w:t xml:space="preserve"> 常见恶性肿瘤发病</w:t>
      </w:r>
      <w:r>
        <w:rPr>
          <w:rFonts w:hint="eastAsia" w:ascii="Times New Roman" w:hAnsi="Times New Roman" w:cs="Times New Roman"/>
          <w:b/>
          <w:bCs/>
          <w:sz w:val="28"/>
          <w:szCs w:val="28"/>
          <w:highlight w:val="none"/>
          <w:lang w:val="en-US" w:eastAsia="zh-CN"/>
        </w:rPr>
        <w:t>和</w:t>
      </w:r>
      <w:r>
        <w:rPr>
          <w:rFonts w:ascii="Times New Roman" w:hAnsi="Times New Roman" w:cs="Times New Roman"/>
          <w:b/>
          <w:bCs/>
          <w:sz w:val="28"/>
          <w:szCs w:val="28"/>
          <w:highlight w:val="none"/>
        </w:rPr>
        <w:t>死亡变化趋势</w:t>
      </w:r>
    </w:p>
    <w:p w14:paraId="5159B4DC">
      <w:pPr>
        <w:ind w:firstLine="560" w:firstLineChars="200"/>
        <w:rPr>
          <w:rFonts w:ascii="Times New Roman" w:hAnsi="Times New Roman" w:cs="Times New Roman"/>
          <w:sz w:val="28"/>
          <w:szCs w:val="28"/>
          <w:highlight w:val="none"/>
        </w:rPr>
      </w:pPr>
      <w:r>
        <w:rPr>
          <w:rFonts w:hint="eastAsia" w:ascii="Times New Roman" w:hAnsi="Times New Roman" w:cs="Times New Roman"/>
          <w:sz w:val="28"/>
          <w:szCs w:val="28"/>
          <w:highlight w:val="none"/>
          <w:lang w:eastAsia="zh-CN"/>
        </w:rPr>
        <w:t>2018—2023</w:t>
      </w:r>
      <w:r>
        <w:rPr>
          <w:rFonts w:ascii="Times New Roman" w:hAnsi="Times New Roman" w:cs="Times New Roman"/>
          <w:sz w:val="28"/>
          <w:szCs w:val="28"/>
          <w:highlight w:val="none"/>
        </w:rPr>
        <w:t>遂宁市恶性肿瘤粗发病率前</w:t>
      </w:r>
      <w:r>
        <w:rPr>
          <w:rFonts w:hint="eastAsia" w:ascii="Times New Roman" w:hAnsi="Times New Roman" w:cs="Times New Roman"/>
          <w:sz w:val="28"/>
          <w:szCs w:val="28"/>
          <w:highlight w:val="none"/>
        </w:rPr>
        <w:t>十</w:t>
      </w:r>
      <w:r>
        <w:rPr>
          <w:rFonts w:ascii="Times New Roman" w:hAnsi="Times New Roman" w:cs="Times New Roman"/>
          <w:sz w:val="28"/>
          <w:szCs w:val="28"/>
          <w:highlight w:val="none"/>
        </w:rPr>
        <w:t>位中，全人群胃癌呈下降趋势，AAPC为-3.16%（</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ascii="Times New Roman" w:hAnsi="Times New Roman" w:eastAsia="宋体" w:cs="Times New Roman"/>
          <w:color w:val="231F20"/>
          <w:kern w:val="0"/>
          <w:sz w:val="28"/>
          <w:szCs w:val="28"/>
          <w:lang w:bidi="ar"/>
        </w:rPr>
        <w:t>-4.65~-1.77</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&lt;0.001）。男性</w:t>
      </w:r>
      <w:r>
        <w:rPr>
          <w:rFonts w:hint="eastAsia" w:ascii="Times New Roman" w:hAnsi="Times New Roman" w:cs="Times New Roman"/>
          <w:sz w:val="28"/>
          <w:szCs w:val="28"/>
          <w:highlight w:val="none"/>
        </w:rPr>
        <w:t>前列腺癌、膀胱癌</w:t>
      </w:r>
      <w:r>
        <w:rPr>
          <w:rFonts w:ascii="Times New Roman" w:hAnsi="Times New Roman" w:cs="Times New Roman"/>
          <w:sz w:val="28"/>
          <w:szCs w:val="28"/>
          <w:highlight w:val="none"/>
        </w:rPr>
        <w:t>呈</w:t>
      </w:r>
      <w:r>
        <w:rPr>
          <w:rFonts w:hint="eastAsia" w:ascii="Times New Roman" w:hAnsi="Times New Roman" w:cs="Times New Roman"/>
          <w:sz w:val="28"/>
          <w:szCs w:val="28"/>
          <w:highlight w:val="none"/>
        </w:rPr>
        <w:t>上升</w:t>
      </w:r>
      <w:r>
        <w:rPr>
          <w:rFonts w:ascii="Times New Roman" w:hAnsi="Times New Roman" w:cs="Times New Roman"/>
          <w:sz w:val="28"/>
          <w:szCs w:val="28"/>
          <w:highlight w:val="none"/>
        </w:rPr>
        <w:t>趋势，AAPC</w:t>
      </w:r>
      <w:r>
        <w:rPr>
          <w:rFonts w:hint="eastAsia" w:ascii="Times New Roman" w:hAnsi="Times New Roman" w:cs="Times New Roman"/>
          <w:sz w:val="28"/>
          <w:szCs w:val="28"/>
          <w:highlight w:val="none"/>
        </w:rPr>
        <w:t>分别</w:t>
      </w:r>
      <w:r>
        <w:rPr>
          <w:rFonts w:ascii="Times New Roman" w:hAnsi="Times New Roman" w:cs="Times New Roman"/>
          <w:sz w:val="28"/>
          <w:szCs w:val="28"/>
          <w:highlight w:val="none"/>
        </w:rPr>
        <w:t>为</w:t>
      </w:r>
      <w:r>
        <w:rPr>
          <w:rFonts w:hint="eastAsia" w:ascii="Times New Roman" w:hAnsi="Times New Roman" w:cs="Times New Roman"/>
          <w:sz w:val="28"/>
          <w:szCs w:val="28"/>
          <w:highlight w:val="none"/>
        </w:rPr>
        <w:t>13.70</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ascii="Times New Roman" w:hAnsi="Times New Roman" w:eastAsia="宋体" w:cs="Times New Roman"/>
          <w:color w:val="000000"/>
          <w:kern w:val="0"/>
          <w:sz w:val="28"/>
          <w:szCs w:val="28"/>
          <w:lang w:bidi="ar"/>
        </w:rPr>
        <w:t>10.10~17.94</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&lt;0.001）</w:t>
      </w:r>
      <w:r>
        <w:rPr>
          <w:rFonts w:hint="eastAsia" w:ascii="Times New Roman" w:hAnsi="Times New Roman" w:cs="Times New Roman"/>
          <w:sz w:val="28"/>
          <w:szCs w:val="28"/>
          <w:highlight w:val="none"/>
        </w:rPr>
        <w:t>、3.88%（</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ascii="Times New Roman" w:hAnsi="Times New Roman" w:eastAsia="宋体" w:cs="Times New Roman"/>
          <w:color w:val="000000"/>
          <w:kern w:val="0"/>
          <w:sz w:val="28"/>
          <w:szCs w:val="28"/>
          <w:lang w:bidi="ar"/>
        </w:rPr>
        <w:t>2.02~5.81</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&lt;0.001</w:t>
      </w:r>
      <w:r>
        <w:rPr>
          <w:rFonts w:hint="eastAsia" w:ascii="Times New Roman" w:hAnsi="Times New Roman" w:cs="Times New Roman"/>
          <w:sz w:val="28"/>
          <w:szCs w:val="28"/>
          <w:highlight w:val="none"/>
        </w:rPr>
        <w:t>）；胃癌和脑、神经系统恶性肿瘤</w:t>
      </w:r>
      <w:r>
        <w:rPr>
          <w:rFonts w:ascii="Times New Roman" w:hAnsi="Times New Roman" w:cs="Times New Roman"/>
          <w:sz w:val="28"/>
          <w:szCs w:val="28"/>
          <w:highlight w:val="none"/>
        </w:rPr>
        <w:t>呈</w:t>
      </w:r>
      <w:r>
        <w:rPr>
          <w:rFonts w:hint="eastAsia" w:ascii="Times New Roman" w:hAnsi="Times New Roman" w:cs="Times New Roman"/>
          <w:sz w:val="28"/>
          <w:szCs w:val="28"/>
          <w:highlight w:val="none"/>
        </w:rPr>
        <w:t>下降</w:t>
      </w:r>
      <w:r>
        <w:rPr>
          <w:rFonts w:ascii="Times New Roman" w:hAnsi="Times New Roman" w:cs="Times New Roman"/>
          <w:sz w:val="28"/>
          <w:szCs w:val="28"/>
          <w:highlight w:val="none"/>
        </w:rPr>
        <w:t>趋势，AAPC</w:t>
      </w:r>
      <w:r>
        <w:rPr>
          <w:rFonts w:hint="eastAsia" w:ascii="Times New Roman" w:hAnsi="Times New Roman" w:cs="Times New Roman"/>
          <w:sz w:val="28"/>
          <w:szCs w:val="28"/>
          <w:highlight w:val="none"/>
        </w:rPr>
        <w:t>分别</w:t>
      </w:r>
      <w:r>
        <w:rPr>
          <w:rFonts w:ascii="Times New Roman" w:hAnsi="Times New Roman" w:cs="Times New Roman"/>
          <w:sz w:val="28"/>
          <w:szCs w:val="28"/>
          <w:highlight w:val="none"/>
        </w:rPr>
        <w:t>为</w:t>
      </w:r>
      <w:r>
        <w:rPr>
          <w:rFonts w:hint="eastAsia" w:ascii="Times New Roman" w:hAnsi="Times New Roman" w:cs="Times New Roman"/>
          <w:sz w:val="28"/>
          <w:szCs w:val="28"/>
          <w:highlight w:val="none"/>
        </w:rPr>
        <w:t>-2.84</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ascii="Times New Roman" w:hAnsi="Times New Roman" w:eastAsia="宋体" w:cs="Times New Roman"/>
          <w:color w:val="231F20"/>
          <w:kern w:val="0"/>
          <w:sz w:val="28"/>
          <w:szCs w:val="28"/>
          <w:lang w:bidi="ar"/>
        </w:rPr>
        <w:t>-4.19~-1.57</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&lt;0.001）</w:t>
      </w:r>
      <w:r>
        <w:rPr>
          <w:rFonts w:hint="eastAsia" w:ascii="Times New Roman" w:hAnsi="Times New Roman" w:cs="Times New Roman"/>
          <w:sz w:val="28"/>
          <w:szCs w:val="28"/>
          <w:highlight w:val="none"/>
        </w:rPr>
        <w:t>、-3.45%（</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ascii="Times New Roman" w:hAnsi="Times New Roman" w:eastAsia="宋体" w:cs="Times New Roman"/>
          <w:color w:val="000000"/>
          <w:kern w:val="0"/>
          <w:sz w:val="28"/>
          <w:szCs w:val="28"/>
          <w:lang w:bidi="ar"/>
        </w:rPr>
        <w:t>-6.42~-0.57</w:t>
      </w:r>
      <w:r>
        <w:rPr>
          <w:rFonts w:hint="eastAsia" w:ascii="Times New Roman" w:hAnsi="Times New Roman" w:cs="Times New Roman"/>
          <w:sz w:val="28"/>
          <w:szCs w:val="28"/>
          <w:highlight w:val="none"/>
          <w:lang w:val="en-US" w:eastAsia="zh-CN"/>
        </w:rPr>
        <w:t>，</w:t>
      </w:r>
      <w:r>
        <w:rPr>
          <w:rFonts w:hint="eastAsia" w:ascii="Times New Roman" w:hAnsi="Times New Roman" w:cs="Times New Roman"/>
          <w:i/>
          <w:iCs/>
          <w:sz w:val="28"/>
          <w:szCs w:val="28"/>
          <w:highlight w:val="none"/>
        </w:rPr>
        <w:t>P</w:t>
      </w:r>
      <w:r>
        <w:rPr>
          <w:rFonts w:hint="eastAsia" w:ascii="Times New Roman" w:hAnsi="Times New Roman" w:cs="Times New Roman"/>
          <w:sz w:val="28"/>
          <w:szCs w:val="28"/>
          <w:highlight w:val="none"/>
        </w:rPr>
        <w:t>=0.011）</w:t>
      </w:r>
      <w:r>
        <w:rPr>
          <w:rFonts w:ascii="Times New Roman" w:hAnsi="Times New Roman" w:cs="Times New Roman"/>
          <w:sz w:val="28"/>
          <w:szCs w:val="28"/>
          <w:highlight w:val="none"/>
        </w:rPr>
        <w:t>。女性</w:t>
      </w:r>
      <w:r>
        <w:rPr>
          <w:rFonts w:hint="eastAsia" w:ascii="Times New Roman" w:hAnsi="Times New Roman" w:cs="Times New Roman"/>
          <w:sz w:val="28"/>
          <w:szCs w:val="28"/>
          <w:highlight w:val="none"/>
        </w:rPr>
        <w:t>肺癌</w:t>
      </w:r>
      <w:r>
        <w:rPr>
          <w:rFonts w:ascii="Times New Roman" w:hAnsi="Times New Roman" w:cs="Times New Roman"/>
          <w:sz w:val="28"/>
          <w:szCs w:val="28"/>
          <w:highlight w:val="none"/>
        </w:rPr>
        <w:t>呈上升趋势，AAPC为5.78%（</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ascii="Times New Roman" w:hAnsi="Times New Roman" w:eastAsia="宋体" w:cs="Times New Roman"/>
          <w:color w:val="231F20"/>
          <w:kern w:val="0"/>
          <w:sz w:val="28"/>
          <w:szCs w:val="28"/>
          <w:lang w:bidi="ar"/>
        </w:rPr>
        <w:t>1.30~10.84</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=0.010）</w:t>
      </w:r>
      <w:r>
        <w:rPr>
          <w:rFonts w:hint="eastAsia" w:ascii="Times New Roman" w:hAnsi="Times New Roman" w:cs="Times New Roman"/>
          <w:sz w:val="28"/>
          <w:szCs w:val="28"/>
          <w:highlight w:val="none"/>
        </w:rPr>
        <w:t>；</w:t>
      </w:r>
      <w:r>
        <w:rPr>
          <w:rFonts w:ascii="Times New Roman" w:hAnsi="Times New Roman" w:cs="Times New Roman"/>
          <w:sz w:val="28"/>
          <w:szCs w:val="28"/>
          <w:highlight w:val="none"/>
        </w:rPr>
        <w:t>肝癌呈下降趋势，AAPC为-3.82%（</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ascii="Times New Roman" w:hAnsi="Times New Roman" w:eastAsia="宋体" w:cs="Times New Roman"/>
          <w:color w:val="000000"/>
          <w:kern w:val="0"/>
          <w:sz w:val="28"/>
          <w:szCs w:val="28"/>
          <w:lang w:bidi="ar"/>
        </w:rPr>
        <w:t>-7.65~-0.20</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 xml:space="preserve">=0.038）（Table </w:t>
      </w:r>
      <w:r>
        <w:rPr>
          <w:rFonts w:hint="eastAsia" w:ascii="Times New Roman" w:hAnsi="Times New Roman" w:cs="Times New Roman"/>
          <w:sz w:val="28"/>
          <w:szCs w:val="28"/>
          <w:highlight w:val="none"/>
          <w:lang w:val="en-US" w:eastAsia="zh-CN"/>
        </w:rPr>
        <w:t>8</w:t>
      </w:r>
      <w:r>
        <w:rPr>
          <w:rFonts w:ascii="Times New Roman" w:hAnsi="Times New Roman" w:cs="Times New Roman"/>
          <w:sz w:val="28"/>
          <w:szCs w:val="28"/>
          <w:highlight w:val="none"/>
        </w:rPr>
        <w:t>）。</w:t>
      </w:r>
    </w:p>
    <w:p w14:paraId="6056E1C2">
      <w:pPr>
        <w:ind w:firstLine="560" w:firstLineChars="200"/>
        <w:rPr>
          <w:rFonts w:hint="eastAsia" w:ascii="Times New Roman" w:hAnsi="Times New Roman" w:cs="Times New Roman" w:eastAsiaTheme="minorEastAsia"/>
          <w:sz w:val="24"/>
          <w:highlight w:val="none"/>
          <w:lang w:val="en-US" w:eastAsia="zh-CN"/>
        </w:rPr>
      </w:pPr>
      <w:r>
        <w:rPr>
          <w:rFonts w:hint="eastAsia" w:ascii="Times New Roman" w:hAnsi="Times New Roman" w:cs="Times New Roman"/>
          <w:sz w:val="28"/>
          <w:szCs w:val="28"/>
          <w:highlight w:val="none"/>
          <w:lang w:eastAsia="zh-CN"/>
        </w:rPr>
        <w:t>2018—2023</w:t>
      </w:r>
      <w:r>
        <w:rPr>
          <w:rFonts w:ascii="Times New Roman" w:hAnsi="Times New Roman" w:cs="Times New Roman"/>
          <w:sz w:val="28"/>
          <w:szCs w:val="28"/>
          <w:highlight w:val="none"/>
        </w:rPr>
        <w:t>遂宁市恶性肿瘤粗死亡率前</w:t>
      </w:r>
      <w:r>
        <w:rPr>
          <w:rFonts w:hint="eastAsia" w:ascii="Times New Roman" w:hAnsi="Times New Roman" w:cs="Times New Roman"/>
          <w:sz w:val="28"/>
          <w:szCs w:val="28"/>
          <w:highlight w:val="none"/>
        </w:rPr>
        <w:t>十</w:t>
      </w:r>
      <w:r>
        <w:rPr>
          <w:rFonts w:ascii="Times New Roman" w:hAnsi="Times New Roman" w:cs="Times New Roman"/>
          <w:sz w:val="28"/>
          <w:szCs w:val="28"/>
          <w:highlight w:val="none"/>
        </w:rPr>
        <w:t>位中，全人群</w:t>
      </w:r>
      <w:r>
        <w:rPr>
          <w:rFonts w:hint="eastAsia" w:ascii="Times New Roman" w:hAnsi="Times New Roman" w:cs="Times New Roman"/>
          <w:sz w:val="28"/>
          <w:szCs w:val="28"/>
          <w:highlight w:val="none"/>
        </w:rPr>
        <w:t>结直肠癌、胰腺癌</w:t>
      </w:r>
      <w:r>
        <w:rPr>
          <w:rFonts w:ascii="Times New Roman" w:hAnsi="Times New Roman" w:cs="Times New Roman"/>
          <w:sz w:val="28"/>
          <w:szCs w:val="28"/>
          <w:highlight w:val="none"/>
        </w:rPr>
        <w:t>呈</w:t>
      </w:r>
      <w:r>
        <w:rPr>
          <w:rFonts w:hint="eastAsia" w:ascii="Times New Roman" w:hAnsi="Times New Roman" w:cs="Times New Roman"/>
          <w:sz w:val="28"/>
          <w:szCs w:val="28"/>
          <w:highlight w:val="none"/>
        </w:rPr>
        <w:t>上升</w:t>
      </w:r>
      <w:r>
        <w:rPr>
          <w:rFonts w:ascii="Times New Roman" w:hAnsi="Times New Roman" w:cs="Times New Roman"/>
          <w:sz w:val="28"/>
          <w:szCs w:val="28"/>
          <w:highlight w:val="none"/>
        </w:rPr>
        <w:t>趋势，AAPC</w:t>
      </w:r>
      <w:r>
        <w:rPr>
          <w:rFonts w:hint="eastAsia" w:ascii="Times New Roman" w:hAnsi="Times New Roman" w:cs="Times New Roman"/>
          <w:sz w:val="28"/>
          <w:szCs w:val="28"/>
          <w:highlight w:val="none"/>
        </w:rPr>
        <w:t>分别</w:t>
      </w:r>
      <w:r>
        <w:rPr>
          <w:rFonts w:ascii="Times New Roman" w:hAnsi="Times New Roman" w:cs="Times New Roman"/>
          <w:sz w:val="28"/>
          <w:szCs w:val="28"/>
          <w:highlight w:val="none"/>
        </w:rPr>
        <w:t>为</w:t>
      </w:r>
      <w:r>
        <w:rPr>
          <w:rFonts w:hint="eastAsia" w:ascii="Times New Roman" w:hAnsi="Times New Roman" w:cs="Times New Roman"/>
          <w:sz w:val="28"/>
          <w:szCs w:val="28"/>
          <w:highlight w:val="none"/>
        </w:rPr>
        <w:t>5.43</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ascii="Times New Roman" w:hAnsi="Times New Roman" w:eastAsia="宋体" w:cs="Times New Roman"/>
          <w:color w:val="231F20"/>
          <w:kern w:val="0"/>
          <w:sz w:val="28"/>
          <w:szCs w:val="28"/>
          <w:lang w:bidi="ar"/>
        </w:rPr>
        <w:t>0.60~10.56</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sz w:val="28"/>
          <w:szCs w:val="28"/>
          <w:highlight w:val="none"/>
        </w:rPr>
        <w:t>=</w:t>
      </w:r>
      <w:r>
        <w:rPr>
          <w:rFonts w:ascii="Times New Roman" w:hAnsi="Times New Roman" w:cs="Times New Roman"/>
          <w:sz w:val="28"/>
          <w:szCs w:val="28"/>
          <w:highlight w:val="none"/>
        </w:rPr>
        <w:t>0.</w:t>
      </w:r>
      <w:r>
        <w:rPr>
          <w:rFonts w:hint="eastAsia" w:ascii="Times New Roman" w:hAnsi="Times New Roman" w:cs="Times New Roman"/>
          <w:sz w:val="28"/>
          <w:szCs w:val="28"/>
          <w:highlight w:val="none"/>
        </w:rPr>
        <w:t>028</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rPr>
        <w:t>、10.64%（</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ascii="Times New Roman" w:hAnsi="Times New Roman" w:eastAsia="宋体" w:cs="Times New Roman"/>
          <w:color w:val="000000"/>
          <w:kern w:val="0"/>
          <w:sz w:val="28"/>
          <w:szCs w:val="28"/>
          <w:lang w:bidi="ar"/>
        </w:rPr>
        <w:t>3.45~19.31</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sz w:val="28"/>
          <w:szCs w:val="28"/>
          <w:highlight w:val="none"/>
        </w:rPr>
        <w:t>=0.003）；脑、神经系统恶性肿瘤</w:t>
      </w:r>
      <w:r>
        <w:rPr>
          <w:rFonts w:ascii="Times New Roman" w:hAnsi="Times New Roman" w:cs="Times New Roman"/>
          <w:sz w:val="28"/>
          <w:szCs w:val="28"/>
          <w:highlight w:val="none"/>
        </w:rPr>
        <w:t>呈</w:t>
      </w:r>
      <w:r>
        <w:rPr>
          <w:rFonts w:hint="eastAsia" w:ascii="Times New Roman" w:hAnsi="Times New Roman" w:cs="Times New Roman"/>
          <w:sz w:val="28"/>
          <w:szCs w:val="28"/>
          <w:highlight w:val="none"/>
        </w:rPr>
        <w:t>下降</w:t>
      </w:r>
      <w:r>
        <w:rPr>
          <w:rFonts w:ascii="Times New Roman" w:hAnsi="Times New Roman" w:cs="Times New Roman"/>
          <w:sz w:val="28"/>
          <w:szCs w:val="28"/>
          <w:highlight w:val="none"/>
        </w:rPr>
        <w:t>趋势，AAPC为</w:t>
      </w:r>
      <w:r>
        <w:rPr>
          <w:rFonts w:hint="eastAsia" w:ascii="Times New Roman" w:hAnsi="Times New Roman" w:cs="Times New Roman"/>
          <w:sz w:val="28"/>
          <w:szCs w:val="28"/>
          <w:highlight w:val="none"/>
        </w:rPr>
        <w:t>-4.66</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ascii="Times New Roman" w:hAnsi="Times New Roman" w:eastAsia="宋体" w:cs="Times New Roman"/>
          <w:color w:val="000000"/>
          <w:kern w:val="0"/>
          <w:sz w:val="28"/>
          <w:szCs w:val="28"/>
          <w:lang w:bidi="ar"/>
        </w:rPr>
        <w:t>-8.21~-1.26</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sz w:val="28"/>
          <w:szCs w:val="28"/>
          <w:highlight w:val="none"/>
        </w:rPr>
        <w:t>=0.008</w:t>
      </w:r>
      <w:r>
        <w:rPr>
          <w:rFonts w:ascii="Times New Roman" w:hAnsi="Times New Roman" w:cs="Times New Roman"/>
          <w:sz w:val="28"/>
          <w:szCs w:val="28"/>
          <w:highlight w:val="none"/>
        </w:rPr>
        <w:t>）。男性</w:t>
      </w:r>
      <w:r>
        <w:rPr>
          <w:rFonts w:hint="eastAsia" w:ascii="Times New Roman" w:hAnsi="Times New Roman" w:cs="Times New Roman"/>
          <w:sz w:val="28"/>
          <w:szCs w:val="28"/>
          <w:highlight w:val="none"/>
        </w:rPr>
        <w:t>结直肠癌、胰腺癌、前列腺癌</w:t>
      </w:r>
      <w:r>
        <w:rPr>
          <w:rFonts w:ascii="Times New Roman" w:hAnsi="Times New Roman" w:cs="Times New Roman"/>
          <w:sz w:val="28"/>
          <w:szCs w:val="28"/>
          <w:highlight w:val="none"/>
        </w:rPr>
        <w:t>呈</w:t>
      </w:r>
      <w:r>
        <w:rPr>
          <w:rFonts w:hint="eastAsia" w:ascii="Times New Roman" w:hAnsi="Times New Roman" w:cs="Times New Roman"/>
          <w:sz w:val="28"/>
          <w:szCs w:val="28"/>
          <w:highlight w:val="none"/>
        </w:rPr>
        <w:t>上升</w:t>
      </w:r>
      <w:r>
        <w:rPr>
          <w:rFonts w:ascii="Times New Roman" w:hAnsi="Times New Roman" w:cs="Times New Roman"/>
          <w:sz w:val="28"/>
          <w:szCs w:val="28"/>
          <w:highlight w:val="none"/>
        </w:rPr>
        <w:t>趋势，AAPC</w:t>
      </w:r>
      <w:r>
        <w:rPr>
          <w:rFonts w:hint="eastAsia" w:ascii="Times New Roman" w:hAnsi="Times New Roman" w:cs="Times New Roman"/>
          <w:sz w:val="28"/>
          <w:szCs w:val="28"/>
          <w:highlight w:val="none"/>
        </w:rPr>
        <w:t>分别</w:t>
      </w:r>
      <w:r>
        <w:rPr>
          <w:rFonts w:ascii="Times New Roman" w:hAnsi="Times New Roman" w:cs="Times New Roman"/>
          <w:sz w:val="28"/>
          <w:szCs w:val="28"/>
          <w:highlight w:val="none"/>
        </w:rPr>
        <w:t>为</w:t>
      </w:r>
      <w:r>
        <w:rPr>
          <w:rFonts w:hint="eastAsia" w:ascii="Times New Roman" w:hAnsi="Times New Roman" w:cs="Times New Roman"/>
          <w:sz w:val="28"/>
          <w:szCs w:val="28"/>
          <w:highlight w:val="none"/>
        </w:rPr>
        <w:t>6.46</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ascii="Times New Roman" w:hAnsi="Times New Roman" w:eastAsia="宋体" w:cs="Times New Roman"/>
          <w:color w:val="231F20"/>
          <w:kern w:val="0"/>
          <w:sz w:val="28"/>
          <w:szCs w:val="28"/>
          <w:lang w:bidi="ar"/>
        </w:rPr>
        <w:t>2.80~10.38</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sz w:val="28"/>
          <w:szCs w:val="28"/>
          <w:highlight w:val="none"/>
        </w:rPr>
        <w:t>=</w:t>
      </w:r>
      <w:r>
        <w:rPr>
          <w:rFonts w:ascii="Times New Roman" w:hAnsi="Times New Roman" w:cs="Times New Roman"/>
          <w:sz w:val="28"/>
          <w:szCs w:val="28"/>
          <w:highlight w:val="none"/>
        </w:rPr>
        <w:t>0.001）</w:t>
      </w:r>
      <w:r>
        <w:rPr>
          <w:rFonts w:hint="eastAsia" w:ascii="Times New Roman" w:hAnsi="Times New Roman" w:cs="Times New Roman"/>
          <w:sz w:val="28"/>
          <w:szCs w:val="28"/>
          <w:highlight w:val="none"/>
        </w:rPr>
        <w:t>、7.43%（</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ascii="Times New Roman" w:hAnsi="Times New Roman" w:eastAsia="宋体" w:cs="Times New Roman"/>
          <w:color w:val="000000"/>
          <w:kern w:val="0"/>
          <w:sz w:val="28"/>
          <w:szCs w:val="28"/>
          <w:lang w:bidi="ar"/>
        </w:rPr>
        <w:t>0.41~15.16</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sz w:val="28"/>
          <w:szCs w:val="28"/>
          <w:highlight w:val="none"/>
        </w:rPr>
        <w:t>=</w:t>
      </w:r>
      <w:r>
        <w:rPr>
          <w:rFonts w:ascii="Times New Roman" w:hAnsi="Times New Roman" w:cs="Times New Roman"/>
          <w:sz w:val="28"/>
          <w:szCs w:val="28"/>
          <w:highlight w:val="none"/>
        </w:rPr>
        <w:t>0.0</w:t>
      </w:r>
      <w:r>
        <w:rPr>
          <w:rFonts w:hint="eastAsia" w:ascii="Times New Roman" w:hAnsi="Times New Roman" w:cs="Times New Roman"/>
          <w:sz w:val="28"/>
          <w:szCs w:val="28"/>
          <w:highlight w:val="none"/>
        </w:rPr>
        <w:t>35）、23.44%（</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ascii="Times New Roman" w:hAnsi="Times New Roman" w:eastAsia="宋体" w:cs="Times New Roman"/>
          <w:color w:val="000000"/>
          <w:kern w:val="0"/>
          <w:sz w:val="28"/>
          <w:szCs w:val="28"/>
          <w:lang w:bidi="ar"/>
        </w:rPr>
        <w:t>13.73~37.10</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ascii="Times New Roman" w:hAnsi="Times New Roman" w:cs="Times New Roman"/>
          <w:sz w:val="28"/>
          <w:szCs w:val="28"/>
          <w:highlight w:val="none"/>
        </w:rPr>
        <w:t>&lt;0.001</w:t>
      </w:r>
      <w:r>
        <w:rPr>
          <w:rFonts w:hint="eastAsia" w:ascii="Times New Roman" w:hAnsi="Times New Roman" w:cs="Times New Roman"/>
          <w:sz w:val="28"/>
          <w:szCs w:val="28"/>
          <w:highlight w:val="none"/>
        </w:rPr>
        <w:t>）。</w:t>
      </w:r>
      <w:r>
        <w:rPr>
          <w:rFonts w:ascii="Times New Roman" w:hAnsi="Times New Roman" w:cs="Times New Roman"/>
          <w:sz w:val="28"/>
          <w:szCs w:val="28"/>
          <w:highlight w:val="none"/>
        </w:rPr>
        <w:t>女性</w:t>
      </w:r>
      <w:r>
        <w:rPr>
          <w:rFonts w:hint="eastAsia" w:ascii="Times New Roman" w:hAnsi="Times New Roman" w:cs="Times New Roman"/>
          <w:sz w:val="28"/>
          <w:szCs w:val="28"/>
          <w:highlight w:val="none"/>
        </w:rPr>
        <w:t>宫颈癌、胰腺癌</w:t>
      </w:r>
      <w:r>
        <w:rPr>
          <w:rFonts w:ascii="Times New Roman" w:hAnsi="Times New Roman" w:cs="Times New Roman"/>
          <w:sz w:val="28"/>
          <w:szCs w:val="28"/>
          <w:highlight w:val="none"/>
        </w:rPr>
        <w:t>呈上升趋势，AAPC</w:t>
      </w:r>
      <w:r>
        <w:rPr>
          <w:rFonts w:hint="eastAsia" w:ascii="Times New Roman" w:hAnsi="Times New Roman" w:cs="Times New Roman"/>
          <w:sz w:val="28"/>
          <w:szCs w:val="28"/>
          <w:highlight w:val="none"/>
        </w:rPr>
        <w:t>分别</w:t>
      </w:r>
      <w:r>
        <w:rPr>
          <w:rFonts w:ascii="Times New Roman" w:hAnsi="Times New Roman" w:cs="Times New Roman"/>
          <w:sz w:val="28"/>
          <w:szCs w:val="28"/>
          <w:highlight w:val="none"/>
        </w:rPr>
        <w:t>为</w:t>
      </w:r>
      <w:r>
        <w:rPr>
          <w:rFonts w:hint="eastAsia" w:ascii="Times New Roman" w:hAnsi="Times New Roman" w:cs="Times New Roman"/>
          <w:sz w:val="28"/>
          <w:szCs w:val="28"/>
          <w:highlight w:val="none"/>
        </w:rPr>
        <w:t>7.94</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ascii="Times New Roman" w:hAnsi="Times New Roman" w:eastAsia="宋体" w:cs="Times New Roman"/>
          <w:color w:val="000000"/>
          <w:kern w:val="0"/>
          <w:sz w:val="28"/>
          <w:szCs w:val="28"/>
          <w:lang w:bidi="ar"/>
        </w:rPr>
        <w:t>4.13~12.31</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i/>
          <w:iCs/>
          <w:sz w:val="28"/>
          <w:szCs w:val="28"/>
          <w:highlight w:val="none"/>
        </w:rPr>
        <w:t>&lt;</w:t>
      </w:r>
      <w:r>
        <w:rPr>
          <w:rFonts w:ascii="Times New Roman" w:hAnsi="Times New Roman" w:cs="Times New Roman"/>
          <w:sz w:val="28"/>
          <w:szCs w:val="28"/>
          <w:highlight w:val="none"/>
        </w:rPr>
        <w:t>0.001）</w:t>
      </w:r>
      <w:r>
        <w:rPr>
          <w:rFonts w:hint="eastAsia" w:ascii="Times New Roman" w:hAnsi="Times New Roman" w:cs="Times New Roman"/>
          <w:sz w:val="28"/>
          <w:szCs w:val="28"/>
          <w:highlight w:val="none"/>
        </w:rPr>
        <w:t>、16.10%（</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ascii="Times New Roman" w:hAnsi="Times New Roman" w:eastAsia="宋体" w:cs="Times New Roman"/>
          <w:color w:val="000000"/>
          <w:kern w:val="0"/>
          <w:sz w:val="28"/>
          <w:szCs w:val="28"/>
          <w:lang w:bidi="ar"/>
        </w:rPr>
        <w:t>8.47~25.80</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i/>
          <w:iCs/>
          <w:sz w:val="28"/>
          <w:szCs w:val="28"/>
          <w:highlight w:val="none"/>
        </w:rPr>
        <w:t>&lt;</w:t>
      </w:r>
      <w:r>
        <w:rPr>
          <w:rFonts w:ascii="Times New Roman" w:hAnsi="Times New Roman" w:cs="Times New Roman"/>
          <w:sz w:val="28"/>
          <w:szCs w:val="28"/>
          <w:highlight w:val="none"/>
        </w:rPr>
        <w:t>0.001</w:t>
      </w:r>
      <w:r>
        <w:rPr>
          <w:rFonts w:hint="eastAsia" w:ascii="Times New Roman" w:hAnsi="Times New Roman" w:cs="Times New Roman"/>
          <w:sz w:val="28"/>
          <w:szCs w:val="28"/>
          <w:highlight w:val="none"/>
        </w:rPr>
        <w:t>）；脑、神经系统恶性肿瘤</w:t>
      </w:r>
      <w:r>
        <w:rPr>
          <w:rFonts w:ascii="Times New Roman" w:hAnsi="Times New Roman" w:cs="Times New Roman"/>
          <w:sz w:val="28"/>
          <w:szCs w:val="28"/>
          <w:highlight w:val="none"/>
        </w:rPr>
        <w:t>呈下降趋势，AAPC为-</w:t>
      </w:r>
      <w:r>
        <w:rPr>
          <w:rFonts w:hint="eastAsia" w:ascii="Times New Roman" w:hAnsi="Times New Roman" w:cs="Times New Roman"/>
          <w:sz w:val="28"/>
          <w:szCs w:val="28"/>
          <w:highlight w:val="none"/>
        </w:rPr>
        <w:t>4.09</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95%</w:t>
      </w:r>
      <w:r>
        <w:rPr>
          <w:rFonts w:hint="eastAsia" w:ascii="Times New Roman" w:hAnsi="Times New Roman" w:cs="Times New Roman"/>
          <w:i/>
          <w:iCs/>
          <w:sz w:val="28"/>
          <w:szCs w:val="28"/>
          <w:highlight w:val="none"/>
          <w:lang w:val="en-US" w:eastAsia="zh-CN"/>
        </w:rPr>
        <w:t>CI</w:t>
      </w:r>
      <w:r>
        <w:rPr>
          <w:rFonts w:hint="eastAsia" w:ascii="Times New Roman" w:hAnsi="Times New Roman" w:cs="Times New Roman"/>
          <w:sz w:val="28"/>
          <w:szCs w:val="28"/>
          <w:highlight w:val="none"/>
          <w:lang w:val="en-US" w:eastAsia="zh-CN"/>
        </w:rPr>
        <w:t>：</w:t>
      </w:r>
      <w:r>
        <w:rPr>
          <w:rFonts w:ascii="Times New Roman" w:hAnsi="Times New Roman" w:eastAsia="宋体" w:cs="Times New Roman"/>
          <w:color w:val="000000"/>
          <w:kern w:val="0"/>
          <w:sz w:val="28"/>
          <w:szCs w:val="28"/>
          <w:lang w:bidi="ar"/>
        </w:rPr>
        <w:t>-5.55~-2.72</w:t>
      </w:r>
      <w:r>
        <w:rPr>
          <w:rFonts w:hint="eastAsia" w:ascii="Times New Roman" w:hAnsi="Times New Roman" w:cs="Times New Roman"/>
          <w:sz w:val="28"/>
          <w:szCs w:val="28"/>
          <w:highlight w:val="none"/>
          <w:lang w:val="en-US" w:eastAsia="zh-CN"/>
        </w:rPr>
        <w:t>，</w:t>
      </w:r>
      <w:r>
        <w:rPr>
          <w:rFonts w:ascii="Times New Roman" w:hAnsi="Times New Roman" w:cs="Times New Roman"/>
          <w:i/>
          <w:iCs/>
          <w:sz w:val="28"/>
          <w:szCs w:val="28"/>
          <w:highlight w:val="none"/>
        </w:rPr>
        <w:t>P</w:t>
      </w:r>
      <w:r>
        <w:rPr>
          <w:rFonts w:hint="eastAsia" w:ascii="Times New Roman" w:hAnsi="Times New Roman" w:cs="Times New Roman"/>
          <w:i/>
          <w:iCs/>
          <w:sz w:val="28"/>
          <w:szCs w:val="28"/>
          <w:highlight w:val="none"/>
        </w:rPr>
        <w:t>&lt;</w:t>
      </w:r>
      <w:r>
        <w:rPr>
          <w:rFonts w:ascii="Times New Roman" w:hAnsi="Times New Roman" w:cs="Times New Roman"/>
          <w:sz w:val="28"/>
          <w:szCs w:val="28"/>
          <w:highlight w:val="none"/>
        </w:rPr>
        <w:t xml:space="preserve">0.001）（Table </w:t>
      </w:r>
      <w:r>
        <w:rPr>
          <w:rFonts w:hint="eastAsia" w:ascii="Times New Roman" w:hAnsi="Times New Roman" w:cs="Times New Roman"/>
          <w:sz w:val="28"/>
          <w:szCs w:val="28"/>
          <w:highlight w:val="none"/>
          <w:lang w:val="en-US" w:eastAsia="zh-CN"/>
        </w:rPr>
        <w:t>9</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eastAsia="zh-CN"/>
        </w:rPr>
        <w:t>。</w:t>
      </w:r>
    </w:p>
    <w:p w14:paraId="001FAFFD">
      <w:pPr>
        <w:rPr>
          <w:rFonts w:ascii="Times New Roman" w:hAnsi="Times New Roman" w:eastAsia="宋体" w:cs="Times New Roman"/>
          <w:sz w:val="24"/>
          <w:highlight w:val="none"/>
        </w:rPr>
      </w:pPr>
    </w:p>
    <w:p w14:paraId="5AAF2E96">
      <w:pPr>
        <w:rPr>
          <w:rFonts w:ascii="Times New Roman" w:hAnsi="Times New Roman" w:eastAsia="宋体" w:cs="Times New Roman"/>
          <w:sz w:val="24"/>
          <w:highlight w:val="none"/>
        </w:rPr>
      </w:pPr>
      <w:r>
        <w:rPr>
          <w:rFonts w:ascii="Times New Roman" w:hAnsi="Times New Roman" w:eastAsia="宋体" w:cs="Times New Roman"/>
          <w:sz w:val="24"/>
          <w:highlight w:val="none"/>
        </w:rPr>
        <w:br w:type="page"/>
      </w:r>
    </w:p>
    <w:p w14:paraId="7818DFB1">
      <w:pPr>
        <w:spacing w:line="360" w:lineRule="auto"/>
        <w:jc w:val="center"/>
        <w:rPr>
          <w:rFonts w:ascii="Times New Roman" w:hAnsi="Times New Roman" w:eastAsia="宋体" w:cs="Times New Roman"/>
          <w:sz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0" w:num="1"/>
          <w:titlePg/>
          <w:rtlGutter w:val="0"/>
          <w:docGrid w:type="lines" w:linePitch="319" w:charSpace="0"/>
        </w:sectPr>
      </w:pPr>
    </w:p>
    <w:p w14:paraId="0D9B1ABF">
      <w:pPr>
        <w:spacing w:line="360" w:lineRule="auto"/>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Table </w:t>
      </w:r>
      <w:r>
        <w:rPr>
          <w:rFonts w:hint="eastAsia" w:ascii="Times New Roman" w:hAnsi="Times New Roman" w:eastAsia="宋体" w:cs="Times New Roman"/>
          <w:sz w:val="24"/>
          <w:highlight w:val="none"/>
          <w:lang w:val="en-US" w:eastAsia="zh-CN"/>
        </w:rPr>
        <w:t>8</w:t>
      </w:r>
      <w:r>
        <w:rPr>
          <w:rFonts w:ascii="Times New Roman" w:hAnsi="Times New Roman" w:eastAsia="宋体" w:cs="Times New Roman"/>
          <w:sz w:val="24"/>
          <w:highlight w:val="none"/>
        </w:rPr>
        <w:t xml:space="preserve"> Trends of cancer incidence by sex in Suining from 2018 to 2023</w:t>
      </w:r>
    </w:p>
    <w:tbl>
      <w:tblPr>
        <w:tblStyle w:val="7"/>
        <w:tblW w:w="15953"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30"/>
        <w:gridCol w:w="645"/>
        <w:gridCol w:w="660"/>
        <w:gridCol w:w="735"/>
        <w:gridCol w:w="1263"/>
        <w:gridCol w:w="732"/>
        <w:gridCol w:w="240"/>
        <w:gridCol w:w="1215"/>
        <w:gridCol w:w="645"/>
        <w:gridCol w:w="660"/>
        <w:gridCol w:w="678"/>
        <w:gridCol w:w="1230"/>
        <w:gridCol w:w="732"/>
        <w:gridCol w:w="240"/>
        <w:gridCol w:w="1170"/>
        <w:gridCol w:w="633"/>
        <w:gridCol w:w="675"/>
        <w:gridCol w:w="765"/>
        <w:gridCol w:w="1200"/>
        <w:gridCol w:w="705"/>
      </w:tblGrid>
      <w:tr w14:paraId="29F7AA6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165" w:type="dxa"/>
            <w:gridSpan w:val="6"/>
            <w:tcBorders>
              <w:bottom w:val="single" w:color="000000" w:sz="6" w:space="0"/>
              <w:tl2br w:val="nil"/>
              <w:tr2bl w:val="nil"/>
            </w:tcBorders>
            <w:noWrap/>
            <w:vAlign w:val="center"/>
          </w:tcPr>
          <w:p w14:paraId="125DC29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Both</w:t>
            </w:r>
          </w:p>
        </w:tc>
        <w:tc>
          <w:tcPr>
            <w:tcW w:w="240" w:type="dxa"/>
            <w:tcBorders>
              <w:tl2br w:val="nil"/>
              <w:tr2bl w:val="nil"/>
            </w:tcBorders>
            <w:noWrap/>
            <w:vAlign w:val="center"/>
          </w:tcPr>
          <w:p w14:paraId="31FFE7D7">
            <w:pPr>
              <w:rPr>
                <w:rFonts w:ascii="Times New Roman" w:hAnsi="Times New Roman" w:eastAsia="宋体" w:cs="Times New Roman"/>
                <w:color w:val="000000"/>
                <w:sz w:val="18"/>
                <w:szCs w:val="18"/>
                <w:highlight w:val="none"/>
              </w:rPr>
            </w:pPr>
          </w:p>
        </w:tc>
        <w:tc>
          <w:tcPr>
            <w:tcW w:w="5160" w:type="dxa"/>
            <w:gridSpan w:val="6"/>
            <w:tcBorders>
              <w:bottom w:val="single" w:color="000000" w:sz="6" w:space="0"/>
              <w:tl2br w:val="nil"/>
              <w:tr2bl w:val="nil"/>
            </w:tcBorders>
            <w:noWrap/>
            <w:vAlign w:val="center"/>
          </w:tcPr>
          <w:p w14:paraId="416DDEA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Male</w:t>
            </w:r>
          </w:p>
        </w:tc>
        <w:tc>
          <w:tcPr>
            <w:tcW w:w="240" w:type="dxa"/>
            <w:tcBorders>
              <w:tl2br w:val="nil"/>
              <w:tr2bl w:val="nil"/>
            </w:tcBorders>
            <w:noWrap/>
            <w:vAlign w:val="center"/>
          </w:tcPr>
          <w:p w14:paraId="2F0455D6">
            <w:pPr>
              <w:rPr>
                <w:rFonts w:ascii="Times New Roman" w:hAnsi="Times New Roman" w:eastAsia="宋体" w:cs="Times New Roman"/>
                <w:color w:val="000000"/>
                <w:sz w:val="18"/>
                <w:szCs w:val="18"/>
                <w:highlight w:val="none"/>
              </w:rPr>
            </w:pPr>
          </w:p>
        </w:tc>
        <w:tc>
          <w:tcPr>
            <w:tcW w:w="5148" w:type="dxa"/>
            <w:gridSpan w:val="6"/>
            <w:tcBorders>
              <w:bottom w:val="single" w:color="000000" w:sz="6" w:space="0"/>
              <w:tl2br w:val="nil"/>
              <w:tr2bl w:val="nil"/>
            </w:tcBorders>
            <w:noWrap/>
            <w:vAlign w:val="center"/>
          </w:tcPr>
          <w:p w14:paraId="545DB50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Female</w:t>
            </w:r>
          </w:p>
        </w:tc>
      </w:tr>
      <w:tr w14:paraId="7083ED5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130" w:type="dxa"/>
            <w:vMerge w:val="restart"/>
            <w:tcBorders>
              <w:top w:val="single" w:color="000000" w:sz="6" w:space="0"/>
              <w:tl2br w:val="nil"/>
              <w:tr2bl w:val="nil"/>
            </w:tcBorders>
            <w:noWrap/>
            <w:vAlign w:val="center"/>
          </w:tcPr>
          <w:p w14:paraId="1D514D3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Site</w:t>
            </w:r>
          </w:p>
        </w:tc>
        <w:tc>
          <w:tcPr>
            <w:tcW w:w="1305" w:type="dxa"/>
            <w:gridSpan w:val="2"/>
            <w:tcBorders>
              <w:top w:val="single" w:color="000000" w:sz="6" w:space="0"/>
              <w:bottom w:val="single" w:color="000000" w:sz="6" w:space="0"/>
              <w:tl2br w:val="nil"/>
              <w:tr2bl w:val="nil"/>
            </w:tcBorders>
            <w:noWrap/>
            <w:vAlign w:val="center"/>
          </w:tcPr>
          <w:p w14:paraId="530B42D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Crude rate（1/10</w:t>
            </w:r>
            <w:r>
              <w:rPr>
                <w:rFonts w:ascii="Times New Roman" w:hAnsi="Times New Roman" w:eastAsia="宋体" w:cs="Times New Roman"/>
                <w:color w:val="231F20"/>
                <w:kern w:val="0"/>
                <w:sz w:val="18"/>
                <w:szCs w:val="18"/>
                <w:highlight w:val="none"/>
                <w:vertAlign w:val="superscript"/>
                <w:lang w:bidi="ar"/>
              </w:rPr>
              <w:t>5</w:t>
            </w:r>
            <w:r>
              <w:rPr>
                <w:rFonts w:ascii="Times New Roman" w:hAnsi="Times New Roman" w:eastAsia="宋体" w:cs="Times New Roman"/>
                <w:color w:val="231F20"/>
                <w:kern w:val="0"/>
                <w:sz w:val="18"/>
                <w:szCs w:val="18"/>
                <w:highlight w:val="none"/>
                <w:lang w:bidi="ar"/>
              </w:rPr>
              <w:t>）</w:t>
            </w:r>
          </w:p>
        </w:tc>
        <w:tc>
          <w:tcPr>
            <w:tcW w:w="735" w:type="dxa"/>
            <w:vMerge w:val="restart"/>
            <w:tcBorders>
              <w:top w:val="single" w:color="000000" w:sz="6" w:space="0"/>
              <w:tl2br w:val="nil"/>
              <w:tr2bl w:val="nil"/>
            </w:tcBorders>
            <w:vAlign w:val="center"/>
          </w:tcPr>
          <w:p w14:paraId="72101D7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AAPC（%）</w:t>
            </w:r>
          </w:p>
        </w:tc>
        <w:tc>
          <w:tcPr>
            <w:tcW w:w="1263" w:type="dxa"/>
            <w:vMerge w:val="restart"/>
            <w:tcBorders>
              <w:top w:val="single" w:color="000000" w:sz="6" w:space="0"/>
              <w:tl2br w:val="nil"/>
              <w:tr2bl w:val="nil"/>
            </w:tcBorders>
            <w:vAlign w:val="center"/>
          </w:tcPr>
          <w:p w14:paraId="6F47B65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95%</w:t>
            </w:r>
            <w:r>
              <w:rPr>
                <w:rFonts w:ascii="Times New Roman" w:hAnsi="Times New Roman" w:eastAsia="宋体" w:cs="Times New Roman"/>
                <w:i/>
                <w:iCs/>
                <w:color w:val="231F20"/>
                <w:kern w:val="0"/>
                <w:sz w:val="18"/>
                <w:szCs w:val="18"/>
                <w:highlight w:val="none"/>
                <w:lang w:bidi="ar"/>
              </w:rPr>
              <w:t>CI</w:t>
            </w:r>
          </w:p>
        </w:tc>
        <w:tc>
          <w:tcPr>
            <w:tcW w:w="732" w:type="dxa"/>
            <w:vMerge w:val="restart"/>
            <w:tcBorders>
              <w:top w:val="single" w:color="000000" w:sz="6" w:space="0"/>
              <w:tl2br w:val="nil"/>
              <w:tr2bl w:val="nil"/>
            </w:tcBorders>
            <w:vAlign w:val="center"/>
          </w:tcPr>
          <w:p w14:paraId="2D2A624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i/>
                <w:iCs/>
                <w:color w:val="231F20"/>
                <w:kern w:val="0"/>
                <w:sz w:val="18"/>
                <w:szCs w:val="18"/>
                <w:highlight w:val="none"/>
                <w:lang w:bidi="ar"/>
              </w:rPr>
              <w:t>P</w:t>
            </w:r>
          </w:p>
        </w:tc>
        <w:tc>
          <w:tcPr>
            <w:tcW w:w="240" w:type="dxa"/>
            <w:tcBorders>
              <w:tl2br w:val="nil"/>
              <w:tr2bl w:val="nil"/>
            </w:tcBorders>
            <w:noWrap/>
            <w:vAlign w:val="center"/>
          </w:tcPr>
          <w:p w14:paraId="4E09D6D9">
            <w:pPr>
              <w:jc w:val="center"/>
              <w:rPr>
                <w:rFonts w:ascii="Times New Roman" w:hAnsi="Times New Roman" w:eastAsia="宋体" w:cs="Times New Roman"/>
                <w:color w:val="000000"/>
                <w:sz w:val="18"/>
                <w:szCs w:val="18"/>
                <w:highlight w:val="none"/>
              </w:rPr>
            </w:pPr>
          </w:p>
        </w:tc>
        <w:tc>
          <w:tcPr>
            <w:tcW w:w="1215" w:type="dxa"/>
            <w:vMerge w:val="restart"/>
            <w:tcBorders>
              <w:top w:val="single" w:color="000000" w:sz="6" w:space="0"/>
              <w:tl2br w:val="nil"/>
              <w:tr2bl w:val="nil"/>
            </w:tcBorders>
            <w:noWrap/>
            <w:vAlign w:val="center"/>
          </w:tcPr>
          <w:p w14:paraId="6A84297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Site</w:t>
            </w:r>
          </w:p>
        </w:tc>
        <w:tc>
          <w:tcPr>
            <w:tcW w:w="1305" w:type="dxa"/>
            <w:gridSpan w:val="2"/>
            <w:tcBorders>
              <w:top w:val="single" w:color="000000" w:sz="6" w:space="0"/>
              <w:bottom w:val="single" w:color="000000" w:sz="6" w:space="0"/>
              <w:tl2br w:val="nil"/>
              <w:tr2bl w:val="nil"/>
            </w:tcBorders>
            <w:noWrap/>
            <w:vAlign w:val="center"/>
          </w:tcPr>
          <w:p w14:paraId="6B384E0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Crude rate（1/10</w:t>
            </w:r>
            <w:r>
              <w:rPr>
                <w:rFonts w:ascii="Times New Roman" w:hAnsi="Times New Roman" w:eastAsia="宋体" w:cs="Times New Roman"/>
                <w:color w:val="231F20"/>
                <w:kern w:val="0"/>
                <w:sz w:val="18"/>
                <w:szCs w:val="18"/>
                <w:highlight w:val="none"/>
                <w:vertAlign w:val="superscript"/>
                <w:lang w:bidi="ar"/>
              </w:rPr>
              <w:t>5</w:t>
            </w:r>
            <w:r>
              <w:rPr>
                <w:rFonts w:ascii="Times New Roman" w:hAnsi="Times New Roman" w:eastAsia="宋体" w:cs="Times New Roman"/>
                <w:color w:val="231F20"/>
                <w:kern w:val="0"/>
                <w:sz w:val="18"/>
                <w:szCs w:val="18"/>
                <w:highlight w:val="none"/>
                <w:lang w:bidi="ar"/>
              </w:rPr>
              <w:t>）</w:t>
            </w:r>
          </w:p>
        </w:tc>
        <w:tc>
          <w:tcPr>
            <w:tcW w:w="678" w:type="dxa"/>
            <w:vMerge w:val="restart"/>
            <w:tcBorders>
              <w:top w:val="single" w:color="000000" w:sz="6" w:space="0"/>
              <w:tl2br w:val="nil"/>
              <w:tr2bl w:val="nil"/>
            </w:tcBorders>
            <w:vAlign w:val="center"/>
          </w:tcPr>
          <w:p w14:paraId="6A16C73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AAPC（%）</w:t>
            </w:r>
          </w:p>
        </w:tc>
        <w:tc>
          <w:tcPr>
            <w:tcW w:w="1230" w:type="dxa"/>
            <w:vMerge w:val="restart"/>
            <w:tcBorders>
              <w:top w:val="single" w:color="000000" w:sz="6" w:space="0"/>
              <w:tl2br w:val="nil"/>
              <w:tr2bl w:val="nil"/>
            </w:tcBorders>
            <w:vAlign w:val="center"/>
          </w:tcPr>
          <w:p w14:paraId="06E5BDA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95%</w:t>
            </w:r>
            <w:r>
              <w:rPr>
                <w:rFonts w:ascii="Times New Roman" w:hAnsi="Times New Roman" w:eastAsia="宋体" w:cs="Times New Roman"/>
                <w:i/>
                <w:iCs/>
                <w:color w:val="231F20"/>
                <w:kern w:val="0"/>
                <w:sz w:val="18"/>
                <w:szCs w:val="18"/>
                <w:highlight w:val="none"/>
                <w:lang w:bidi="ar"/>
              </w:rPr>
              <w:t>CI</w:t>
            </w:r>
          </w:p>
        </w:tc>
        <w:tc>
          <w:tcPr>
            <w:tcW w:w="732" w:type="dxa"/>
            <w:vMerge w:val="restart"/>
            <w:tcBorders>
              <w:top w:val="single" w:color="000000" w:sz="6" w:space="0"/>
              <w:tl2br w:val="nil"/>
              <w:tr2bl w:val="nil"/>
            </w:tcBorders>
            <w:vAlign w:val="center"/>
          </w:tcPr>
          <w:p w14:paraId="36A8C73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i/>
                <w:iCs/>
                <w:color w:val="231F20"/>
                <w:kern w:val="0"/>
                <w:sz w:val="18"/>
                <w:szCs w:val="18"/>
                <w:highlight w:val="none"/>
                <w:lang w:bidi="ar"/>
              </w:rPr>
              <w:t>P</w:t>
            </w:r>
          </w:p>
        </w:tc>
        <w:tc>
          <w:tcPr>
            <w:tcW w:w="240" w:type="dxa"/>
            <w:tcBorders>
              <w:tl2br w:val="nil"/>
              <w:tr2bl w:val="nil"/>
            </w:tcBorders>
            <w:noWrap/>
            <w:vAlign w:val="center"/>
          </w:tcPr>
          <w:p w14:paraId="03EF813F">
            <w:pPr>
              <w:jc w:val="center"/>
              <w:rPr>
                <w:rFonts w:ascii="Times New Roman" w:hAnsi="Times New Roman" w:eastAsia="宋体" w:cs="Times New Roman"/>
                <w:color w:val="000000"/>
                <w:sz w:val="18"/>
                <w:szCs w:val="18"/>
                <w:highlight w:val="none"/>
              </w:rPr>
            </w:pPr>
          </w:p>
        </w:tc>
        <w:tc>
          <w:tcPr>
            <w:tcW w:w="1170" w:type="dxa"/>
            <w:vMerge w:val="restart"/>
            <w:tcBorders>
              <w:top w:val="single" w:color="000000" w:sz="6" w:space="0"/>
              <w:tl2br w:val="nil"/>
              <w:tr2bl w:val="nil"/>
            </w:tcBorders>
            <w:noWrap/>
            <w:vAlign w:val="center"/>
          </w:tcPr>
          <w:p w14:paraId="163DEF7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Site</w:t>
            </w:r>
          </w:p>
        </w:tc>
        <w:tc>
          <w:tcPr>
            <w:tcW w:w="1308" w:type="dxa"/>
            <w:gridSpan w:val="2"/>
            <w:tcBorders>
              <w:top w:val="single" w:color="000000" w:sz="6" w:space="0"/>
              <w:bottom w:val="single" w:color="000000" w:sz="6" w:space="0"/>
              <w:tl2br w:val="nil"/>
              <w:tr2bl w:val="nil"/>
            </w:tcBorders>
            <w:noWrap/>
            <w:vAlign w:val="center"/>
          </w:tcPr>
          <w:p w14:paraId="61181D5D">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Crude rate（1/10</w:t>
            </w:r>
            <w:r>
              <w:rPr>
                <w:rFonts w:ascii="Times New Roman" w:hAnsi="Times New Roman" w:eastAsia="宋体" w:cs="Times New Roman"/>
                <w:color w:val="231F20"/>
                <w:kern w:val="0"/>
                <w:sz w:val="18"/>
                <w:szCs w:val="18"/>
                <w:highlight w:val="none"/>
                <w:vertAlign w:val="superscript"/>
                <w:lang w:bidi="ar"/>
              </w:rPr>
              <w:t>5</w:t>
            </w:r>
            <w:r>
              <w:rPr>
                <w:rFonts w:ascii="Times New Roman" w:hAnsi="Times New Roman" w:eastAsia="宋体" w:cs="Times New Roman"/>
                <w:color w:val="231F20"/>
                <w:kern w:val="0"/>
                <w:sz w:val="18"/>
                <w:szCs w:val="18"/>
                <w:highlight w:val="none"/>
                <w:lang w:bidi="ar"/>
              </w:rPr>
              <w:t>）</w:t>
            </w:r>
          </w:p>
        </w:tc>
        <w:tc>
          <w:tcPr>
            <w:tcW w:w="765" w:type="dxa"/>
            <w:vMerge w:val="restart"/>
            <w:tcBorders>
              <w:top w:val="single" w:color="000000" w:sz="6" w:space="0"/>
              <w:tl2br w:val="nil"/>
              <w:tr2bl w:val="nil"/>
            </w:tcBorders>
            <w:vAlign w:val="center"/>
          </w:tcPr>
          <w:p w14:paraId="752B6C0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AAPC（%）</w:t>
            </w:r>
          </w:p>
        </w:tc>
        <w:tc>
          <w:tcPr>
            <w:tcW w:w="1200" w:type="dxa"/>
            <w:vMerge w:val="restart"/>
            <w:tcBorders>
              <w:top w:val="single" w:color="000000" w:sz="6" w:space="0"/>
              <w:tl2br w:val="nil"/>
              <w:tr2bl w:val="nil"/>
            </w:tcBorders>
            <w:vAlign w:val="center"/>
          </w:tcPr>
          <w:p w14:paraId="1DDC09F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95%</w:t>
            </w:r>
            <w:r>
              <w:rPr>
                <w:rFonts w:ascii="Times New Roman" w:hAnsi="Times New Roman" w:eastAsia="宋体" w:cs="Times New Roman"/>
                <w:i/>
                <w:iCs/>
                <w:color w:val="231F20"/>
                <w:kern w:val="0"/>
                <w:sz w:val="18"/>
                <w:szCs w:val="18"/>
                <w:highlight w:val="none"/>
                <w:lang w:bidi="ar"/>
              </w:rPr>
              <w:t>CI</w:t>
            </w:r>
          </w:p>
        </w:tc>
        <w:tc>
          <w:tcPr>
            <w:tcW w:w="705" w:type="dxa"/>
            <w:vMerge w:val="restart"/>
            <w:tcBorders>
              <w:top w:val="single" w:color="000000" w:sz="6" w:space="0"/>
              <w:tl2br w:val="nil"/>
              <w:tr2bl w:val="nil"/>
            </w:tcBorders>
            <w:vAlign w:val="center"/>
          </w:tcPr>
          <w:p w14:paraId="1D76C58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i/>
                <w:iCs/>
                <w:color w:val="231F20"/>
                <w:kern w:val="0"/>
                <w:sz w:val="18"/>
                <w:szCs w:val="18"/>
                <w:highlight w:val="none"/>
                <w:lang w:bidi="ar"/>
              </w:rPr>
              <w:t>P</w:t>
            </w:r>
          </w:p>
        </w:tc>
      </w:tr>
      <w:tr w14:paraId="1A680F4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130" w:type="dxa"/>
            <w:vMerge w:val="continue"/>
            <w:tcBorders>
              <w:bottom w:val="single" w:color="auto" w:sz="6" w:space="0"/>
              <w:tl2br w:val="nil"/>
              <w:tr2bl w:val="nil"/>
            </w:tcBorders>
            <w:noWrap/>
            <w:vAlign w:val="center"/>
          </w:tcPr>
          <w:p w14:paraId="1034BF4E">
            <w:pPr>
              <w:jc w:val="center"/>
              <w:rPr>
                <w:rFonts w:ascii="Times New Roman" w:hAnsi="Times New Roman" w:eastAsia="宋体" w:cs="Times New Roman"/>
                <w:color w:val="231F20"/>
                <w:sz w:val="18"/>
                <w:szCs w:val="18"/>
                <w:highlight w:val="none"/>
              </w:rPr>
            </w:pPr>
          </w:p>
        </w:tc>
        <w:tc>
          <w:tcPr>
            <w:tcW w:w="645" w:type="dxa"/>
            <w:tcBorders>
              <w:top w:val="single" w:color="000000" w:sz="6" w:space="0"/>
              <w:bottom w:val="single" w:color="auto" w:sz="6" w:space="0"/>
              <w:tl2br w:val="nil"/>
              <w:tr2bl w:val="nil"/>
            </w:tcBorders>
            <w:noWrap/>
            <w:vAlign w:val="center"/>
          </w:tcPr>
          <w:p w14:paraId="529BDCB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2018</w:t>
            </w:r>
          </w:p>
        </w:tc>
        <w:tc>
          <w:tcPr>
            <w:tcW w:w="660" w:type="dxa"/>
            <w:tcBorders>
              <w:top w:val="single" w:color="000000" w:sz="6" w:space="0"/>
              <w:bottom w:val="single" w:color="auto" w:sz="6" w:space="0"/>
              <w:tl2br w:val="nil"/>
              <w:tr2bl w:val="nil"/>
            </w:tcBorders>
            <w:noWrap/>
            <w:vAlign w:val="center"/>
          </w:tcPr>
          <w:p w14:paraId="406E457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2023</w:t>
            </w:r>
          </w:p>
        </w:tc>
        <w:tc>
          <w:tcPr>
            <w:tcW w:w="735" w:type="dxa"/>
            <w:vMerge w:val="continue"/>
            <w:tcBorders>
              <w:bottom w:val="single" w:color="auto" w:sz="6" w:space="0"/>
              <w:tl2br w:val="nil"/>
              <w:tr2bl w:val="nil"/>
            </w:tcBorders>
            <w:vAlign w:val="center"/>
          </w:tcPr>
          <w:p w14:paraId="616BFE42">
            <w:pPr>
              <w:jc w:val="center"/>
              <w:rPr>
                <w:rFonts w:ascii="Times New Roman" w:hAnsi="Times New Roman" w:eastAsia="宋体" w:cs="Times New Roman"/>
                <w:color w:val="231F20"/>
                <w:sz w:val="18"/>
                <w:szCs w:val="18"/>
                <w:highlight w:val="none"/>
              </w:rPr>
            </w:pPr>
          </w:p>
        </w:tc>
        <w:tc>
          <w:tcPr>
            <w:tcW w:w="1263" w:type="dxa"/>
            <w:vMerge w:val="continue"/>
            <w:tcBorders>
              <w:bottom w:val="single" w:color="auto" w:sz="6" w:space="0"/>
              <w:tl2br w:val="nil"/>
              <w:tr2bl w:val="nil"/>
            </w:tcBorders>
            <w:vAlign w:val="center"/>
          </w:tcPr>
          <w:p w14:paraId="070618E0">
            <w:pPr>
              <w:jc w:val="center"/>
              <w:rPr>
                <w:rFonts w:ascii="Times New Roman" w:hAnsi="Times New Roman" w:eastAsia="宋体" w:cs="Times New Roman"/>
                <w:color w:val="231F20"/>
                <w:sz w:val="18"/>
                <w:szCs w:val="18"/>
                <w:highlight w:val="none"/>
              </w:rPr>
            </w:pPr>
          </w:p>
        </w:tc>
        <w:tc>
          <w:tcPr>
            <w:tcW w:w="732" w:type="dxa"/>
            <w:vMerge w:val="continue"/>
            <w:tcBorders>
              <w:bottom w:val="single" w:color="auto" w:sz="6" w:space="0"/>
              <w:tl2br w:val="nil"/>
              <w:tr2bl w:val="nil"/>
            </w:tcBorders>
            <w:vAlign w:val="center"/>
          </w:tcPr>
          <w:p w14:paraId="0FF4F643">
            <w:pPr>
              <w:jc w:val="center"/>
              <w:rPr>
                <w:rFonts w:ascii="Times New Roman" w:hAnsi="Times New Roman" w:eastAsia="宋体" w:cs="Times New Roman"/>
                <w:color w:val="231F20"/>
                <w:sz w:val="18"/>
                <w:szCs w:val="18"/>
                <w:highlight w:val="none"/>
              </w:rPr>
            </w:pPr>
          </w:p>
        </w:tc>
        <w:tc>
          <w:tcPr>
            <w:tcW w:w="240" w:type="dxa"/>
            <w:tcBorders>
              <w:bottom w:val="single" w:color="auto" w:sz="6" w:space="0"/>
              <w:tl2br w:val="nil"/>
              <w:tr2bl w:val="nil"/>
            </w:tcBorders>
            <w:noWrap/>
            <w:vAlign w:val="center"/>
          </w:tcPr>
          <w:p w14:paraId="4398143F">
            <w:pPr>
              <w:jc w:val="center"/>
              <w:rPr>
                <w:rFonts w:ascii="Times New Roman" w:hAnsi="Times New Roman" w:eastAsia="宋体" w:cs="Times New Roman"/>
                <w:color w:val="000000"/>
                <w:sz w:val="18"/>
                <w:szCs w:val="18"/>
                <w:highlight w:val="none"/>
              </w:rPr>
            </w:pPr>
          </w:p>
        </w:tc>
        <w:tc>
          <w:tcPr>
            <w:tcW w:w="1215" w:type="dxa"/>
            <w:vMerge w:val="continue"/>
            <w:tcBorders>
              <w:bottom w:val="single" w:color="auto" w:sz="6" w:space="0"/>
              <w:tl2br w:val="nil"/>
              <w:tr2bl w:val="nil"/>
            </w:tcBorders>
            <w:noWrap/>
            <w:vAlign w:val="center"/>
          </w:tcPr>
          <w:p w14:paraId="3C4D9FA9">
            <w:pPr>
              <w:jc w:val="center"/>
              <w:rPr>
                <w:rFonts w:ascii="Times New Roman" w:hAnsi="Times New Roman" w:eastAsia="宋体" w:cs="Times New Roman"/>
                <w:color w:val="231F20"/>
                <w:sz w:val="18"/>
                <w:szCs w:val="18"/>
                <w:highlight w:val="none"/>
              </w:rPr>
            </w:pPr>
          </w:p>
        </w:tc>
        <w:tc>
          <w:tcPr>
            <w:tcW w:w="645" w:type="dxa"/>
            <w:tcBorders>
              <w:top w:val="single" w:color="000000" w:sz="6" w:space="0"/>
              <w:bottom w:val="single" w:color="auto" w:sz="6" w:space="0"/>
              <w:tl2br w:val="nil"/>
              <w:tr2bl w:val="nil"/>
            </w:tcBorders>
            <w:noWrap/>
            <w:vAlign w:val="center"/>
          </w:tcPr>
          <w:p w14:paraId="08F2EA0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2018</w:t>
            </w:r>
          </w:p>
        </w:tc>
        <w:tc>
          <w:tcPr>
            <w:tcW w:w="660" w:type="dxa"/>
            <w:tcBorders>
              <w:top w:val="single" w:color="000000" w:sz="6" w:space="0"/>
              <w:bottom w:val="single" w:color="auto" w:sz="6" w:space="0"/>
              <w:tl2br w:val="nil"/>
              <w:tr2bl w:val="nil"/>
            </w:tcBorders>
            <w:noWrap/>
            <w:vAlign w:val="center"/>
          </w:tcPr>
          <w:p w14:paraId="6A086A3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2023</w:t>
            </w:r>
          </w:p>
        </w:tc>
        <w:tc>
          <w:tcPr>
            <w:tcW w:w="678" w:type="dxa"/>
            <w:vMerge w:val="continue"/>
            <w:tcBorders>
              <w:bottom w:val="single" w:color="auto" w:sz="6" w:space="0"/>
              <w:tl2br w:val="nil"/>
              <w:tr2bl w:val="nil"/>
            </w:tcBorders>
            <w:vAlign w:val="center"/>
          </w:tcPr>
          <w:p w14:paraId="5FDF230E">
            <w:pPr>
              <w:jc w:val="center"/>
              <w:rPr>
                <w:rFonts w:ascii="Times New Roman" w:hAnsi="Times New Roman" w:eastAsia="宋体" w:cs="Times New Roman"/>
                <w:color w:val="231F20"/>
                <w:sz w:val="18"/>
                <w:szCs w:val="18"/>
                <w:highlight w:val="none"/>
              </w:rPr>
            </w:pPr>
          </w:p>
        </w:tc>
        <w:tc>
          <w:tcPr>
            <w:tcW w:w="1230" w:type="dxa"/>
            <w:vMerge w:val="continue"/>
            <w:tcBorders>
              <w:bottom w:val="single" w:color="auto" w:sz="6" w:space="0"/>
              <w:tl2br w:val="nil"/>
              <w:tr2bl w:val="nil"/>
            </w:tcBorders>
            <w:vAlign w:val="center"/>
          </w:tcPr>
          <w:p w14:paraId="0E50CBF2">
            <w:pPr>
              <w:jc w:val="center"/>
              <w:rPr>
                <w:rFonts w:ascii="Times New Roman" w:hAnsi="Times New Roman" w:eastAsia="宋体" w:cs="Times New Roman"/>
                <w:color w:val="231F20"/>
                <w:sz w:val="18"/>
                <w:szCs w:val="18"/>
                <w:highlight w:val="none"/>
              </w:rPr>
            </w:pPr>
          </w:p>
        </w:tc>
        <w:tc>
          <w:tcPr>
            <w:tcW w:w="732" w:type="dxa"/>
            <w:vMerge w:val="continue"/>
            <w:tcBorders>
              <w:bottom w:val="single" w:color="auto" w:sz="6" w:space="0"/>
              <w:tl2br w:val="nil"/>
              <w:tr2bl w:val="nil"/>
            </w:tcBorders>
            <w:vAlign w:val="center"/>
          </w:tcPr>
          <w:p w14:paraId="4CACC00E">
            <w:pPr>
              <w:jc w:val="center"/>
              <w:rPr>
                <w:rFonts w:ascii="Times New Roman" w:hAnsi="Times New Roman" w:eastAsia="宋体" w:cs="Times New Roman"/>
                <w:color w:val="231F20"/>
                <w:sz w:val="18"/>
                <w:szCs w:val="18"/>
                <w:highlight w:val="none"/>
              </w:rPr>
            </w:pPr>
          </w:p>
        </w:tc>
        <w:tc>
          <w:tcPr>
            <w:tcW w:w="240" w:type="dxa"/>
            <w:tcBorders>
              <w:bottom w:val="single" w:color="auto" w:sz="6" w:space="0"/>
              <w:tl2br w:val="nil"/>
              <w:tr2bl w:val="nil"/>
            </w:tcBorders>
            <w:noWrap/>
            <w:vAlign w:val="center"/>
          </w:tcPr>
          <w:p w14:paraId="1A50BB52">
            <w:pPr>
              <w:jc w:val="center"/>
              <w:rPr>
                <w:rFonts w:ascii="Times New Roman" w:hAnsi="Times New Roman" w:eastAsia="宋体" w:cs="Times New Roman"/>
                <w:color w:val="000000"/>
                <w:sz w:val="18"/>
                <w:szCs w:val="18"/>
                <w:highlight w:val="none"/>
              </w:rPr>
            </w:pPr>
          </w:p>
        </w:tc>
        <w:tc>
          <w:tcPr>
            <w:tcW w:w="1170" w:type="dxa"/>
            <w:vMerge w:val="continue"/>
            <w:tcBorders>
              <w:bottom w:val="single" w:color="auto" w:sz="6" w:space="0"/>
              <w:tl2br w:val="nil"/>
              <w:tr2bl w:val="nil"/>
            </w:tcBorders>
            <w:noWrap/>
            <w:vAlign w:val="center"/>
          </w:tcPr>
          <w:p w14:paraId="262EF149">
            <w:pPr>
              <w:jc w:val="center"/>
              <w:rPr>
                <w:rFonts w:ascii="Times New Roman" w:hAnsi="Times New Roman" w:eastAsia="宋体" w:cs="Times New Roman"/>
                <w:color w:val="231F20"/>
                <w:sz w:val="18"/>
                <w:szCs w:val="18"/>
                <w:highlight w:val="none"/>
              </w:rPr>
            </w:pPr>
          </w:p>
        </w:tc>
        <w:tc>
          <w:tcPr>
            <w:tcW w:w="633" w:type="dxa"/>
            <w:tcBorders>
              <w:top w:val="single" w:color="000000" w:sz="6" w:space="0"/>
              <w:bottom w:val="single" w:color="auto" w:sz="6" w:space="0"/>
              <w:tl2br w:val="nil"/>
              <w:tr2bl w:val="nil"/>
            </w:tcBorders>
            <w:noWrap/>
            <w:vAlign w:val="center"/>
          </w:tcPr>
          <w:p w14:paraId="71EB55B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2018</w:t>
            </w:r>
          </w:p>
        </w:tc>
        <w:tc>
          <w:tcPr>
            <w:tcW w:w="675" w:type="dxa"/>
            <w:tcBorders>
              <w:top w:val="single" w:color="000000" w:sz="6" w:space="0"/>
              <w:bottom w:val="single" w:color="auto" w:sz="6" w:space="0"/>
              <w:tl2br w:val="nil"/>
              <w:tr2bl w:val="nil"/>
            </w:tcBorders>
            <w:noWrap/>
            <w:vAlign w:val="center"/>
          </w:tcPr>
          <w:p w14:paraId="6C43F8F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2023</w:t>
            </w:r>
          </w:p>
        </w:tc>
        <w:tc>
          <w:tcPr>
            <w:tcW w:w="765" w:type="dxa"/>
            <w:vMerge w:val="continue"/>
            <w:tcBorders>
              <w:bottom w:val="single" w:color="auto" w:sz="6" w:space="0"/>
              <w:tl2br w:val="nil"/>
              <w:tr2bl w:val="nil"/>
            </w:tcBorders>
            <w:vAlign w:val="center"/>
          </w:tcPr>
          <w:p w14:paraId="06B1F684">
            <w:pPr>
              <w:jc w:val="center"/>
              <w:rPr>
                <w:rFonts w:ascii="Times New Roman" w:hAnsi="Times New Roman" w:eastAsia="宋体" w:cs="Times New Roman"/>
                <w:color w:val="231F20"/>
                <w:sz w:val="18"/>
                <w:szCs w:val="18"/>
                <w:highlight w:val="none"/>
              </w:rPr>
            </w:pPr>
          </w:p>
        </w:tc>
        <w:tc>
          <w:tcPr>
            <w:tcW w:w="1200" w:type="dxa"/>
            <w:vMerge w:val="continue"/>
            <w:tcBorders>
              <w:bottom w:val="single" w:color="auto" w:sz="6" w:space="0"/>
              <w:tl2br w:val="nil"/>
              <w:tr2bl w:val="nil"/>
            </w:tcBorders>
            <w:vAlign w:val="center"/>
          </w:tcPr>
          <w:p w14:paraId="744AEC02">
            <w:pPr>
              <w:jc w:val="center"/>
              <w:rPr>
                <w:rFonts w:ascii="Times New Roman" w:hAnsi="Times New Roman" w:eastAsia="宋体" w:cs="Times New Roman"/>
                <w:color w:val="231F20"/>
                <w:sz w:val="18"/>
                <w:szCs w:val="18"/>
                <w:highlight w:val="none"/>
              </w:rPr>
            </w:pPr>
          </w:p>
        </w:tc>
        <w:tc>
          <w:tcPr>
            <w:tcW w:w="705" w:type="dxa"/>
            <w:vMerge w:val="continue"/>
            <w:tcBorders>
              <w:bottom w:val="single" w:color="auto" w:sz="6" w:space="0"/>
              <w:tl2br w:val="nil"/>
              <w:tr2bl w:val="nil"/>
            </w:tcBorders>
            <w:vAlign w:val="center"/>
          </w:tcPr>
          <w:p w14:paraId="794D028F">
            <w:pPr>
              <w:jc w:val="center"/>
              <w:rPr>
                <w:rFonts w:ascii="Times New Roman" w:hAnsi="Times New Roman" w:eastAsia="宋体" w:cs="Times New Roman"/>
                <w:color w:val="231F20"/>
                <w:sz w:val="18"/>
                <w:szCs w:val="18"/>
                <w:highlight w:val="none"/>
              </w:rPr>
            </w:pPr>
          </w:p>
        </w:tc>
      </w:tr>
      <w:tr w14:paraId="7E36E45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130" w:type="dxa"/>
            <w:tcBorders>
              <w:top w:val="single" w:color="auto" w:sz="6" w:space="0"/>
            </w:tcBorders>
            <w:noWrap/>
            <w:vAlign w:val="center"/>
          </w:tcPr>
          <w:p w14:paraId="251EDCD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Lung</w:t>
            </w:r>
          </w:p>
        </w:tc>
        <w:tc>
          <w:tcPr>
            <w:tcW w:w="645" w:type="dxa"/>
            <w:tcBorders>
              <w:top w:val="single" w:color="auto" w:sz="6" w:space="0"/>
            </w:tcBorders>
            <w:noWrap/>
            <w:vAlign w:val="center"/>
          </w:tcPr>
          <w:p w14:paraId="2C0B6AA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60.41 </w:t>
            </w:r>
          </w:p>
        </w:tc>
        <w:tc>
          <w:tcPr>
            <w:tcW w:w="660" w:type="dxa"/>
            <w:tcBorders>
              <w:top w:val="single" w:color="auto" w:sz="6" w:space="0"/>
            </w:tcBorders>
            <w:noWrap/>
            <w:vAlign w:val="center"/>
          </w:tcPr>
          <w:p w14:paraId="4D07E2E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72.35 </w:t>
            </w:r>
          </w:p>
        </w:tc>
        <w:tc>
          <w:tcPr>
            <w:tcW w:w="735" w:type="dxa"/>
            <w:tcBorders>
              <w:top w:val="single" w:color="auto" w:sz="6" w:space="0"/>
            </w:tcBorders>
            <w:noWrap/>
            <w:vAlign w:val="center"/>
          </w:tcPr>
          <w:p w14:paraId="4299C93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3.74 </w:t>
            </w:r>
          </w:p>
        </w:tc>
        <w:tc>
          <w:tcPr>
            <w:tcW w:w="1263" w:type="dxa"/>
            <w:tcBorders>
              <w:top w:val="single" w:color="auto" w:sz="6" w:space="0"/>
            </w:tcBorders>
            <w:noWrap/>
            <w:vAlign w:val="center"/>
          </w:tcPr>
          <w:p w14:paraId="20C9D78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-2.44~10.61</w:t>
            </w:r>
          </w:p>
        </w:tc>
        <w:tc>
          <w:tcPr>
            <w:tcW w:w="732" w:type="dxa"/>
            <w:tcBorders>
              <w:top w:val="single" w:color="auto" w:sz="6" w:space="0"/>
            </w:tcBorders>
            <w:noWrap/>
            <w:vAlign w:val="center"/>
          </w:tcPr>
          <w:p w14:paraId="7A5EB3AD">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0.220 </w:t>
            </w:r>
          </w:p>
        </w:tc>
        <w:tc>
          <w:tcPr>
            <w:tcW w:w="240" w:type="dxa"/>
            <w:tcBorders>
              <w:top w:val="single" w:color="auto" w:sz="6" w:space="0"/>
            </w:tcBorders>
            <w:noWrap/>
            <w:vAlign w:val="center"/>
          </w:tcPr>
          <w:p w14:paraId="1E1FFF4B">
            <w:pPr>
              <w:jc w:val="center"/>
              <w:rPr>
                <w:rFonts w:ascii="Times New Roman" w:hAnsi="Times New Roman" w:eastAsia="宋体" w:cs="Times New Roman"/>
                <w:color w:val="000000"/>
                <w:sz w:val="18"/>
                <w:szCs w:val="18"/>
                <w:highlight w:val="none"/>
              </w:rPr>
            </w:pPr>
          </w:p>
        </w:tc>
        <w:tc>
          <w:tcPr>
            <w:tcW w:w="1215" w:type="dxa"/>
            <w:tcBorders>
              <w:top w:val="single" w:color="auto" w:sz="6" w:space="0"/>
            </w:tcBorders>
            <w:noWrap/>
            <w:vAlign w:val="center"/>
          </w:tcPr>
          <w:p w14:paraId="4C91951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Lung</w:t>
            </w:r>
          </w:p>
        </w:tc>
        <w:tc>
          <w:tcPr>
            <w:tcW w:w="645" w:type="dxa"/>
            <w:tcBorders>
              <w:top w:val="single" w:color="auto" w:sz="6" w:space="0"/>
            </w:tcBorders>
            <w:noWrap/>
            <w:vAlign w:val="center"/>
          </w:tcPr>
          <w:p w14:paraId="0810AF8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81.37 </w:t>
            </w:r>
          </w:p>
        </w:tc>
        <w:tc>
          <w:tcPr>
            <w:tcW w:w="660" w:type="dxa"/>
            <w:tcBorders>
              <w:top w:val="single" w:color="auto" w:sz="6" w:space="0"/>
            </w:tcBorders>
            <w:noWrap/>
            <w:vAlign w:val="center"/>
          </w:tcPr>
          <w:p w14:paraId="032B902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93.46 </w:t>
            </w:r>
          </w:p>
        </w:tc>
        <w:tc>
          <w:tcPr>
            <w:tcW w:w="678" w:type="dxa"/>
            <w:tcBorders>
              <w:top w:val="single" w:color="auto" w:sz="6" w:space="0"/>
            </w:tcBorders>
            <w:noWrap/>
            <w:vAlign w:val="center"/>
          </w:tcPr>
          <w:p w14:paraId="394649DD">
            <w:pPr>
              <w:widowControl/>
              <w:jc w:val="center"/>
              <w:textAlignment w:val="center"/>
              <w:rPr>
                <w:rFonts w:ascii="Times New Roman" w:hAnsi="Times New Roman" w:eastAsia="宋体" w:cs="Times New Roman"/>
                <w:color w:val="000000"/>
                <w:sz w:val="18"/>
                <w:szCs w:val="18"/>
                <w:highlight w:val="none"/>
              </w:rPr>
            </w:pPr>
            <w:r>
              <w:rPr>
                <w:rFonts w:ascii="Times New Roman" w:hAnsi="Times New Roman" w:eastAsia="宋体" w:cs="Times New Roman"/>
                <w:color w:val="000000"/>
                <w:kern w:val="0"/>
                <w:sz w:val="18"/>
                <w:szCs w:val="18"/>
                <w:highlight w:val="none"/>
                <w:lang w:bidi="ar"/>
              </w:rPr>
              <w:t xml:space="preserve">2.81 </w:t>
            </w:r>
          </w:p>
        </w:tc>
        <w:tc>
          <w:tcPr>
            <w:tcW w:w="1230" w:type="dxa"/>
            <w:tcBorders>
              <w:top w:val="single" w:color="auto" w:sz="6" w:space="0"/>
            </w:tcBorders>
            <w:noWrap/>
            <w:vAlign w:val="center"/>
          </w:tcPr>
          <w:p w14:paraId="588C7C6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-3.13~9.2</w:t>
            </w:r>
            <w:r>
              <w:rPr>
                <w:rFonts w:hint="eastAsia" w:ascii="Times New Roman" w:hAnsi="Times New Roman" w:eastAsia="宋体" w:cs="Times New Roman"/>
                <w:color w:val="231F20"/>
                <w:kern w:val="0"/>
                <w:sz w:val="18"/>
                <w:szCs w:val="18"/>
                <w:highlight w:val="none"/>
                <w:lang w:bidi="ar"/>
              </w:rPr>
              <w:t>0</w:t>
            </w:r>
          </w:p>
        </w:tc>
        <w:tc>
          <w:tcPr>
            <w:tcW w:w="732" w:type="dxa"/>
            <w:tcBorders>
              <w:top w:val="single" w:color="auto" w:sz="6" w:space="0"/>
            </w:tcBorders>
            <w:noWrap/>
            <w:vAlign w:val="center"/>
          </w:tcPr>
          <w:p w14:paraId="208C5E9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0.302 </w:t>
            </w:r>
          </w:p>
        </w:tc>
        <w:tc>
          <w:tcPr>
            <w:tcW w:w="240" w:type="dxa"/>
            <w:tcBorders>
              <w:top w:val="single" w:color="auto" w:sz="6" w:space="0"/>
            </w:tcBorders>
            <w:noWrap/>
            <w:vAlign w:val="center"/>
          </w:tcPr>
          <w:p w14:paraId="4415C064">
            <w:pPr>
              <w:jc w:val="center"/>
              <w:rPr>
                <w:rFonts w:ascii="Times New Roman" w:hAnsi="Times New Roman" w:eastAsia="宋体" w:cs="Times New Roman"/>
                <w:color w:val="000000"/>
                <w:sz w:val="18"/>
                <w:szCs w:val="18"/>
                <w:highlight w:val="none"/>
              </w:rPr>
            </w:pPr>
          </w:p>
        </w:tc>
        <w:tc>
          <w:tcPr>
            <w:tcW w:w="1170" w:type="dxa"/>
            <w:tcBorders>
              <w:top w:val="single" w:color="auto" w:sz="6" w:space="0"/>
            </w:tcBorders>
            <w:noWrap/>
            <w:vAlign w:val="center"/>
          </w:tcPr>
          <w:p w14:paraId="118287A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Lung</w:t>
            </w:r>
          </w:p>
        </w:tc>
        <w:tc>
          <w:tcPr>
            <w:tcW w:w="633" w:type="dxa"/>
            <w:tcBorders>
              <w:top w:val="single" w:color="auto" w:sz="6" w:space="0"/>
            </w:tcBorders>
            <w:noWrap/>
            <w:vAlign w:val="center"/>
          </w:tcPr>
          <w:p w14:paraId="579A1A6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37.94 </w:t>
            </w:r>
          </w:p>
        </w:tc>
        <w:tc>
          <w:tcPr>
            <w:tcW w:w="675" w:type="dxa"/>
            <w:tcBorders>
              <w:top w:val="single" w:color="auto" w:sz="6" w:space="0"/>
            </w:tcBorders>
            <w:noWrap/>
            <w:vAlign w:val="center"/>
          </w:tcPr>
          <w:p w14:paraId="4DF2F4D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49.71 </w:t>
            </w:r>
          </w:p>
        </w:tc>
        <w:tc>
          <w:tcPr>
            <w:tcW w:w="765" w:type="dxa"/>
            <w:tcBorders>
              <w:top w:val="single" w:color="auto" w:sz="6" w:space="0"/>
            </w:tcBorders>
            <w:noWrap/>
            <w:vAlign w:val="center"/>
          </w:tcPr>
          <w:p w14:paraId="7CA7FB1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5.78 </w:t>
            </w:r>
          </w:p>
        </w:tc>
        <w:tc>
          <w:tcPr>
            <w:tcW w:w="1200" w:type="dxa"/>
            <w:tcBorders>
              <w:top w:val="single" w:color="auto" w:sz="6" w:space="0"/>
            </w:tcBorders>
            <w:noWrap/>
            <w:vAlign w:val="center"/>
          </w:tcPr>
          <w:p w14:paraId="5358FF3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1.3</w:t>
            </w:r>
            <w:r>
              <w:rPr>
                <w:rFonts w:hint="eastAsia" w:ascii="Times New Roman" w:hAnsi="Times New Roman" w:eastAsia="宋体" w:cs="Times New Roman"/>
                <w:color w:val="231F20"/>
                <w:kern w:val="0"/>
                <w:sz w:val="18"/>
                <w:szCs w:val="18"/>
                <w:highlight w:val="none"/>
                <w:lang w:bidi="ar"/>
              </w:rPr>
              <w:t>0</w:t>
            </w:r>
            <w:r>
              <w:rPr>
                <w:rFonts w:ascii="Times New Roman" w:hAnsi="Times New Roman" w:eastAsia="宋体" w:cs="Times New Roman"/>
                <w:color w:val="231F20"/>
                <w:kern w:val="0"/>
                <w:sz w:val="18"/>
                <w:szCs w:val="18"/>
                <w:highlight w:val="none"/>
                <w:lang w:bidi="ar"/>
              </w:rPr>
              <w:t>~10.84</w:t>
            </w:r>
          </w:p>
        </w:tc>
        <w:tc>
          <w:tcPr>
            <w:tcW w:w="705" w:type="dxa"/>
            <w:tcBorders>
              <w:top w:val="single" w:color="auto" w:sz="6" w:space="0"/>
            </w:tcBorders>
            <w:noWrap/>
            <w:vAlign w:val="center"/>
          </w:tcPr>
          <w:p w14:paraId="1843DB0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0.010 </w:t>
            </w:r>
          </w:p>
        </w:tc>
      </w:tr>
      <w:tr w14:paraId="6050D6C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130" w:type="dxa"/>
            <w:noWrap/>
            <w:vAlign w:val="center"/>
          </w:tcPr>
          <w:p w14:paraId="1AE322B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Stomach</w:t>
            </w:r>
          </w:p>
        </w:tc>
        <w:tc>
          <w:tcPr>
            <w:tcW w:w="645" w:type="dxa"/>
            <w:noWrap/>
            <w:vAlign w:val="center"/>
          </w:tcPr>
          <w:p w14:paraId="16B8A8F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41.17 </w:t>
            </w:r>
          </w:p>
        </w:tc>
        <w:tc>
          <w:tcPr>
            <w:tcW w:w="660" w:type="dxa"/>
            <w:noWrap/>
            <w:vAlign w:val="center"/>
          </w:tcPr>
          <w:p w14:paraId="4536F2A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35.68 </w:t>
            </w:r>
          </w:p>
        </w:tc>
        <w:tc>
          <w:tcPr>
            <w:tcW w:w="735" w:type="dxa"/>
            <w:noWrap/>
            <w:vAlign w:val="center"/>
          </w:tcPr>
          <w:p w14:paraId="6808ED1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-3.16 </w:t>
            </w:r>
          </w:p>
        </w:tc>
        <w:tc>
          <w:tcPr>
            <w:tcW w:w="1263" w:type="dxa"/>
            <w:noWrap/>
            <w:vAlign w:val="center"/>
          </w:tcPr>
          <w:p w14:paraId="397BF96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-4.65~-1.77</w:t>
            </w:r>
          </w:p>
        </w:tc>
        <w:tc>
          <w:tcPr>
            <w:tcW w:w="732" w:type="dxa"/>
            <w:noWrap/>
            <w:vAlign w:val="center"/>
          </w:tcPr>
          <w:p w14:paraId="641A9AE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&lt;0.001</w:t>
            </w:r>
          </w:p>
        </w:tc>
        <w:tc>
          <w:tcPr>
            <w:tcW w:w="240" w:type="dxa"/>
            <w:noWrap/>
            <w:vAlign w:val="center"/>
          </w:tcPr>
          <w:p w14:paraId="6BB6B277">
            <w:pPr>
              <w:jc w:val="center"/>
              <w:rPr>
                <w:rFonts w:ascii="Times New Roman" w:hAnsi="Times New Roman" w:eastAsia="宋体" w:cs="Times New Roman"/>
                <w:color w:val="000000"/>
                <w:sz w:val="18"/>
                <w:szCs w:val="18"/>
                <w:highlight w:val="none"/>
              </w:rPr>
            </w:pPr>
          </w:p>
        </w:tc>
        <w:tc>
          <w:tcPr>
            <w:tcW w:w="1215" w:type="dxa"/>
            <w:noWrap/>
            <w:vAlign w:val="center"/>
          </w:tcPr>
          <w:p w14:paraId="5AE971C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Stomach</w:t>
            </w:r>
          </w:p>
        </w:tc>
        <w:tc>
          <w:tcPr>
            <w:tcW w:w="645" w:type="dxa"/>
            <w:noWrap/>
            <w:vAlign w:val="center"/>
          </w:tcPr>
          <w:p w14:paraId="48BF6E9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58.89 </w:t>
            </w:r>
          </w:p>
        </w:tc>
        <w:tc>
          <w:tcPr>
            <w:tcW w:w="660" w:type="dxa"/>
            <w:noWrap/>
            <w:vAlign w:val="center"/>
          </w:tcPr>
          <w:p w14:paraId="730325C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51.33 </w:t>
            </w:r>
          </w:p>
        </w:tc>
        <w:tc>
          <w:tcPr>
            <w:tcW w:w="678" w:type="dxa"/>
            <w:noWrap/>
            <w:vAlign w:val="center"/>
          </w:tcPr>
          <w:p w14:paraId="5ACDD5C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-2.84 </w:t>
            </w:r>
          </w:p>
        </w:tc>
        <w:tc>
          <w:tcPr>
            <w:tcW w:w="1230" w:type="dxa"/>
            <w:noWrap/>
            <w:vAlign w:val="center"/>
          </w:tcPr>
          <w:p w14:paraId="258E347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-4.19~-1.57</w:t>
            </w:r>
          </w:p>
        </w:tc>
        <w:tc>
          <w:tcPr>
            <w:tcW w:w="732" w:type="dxa"/>
            <w:noWrap/>
            <w:vAlign w:val="center"/>
          </w:tcPr>
          <w:p w14:paraId="5B7E990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&lt;0.001</w:t>
            </w:r>
          </w:p>
        </w:tc>
        <w:tc>
          <w:tcPr>
            <w:tcW w:w="240" w:type="dxa"/>
            <w:noWrap/>
            <w:vAlign w:val="center"/>
          </w:tcPr>
          <w:p w14:paraId="22C1BAC6">
            <w:pPr>
              <w:jc w:val="center"/>
              <w:rPr>
                <w:rFonts w:ascii="Times New Roman" w:hAnsi="Times New Roman" w:eastAsia="宋体" w:cs="Times New Roman"/>
                <w:color w:val="000000"/>
                <w:sz w:val="18"/>
                <w:szCs w:val="18"/>
                <w:highlight w:val="none"/>
              </w:rPr>
            </w:pPr>
          </w:p>
        </w:tc>
        <w:tc>
          <w:tcPr>
            <w:tcW w:w="1170" w:type="dxa"/>
            <w:noWrap/>
            <w:vAlign w:val="center"/>
          </w:tcPr>
          <w:p w14:paraId="7D2702D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Breast</w:t>
            </w:r>
          </w:p>
        </w:tc>
        <w:tc>
          <w:tcPr>
            <w:tcW w:w="633" w:type="dxa"/>
            <w:noWrap/>
            <w:vAlign w:val="center"/>
          </w:tcPr>
          <w:p w14:paraId="5CA5B65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25.35 </w:t>
            </w:r>
          </w:p>
        </w:tc>
        <w:tc>
          <w:tcPr>
            <w:tcW w:w="675" w:type="dxa"/>
            <w:noWrap/>
            <w:vAlign w:val="center"/>
          </w:tcPr>
          <w:p w14:paraId="5C50402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24.94 </w:t>
            </w:r>
          </w:p>
        </w:tc>
        <w:tc>
          <w:tcPr>
            <w:tcW w:w="765" w:type="dxa"/>
            <w:noWrap/>
            <w:vAlign w:val="center"/>
          </w:tcPr>
          <w:p w14:paraId="0DB911C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-4.59 </w:t>
            </w:r>
          </w:p>
        </w:tc>
        <w:tc>
          <w:tcPr>
            <w:tcW w:w="1200" w:type="dxa"/>
            <w:noWrap/>
            <w:vAlign w:val="center"/>
          </w:tcPr>
          <w:p w14:paraId="0FEAAB7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-18.64~9.49</w:t>
            </w:r>
          </w:p>
        </w:tc>
        <w:tc>
          <w:tcPr>
            <w:tcW w:w="705" w:type="dxa"/>
            <w:noWrap/>
            <w:vAlign w:val="center"/>
          </w:tcPr>
          <w:p w14:paraId="38C107B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0.424 </w:t>
            </w:r>
          </w:p>
        </w:tc>
      </w:tr>
      <w:tr w14:paraId="238C1A0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130" w:type="dxa"/>
            <w:tcBorders>
              <w:tl2br w:val="nil"/>
              <w:tr2bl w:val="nil"/>
            </w:tcBorders>
            <w:noWrap/>
            <w:vAlign w:val="center"/>
          </w:tcPr>
          <w:p w14:paraId="184BB8E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Liver</w:t>
            </w:r>
          </w:p>
        </w:tc>
        <w:tc>
          <w:tcPr>
            <w:tcW w:w="645" w:type="dxa"/>
            <w:tcBorders>
              <w:tl2br w:val="nil"/>
              <w:tr2bl w:val="nil"/>
            </w:tcBorders>
            <w:noWrap/>
            <w:vAlign w:val="center"/>
          </w:tcPr>
          <w:p w14:paraId="2C023DE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34.84 </w:t>
            </w:r>
          </w:p>
        </w:tc>
        <w:tc>
          <w:tcPr>
            <w:tcW w:w="660" w:type="dxa"/>
            <w:tcBorders>
              <w:tl2br w:val="nil"/>
              <w:tr2bl w:val="nil"/>
            </w:tcBorders>
            <w:noWrap/>
            <w:vAlign w:val="center"/>
          </w:tcPr>
          <w:p w14:paraId="6D0CBC2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29.76 </w:t>
            </w:r>
          </w:p>
        </w:tc>
        <w:tc>
          <w:tcPr>
            <w:tcW w:w="735" w:type="dxa"/>
            <w:tcBorders>
              <w:tl2br w:val="nil"/>
              <w:tr2bl w:val="nil"/>
            </w:tcBorders>
            <w:noWrap/>
            <w:vAlign w:val="center"/>
          </w:tcPr>
          <w:p w14:paraId="1C9AEEB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-3.41 </w:t>
            </w:r>
          </w:p>
        </w:tc>
        <w:tc>
          <w:tcPr>
            <w:tcW w:w="1263" w:type="dxa"/>
            <w:tcBorders>
              <w:tl2br w:val="nil"/>
              <w:tr2bl w:val="nil"/>
            </w:tcBorders>
            <w:noWrap/>
            <w:vAlign w:val="center"/>
          </w:tcPr>
          <w:p w14:paraId="7EC4FED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-6.98~0.12</w:t>
            </w:r>
          </w:p>
        </w:tc>
        <w:tc>
          <w:tcPr>
            <w:tcW w:w="732" w:type="dxa"/>
            <w:tcBorders>
              <w:tl2br w:val="nil"/>
              <w:tr2bl w:val="nil"/>
            </w:tcBorders>
            <w:noWrap/>
            <w:vAlign w:val="center"/>
          </w:tcPr>
          <w:p w14:paraId="6671F49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0.060 </w:t>
            </w:r>
          </w:p>
        </w:tc>
        <w:tc>
          <w:tcPr>
            <w:tcW w:w="240" w:type="dxa"/>
            <w:tcBorders>
              <w:tl2br w:val="nil"/>
              <w:tr2bl w:val="nil"/>
            </w:tcBorders>
            <w:noWrap/>
            <w:vAlign w:val="center"/>
          </w:tcPr>
          <w:p w14:paraId="3CC24251">
            <w:pPr>
              <w:jc w:val="center"/>
              <w:rPr>
                <w:rFonts w:ascii="Times New Roman" w:hAnsi="Times New Roman" w:eastAsia="宋体" w:cs="Times New Roman"/>
                <w:color w:val="000000"/>
                <w:sz w:val="18"/>
                <w:szCs w:val="18"/>
                <w:highlight w:val="none"/>
              </w:rPr>
            </w:pPr>
          </w:p>
        </w:tc>
        <w:tc>
          <w:tcPr>
            <w:tcW w:w="1215" w:type="dxa"/>
            <w:tcBorders>
              <w:tl2br w:val="nil"/>
              <w:tr2bl w:val="nil"/>
            </w:tcBorders>
            <w:noWrap/>
            <w:vAlign w:val="center"/>
          </w:tcPr>
          <w:p w14:paraId="0376ED0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Liver</w:t>
            </w:r>
          </w:p>
        </w:tc>
        <w:tc>
          <w:tcPr>
            <w:tcW w:w="645" w:type="dxa"/>
            <w:tcBorders>
              <w:tl2br w:val="nil"/>
              <w:tr2bl w:val="nil"/>
            </w:tcBorders>
            <w:noWrap/>
            <w:vAlign w:val="center"/>
          </w:tcPr>
          <w:p w14:paraId="046EEF1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51.37 </w:t>
            </w:r>
          </w:p>
        </w:tc>
        <w:tc>
          <w:tcPr>
            <w:tcW w:w="660" w:type="dxa"/>
            <w:tcBorders>
              <w:tl2br w:val="nil"/>
              <w:tr2bl w:val="nil"/>
            </w:tcBorders>
            <w:noWrap/>
            <w:vAlign w:val="center"/>
          </w:tcPr>
          <w:p w14:paraId="2ED73A3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43.72 </w:t>
            </w:r>
          </w:p>
        </w:tc>
        <w:tc>
          <w:tcPr>
            <w:tcW w:w="678" w:type="dxa"/>
            <w:tcBorders>
              <w:tl2br w:val="nil"/>
              <w:tr2bl w:val="nil"/>
            </w:tcBorders>
            <w:noWrap/>
            <w:vAlign w:val="center"/>
          </w:tcPr>
          <w:p w14:paraId="11E2442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-3.29 </w:t>
            </w:r>
          </w:p>
        </w:tc>
        <w:tc>
          <w:tcPr>
            <w:tcW w:w="1230" w:type="dxa"/>
            <w:tcBorders>
              <w:tl2br w:val="nil"/>
              <w:tr2bl w:val="nil"/>
            </w:tcBorders>
            <w:noWrap/>
            <w:vAlign w:val="center"/>
          </w:tcPr>
          <w:p w14:paraId="305D47A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-6.99~0.42</w:t>
            </w:r>
          </w:p>
        </w:tc>
        <w:tc>
          <w:tcPr>
            <w:tcW w:w="732" w:type="dxa"/>
            <w:tcBorders>
              <w:tl2br w:val="nil"/>
              <w:tr2bl w:val="nil"/>
            </w:tcBorders>
            <w:noWrap/>
            <w:vAlign w:val="center"/>
          </w:tcPr>
          <w:p w14:paraId="059300C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0.081 </w:t>
            </w:r>
          </w:p>
        </w:tc>
        <w:tc>
          <w:tcPr>
            <w:tcW w:w="240" w:type="dxa"/>
            <w:tcBorders>
              <w:tl2br w:val="nil"/>
              <w:tr2bl w:val="nil"/>
            </w:tcBorders>
            <w:noWrap/>
            <w:vAlign w:val="center"/>
          </w:tcPr>
          <w:p w14:paraId="739198B9">
            <w:pPr>
              <w:jc w:val="center"/>
              <w:rPr>
                <w:rFonts w:ascii="Times New Roman" w:hAnsi="Times New Roman" w:eastAsia="宋体" w:cs="Times New Roman"/>
                <w:color w:val="000000"/>
                <w:sz w:val="18"/>
                <w:szCs w:val="18"/>
                <w:highlight w:val="none"/>
              </w:rPr>
            </w:pPr>
          </w:p>
        </w:tc>
        <w:tc>
          <w:tcPr>
            <w:tcW w:w="1170" w:type="dxa"/>
            <w:tcBorders>
              <w:tl2br w:val="nil"/>
              <w:tr2bl w:val="nil"/>
            </w:tcBorders>
            <w:noWrap/>
            <w:vAlign w:val="center"/>
          </w:tcPr>
          <w:p w14:paraId="339CE78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Stomach</w:t>
            </w:r>
          </w:p>
        </w:tc>
        <w:tc>
          <w:tcPr>
            <w:tcW w:w="633" w:type="dxa"/>
            <w:tcBorders>
              <w:tl2br w:val="nil"/>
              <w:tr2bl w:val="nil"/>
            </w:tcBorders>
            <w:noWrap/>
            <w:vAlign w:val="center"/>
          </w:tcPr>
          <w:p w14:paraId="256AABF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22.17 </w:t>
            </w:r>
          </w:p>
        </w:tc>
        <w:tc>
          <w:tcPr>
            <w:tcW w:w="675" w:type="dxa"/>
            <w:tcBorders>
              <w:tl2br w:val="nil"/>
              <w:tr2bl w:val="nil"/>
            </w:tcBorders>
            <w:noWrap/>
            <w:vAlign w:val="center"/>
          </w:tcPr>
          <w:p w14:paraId="0853E39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18.90 </w:t>
            </w:r>
          </w:p>
        </w:tc>
        <w:tc>
          <w:tcPr>
            <w:tcW w:w="765" w:type="dxa"/>
            <w:tcBorders>
              <w:tl2br w:val="nil"/>
              <w:tr2bl w:val="nil"/>
            </w:tcBorders>
            <w:noWrap/>
            <w:vAlign w:val="center"/>
          </w:tcPr>
          <w:p w14:paraId="155009C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-4.03 </w:t>
            </w:r>
          </w:p>
        </w:tc>
        <w:tc>
          <w:tcPr>
            <w:tcW w:w="1200" w:type="dxa"/>
            <w:tcBorders>
              <w:tl2br w:val="nil"/>
              <w:tr2bl w:val="nil"/>
            </w:tcBorders>
            <w:noWrap/>
            <w:vAlign w:val="center"/>
          </w:tcPr>
          <w:p w14:paraId="3A93E7E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-12.65~4.83</w:t>
            </w:r>
          </w:p>
        </w:tc>
        <w:tc>
          <w:tcPr>
            <w:tcW w:w="705" w:type="dxa"/>
            <w:tcBorders>
              <w:tl2br w:val="nil"/>
              <w:tr2bl w:val="nil"/>
            </w:tcBorders>
            <w:noWrap/>
            <w:vAlign w:val="center"/>
          </w:tcPr>
          <w:p w14:paraId="5734E6E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0.291 </w:t>
            </w:r>
          </w:p>
        </w:tc>
      </w:tr>
      <w:tr w14:paraId="49C625D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130" w:type="dxa"/>
            <w:tcBorders>
              <w:tl2br w:val="nil"/>
              <w:tr2bl w:val="nil"/>
            </w:tcBorders>
            <w:noWrap/>
            <w:vAlign w:val="center"/>
          </w:tcPr>
          <w:p w14:paraId="50CEF85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Esophagus</w:t>
            </w:r>
          </w:p>
        </w:tc>
        <w:tc>
          <w:tcPr>
            <w:tcW w:w="645" w:type="dxa"/>
            <w:tcBorders>
              <w:tl2br w:val="nil"/>
              <w:tr2bl w:val="nil"/>
            </w:tcBorders>
            <w:noWrap/>
            <w:vAlign w:val="center"/>
          </w:tcPr>
          <w:p w14:paraId="2F195F1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33.06 </w:t>
            </w:r>
          </w:p>
        </w:tc>
        <w:tc>
          <w:tcPr>
            <w:tcW w:w="660" w:type="dxa"/>
            <w:tcBorders>
              <w:tl2br w:val="nil"/>
              <w:tr2bl w:val="nil"/>
            </w:tcBorders>
            <w:noWrap/>
            <w:vAlign w:val="center"/>
          </w:tcPr>
          <w:p w14:paraId="7B6103F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29.56 </w:t>
            </w:r>
          </w:p>
        </w:tc>
        <w:tc>
          <w:tcPr>
            <w:tcW w:w="735" w:type="dxa"/>
            <w:tcBorders>
              <w:tl2br w:val="nil"/>
              <w:tr2bl w:val="nil"/>
            </w:tcBorders>
            <w:noWrap/>
            <w:vAlign w:val="center"/>
          </w:tcPr>
          <w:p w14:paraId="53E2E19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-2.93 </w:t>
            </w:r>
          </w:p>
        </w:tc>
        <w:tc>
          <w:tcPr>
            <w:tcW w:w="1263" w:type="dxa"/>
            <w:tcBorders>
              <w:tl2br w:val="nil"/>
              <w:tr2bl w:val="nil"/>
            </w:tcBorders>
            <w:noWrap/>
            <w:vAlign w:val="center"/>
          </w:tcPr>
          <w:p w14:paraId="41F45DC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-9.6</w:t>
            </w:r>
            <w:r>
              <w:rPr>
                <w:rFonts w:hint="eastAsia" w:ascii="Times New Roman" w:hAnsi="Times New Roman" w:eastAsia="宋体" w:cs="Times New Roman"/>
                <w:color w:val="231F20"/>
                <w:kern w:val="0"/>
                <w:sz w:val="18"/>
                <w:szCs w:val="18"/>
                <w:highlight w:val="none"/>
                <w:lang w:bidi="ar"/>
              </w:rPr>
              <w:t>0</w:t>
            </w:r>
            <w:r>
              <w:rPr>
                <w:rFonts w:ascii="Times New Roman" w:hAnsi="Times New Roman" w:eastAsia="宋体" w:cs="Times New Roman"/>
                <w:color w:val="231F20"/>
                <w:kern w:val="0"/>
                <w:sz w:val="18"/>
                <w:szCs w:val="18"/>
                <w:highlight w:val="none"/>
                <w:lang w:bidi="ar"/>
              </w:rPr>
              <w:t>~3.94</w:t>
            </w:r>
          </w:p>
        </w:tc>
        <w:tc>
          <w:tcPr>
            <w:tcW w:w="732" w:type="dxa"/>
            <w:tcBorders>
              <w:tl2br w:val="nil"/>
              <w:tr2bl w:val="nil"/>
            </w:tcBorders>
            <w:noWrap/>
            <w:vAlign w:val="center"/>
          </w:tcPr>
          <w:p w14:paraId="56BF716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0.308 </w:t>
            </w:r>
          </w:p>
        </w:tc>
        <w:tc>
          <w:tcPr>
            <w:tcW w:w="240" w:type="dxa"/>
            <w:tcBorders>
              <w:tl2br w:val="nil"/>
              <w:tr2bl w:val="nil"/>
            </w:tcBorders>
            <w:noWrap/>
            <w:vAlign w:val="center"/>
          </w:tcPr>
          <w:p w14:paraId="096ED796">
            <w:pPr>
              <w:jc w:val="center"/>
              <w:rPr>
                <w:rFonts w:ascii="Times New Roman" w:hAnsi="Times New Roman" w:eastAsia="宋体" w:cs="Times New Roman"/>
                <w:color w:val="000000"/>
                <w:sz w:val="18"/>
                <w:szCs w:val="18"/>
                <w:highlight w:val="none"/>
              </w:rPr>
            </w:pPr>
          </w:p>
        </w:tc>
        <w:tc>
          <w:tcPr>
            <w:tcW w:w="1215" w:type="dxa"/>
            <w:tcBorders>
              <w:tl2br w:val="nil"/>
              <w:tr2bl w:val="nil"/>
            </w:tcBorders>
            <w:noWrap/>
            <w:vAlign w:val="center"/>
          </w:tcPr>
          <w:p w14:paraId="7C51546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Esophagus</w:t>
            </w:r>
          </w:p>
        </w:tc>
        <w:tc>
          <w:tcPr>
            <w:tcW w:w="645" w:type="dxa"/>
            <w:tcBorders>
              <w:tl2br w:val="nil"/>
              <w:tr2bl w:val="nil"/>
            </w:tcBorders>
            <w:noWrap/>
            <w:vAlign w:val="center"/>
          </w:tcPr>
          <w:p w14:paraId="5720EFF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46.56 </w:t>
            </w:r>
          </w:p>
        </w:tc>
        <w:tc>
          <w:tcPr>
            <w:tcW w:w="660" w:type="dxa"/>
            <w:tcBorders>
              <w:tl2br w:val="nil"/>
              <w:tr2bl w:val="nil"/>
            </w:tcBorders>
            <w:noWrap/>
            <w:vAlign w:val="center"/>
          </w:tcPr>
          <w:p w14:paraId="25A338F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39.45 </w:t>
            </w:r>
          </w:p>
        </w:tc>
        <w:tc>
          <w:tcPr>
            <w:tcW w:w="678" w:type="dxa"/>
            <w:tcBorders>
              <w:tl2br w:val="nil"/>
              <w:tr2bl w:val="nil"/>
            </w:tcBorders>
            <w:noWrap/>
            <w:vAlign w:val="center"/>
          </w:tcPr>
          <w:p w14:paraId="01CC375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-3.97 </w:t>
            </w:r>
          </w:p>
        </w:tc>
        <w:tc>
          <w:tcPr>
            <w:tcW w:w="1230" w:type="dxa"/>
            <w:tcBorders>
              <w:tl2br w:val="nil"/>
              <w:tr2bl w:val="nil"/>
            </w:tcBorders>
            <w:noWrap/>
            <w:vAlign w:val="center"/>
          </w:tcPr>
          <w:p w14:paraId="1273CA8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-10.1</w:t>
            </w:r>
            <w:r>
              <w:rPr>
                <w:rFonts w:hint="eastAsia" w:ascii="Times New Roman" w:hAnsi="Times New Roman" w:eastAsia="宋体" w:cs="Times New Roman"/>
                <w:color w:val="231F20"/>
                <w:kern w:val="0"/>
                <w:sz w:val="18"/>
                <w:szCs w:val="18"/>
                <w:highlight w:val="none"/>
                <w:lang w:bidi="ar"/>
              </w:rPr>
              <w:t>0</w:t>
            </w:r>
            <w:r>
              <w:rPr>
                <w:rFonts w:ascii="Times New Roman" w:hAnsi="Times New Roman" w:eastAsia="宋体" w:cs="Times New Roman"/>
                <w:color w:val="231F20"/>
                <w:kern w:val="0"/>
                <w:sz w:val="18"/>
                <w:szCs w:val="18"/>
                <w:highlight w:val="none"/>
                <w:lang w:bidi="ar"/>
              </w:rPr>
              <w:t>~2.21</w:t>
            </w:r>
          </w:p>
        </w:tc>
        <w:tc>
          <w:tcPr>
            <w:tcW w:w="732" w:type="dxa"/>
            <w:tcBorders>
              <w:tl2br w:val="nil"/>
              <w:tr2bl w:val="nil"/>
            </w:tcBorders>
            <w:noWrap/>
            <w:vAlign w:val="center"/>
          </w:tcPr>
          <w:p w14:paraId="7F2CEF7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0.174 </w:t>
            </w:r>
          </w:p>
        </w:tc>
        <w:tc>
          <w:tcPr>
            <w:tcW w:w="240" w:type="dxa"/>
            <w:tcBorders>
              <w:tl2br w:val="nil"/>
              <w:tr2bl w:val="nil"/>
            </w:tcBorders>
            <w:noWrap/>
            <w:vAlign w:val="center"/>
          </w:tcPr>
          <w:p w14:paraId="79EC6E77">
            <w:pPr>
              <w:jc w:val="center"/>
              <w:rPr>
                <w:rFonts w:ascii="Times New Roman" w:hAnsi="Times New Roman" w:eastAsia="宋体" w:cs="Times New Roman"/>
                <w:color w:val="000000"/>
                <w:sz w:val="18"/>
                <w:szCs w:val="18"/>
                <w:highlight w:val="none"/>
              </w:rPr>
            </w:pPr>
          </w:p>
        </w:tc>
        <w:tc>
          <w:tcPr>
            <w:tcW w:w="1170" w:type="dxa"/>
            <w:tcBorders>
              <w:tl2br w:val="nil"/>
              <w:tr2bl w:val="nil"/>
            </w:tcBorders>
            <w:noWrap/>
            <w:vAlign w:val="center"/>
          </w:tcPr>
          <w:p w14:paraId="7E56C65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Colorectum</w:t>
            </w:r>
          </w:p>
        </w:tc>
        <w:tc>
          <w:tcPr>
            <w:tcW w:w="633" w:type="dxa"/>
            <w:tcBorders>
              <w:tl2br w:val="nil"/>
              <w:tr2bl w:val="nil"/>
            </w:tcBorders>
            <w:noWrap/>
            <w:vAlign w:val="center"/>
          </w:tcPr>
          <w:p w14:paraId="6203BBDD">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18.54 </w:t>
            </w:r>
          </w:p>
        </w:tc>
        <w:tc>
          <w:tcPr>
            <w:tcW w:w="675" w:type="dxa"/>
            <w:tcBorders>
              <w:tl2br w:val="nil"/>
              <w:tr2bl w:val="nil"/>
            </w:tcBorders>
            <w:noWrap/>
            <w:vAlign w:val="center"/>
          </w:tcPr>
          <w:p w14:paraId="444AF96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20.07 </w:t>
            </w:r>
          </w:p>
        </w:tc>
        <w:tc>
          <w:tcPr>
            <w:tcW w:w="765" w:type="dxa"/>
            <w:tcBorders>
              <w:tl2br w:val="nil"/>
              <w:tr2bl w:val="nil"/>
            </w:tcBorders>
            <w:noWrap/>
            <w:vAlign w:val="center"/>
          </w:tcPr>
          <w:p w14:paraId="0B4EE8B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0.50 </w:t>
            </w:r>
          </w:p>
        </w:tc>
        <w:tc>
          <w:tcPr>
            <w:tcW w:w="1200" w:type="dxa"/>
            <w:tcBorders>
              <w:tl2br w:val="nil"/>
              <w:tr2bl w:val="nil"/>
            </w:tcBorders>
            <w:noWrap/>
            <w:vAlign w:val="center"/>
          </w:tcPr>
          <w:p w14:paraId="6D43925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-4.97~6.17</w:t>
            </w:r>
          </w:p>
        </w:tc>
        <w:tc>
          <w:tcPr>
            <w:tcW w:w="705" w:type="dxa"/>
            <w:tcBorders>
              <w:tl2br w:val="nil"/>
              <w:tr2bl w:val="nil"/>
            </w:tcBorders>
            <w:noWrap/>
            <w:vAlign w:val="center"/>
          </w:tcPr>
          <w:p w14:paraId="545130B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0.821 </w:t>
            </w:r>
          </w:p>
        </w:tc>
      </w:tr>
      <w:tr w14:paraId="1F90CCB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130" w:type="dxa"/>
            <w:tcBorders>
              <w:tl2br w:val="nil"/>
              <w:tr2bl w:val="nil"/>
            </w:tcBorders>
            <w:noWrap/>
            <w:vAlign w:val="center"/>
          </w:tcPr>
          <w:p w14:paraId="51A732CD">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Breast</w:t>
            </w:r>
          </w:p>
        </w:tc>
        <w:tc>
          <w:tcPr>
            <w:tcW w:w="645" w:type="dxa"/>
            <w:tcBorders>
              <w:tl2br w:val="nil"/>
              <w:tr2bl w:val="nil"/>
            </w:tcBorders>
            <w:noWrap/>
            <w:vAlign w:val="center"/>
          </w:tcPr>
          <w:p w14:paraId="1654C01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25.35 </w:t>
            </w:r>
          </w:p>
        </w:tc>
        <w:tc>
          <w:tcPr>
            <w:tcW w:w="660" w:type="dxa"/>
            <w:tcBorders>
              <w:tl2br w:val="nil"/>
              <w:tr2bl w:val="nil"/>
            </w:tcBorders>
            <w:noWrap/>
            <w:vAlign w:val="center"/>
          </w:tcPr>
          <w:p w14:paraId="4C58D44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24.94 </w:t>
            </w:r>
          </w:p>
        </w:tc>
        <w:tc>
          <w:tcPr>
            <w:tcW w:w="735" w:type="dxa"/>
            <w:tcBorders>
              <w:tl2br w:val="nil"/>
              <w:tr2bl w:val="nil"/>
            </w:tcBorders>
            <w:noWrap/>
            <w:vAlign w:val="center"/>
          </w:tcPr>
          <w:p w14:paraId="06D4263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-4.59 </w:t>
            </w:r>
          </w:p>
        </w:tc>
        <w:tc>
          <w:tcPr>
            <w:tcW w:w="1263" w:type="dxa"/>
            <w:tcBorders>
              <w:tl2br w:val="nil"/>
              <w:tr2bl w:val="nil"/>
            </w:tcBorders>
            <w:noWrap/>
            <w:vAlign w:val="center"/>
          </w:tcPr>
          <w:p w14:paraId="13CB134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-18.64~9.49</w:t>
            </w:r>
          </w:p>
        </w:tc>
        <w:tc>
          <w:tcPr>
            <w:tcW w:w="732" w:type="dxa"/>
            <w:tcBorders>
              <w:tl2br w:val="nil"/>
              <w:tr2bl w:val="nil"/>
            </w:tcBorders>
            <w:noWrap/>
            <w:vAlign w:val="center"/>
          </w:tcPr>
          <w:p w14:paraId="70B04C7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0.424 </w:t>
            </w:r>
          </w:p>
        </w:tc>
        <w:tc>
          <w:tcPr>
            <w:tcW w:w="240" w:type="dxa"/>
            <w:tcBorders>
              <w:tl2br w:val="nil"/>
              <w:tr2bl w:val="nil"/>
            </w:tcBorders>
            <w:noWrap/>
            <w:vAlign w:val="center"/>
          </w:tcPr>
          <w:p w14:paraId="36721C64">
            <w:pPr>
              <w:jc w:val="center"/>
              <w:rPr>
                <w:rFonts w:ascii="Times New Roman" w:hAnsi="Times New Roman" w:eastAsia="宋体" w:cs="Times New Roman"/>
                <w:color w:val="000000"/>
                <w:sz w:val="18"/>
                <w:szCs w:val="18"/>
                <w:highlight w:val="none"/>
              </w:rPr>
            </w:pPr>
          </w:p>
        </w:tc>
        <w:tc>
          <w:tcPr>
            <w:tcW w:w="1215" w:type="dxa"/>
            <w:tcBorders>
              <w:tl2br w:val="nil"/>
              <w:tr2bl w:val="nil"/>
            </w:tcBorders>
            <w:noWrap/>
            <w:vAlign w:val="center"/>
          </w:tcPr>
          <w:p w14:paraId="52B7F3C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Colorectum</w:t>
            </w:r>
          </w:p>
        </w:tc>
        <w:tc>
          <w:tcPr>
            <w:tcW w:w="645" w:type="dxa"/>
            <w:tcBorders>
              <w:tl2br w:val="nil"/>
              <w:tr2bl w:val="nil"/>
            </w:tcBorders>
            <w:noWrap/>
            <w:vAlign w:val="center"/>
          </w:tcPr>
          <w:p w14:paraId="7610161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25.71 </w:t>
            </w:r>
          </w:p>
        </w:tc>
        <w:tc>
          <w:tcPr>
            <w:tcW w:w="660" w:type="dxa"/>
            <w:tcBorders>
              <w:tl2br w:val="nil"/>
              <w:tr2bl w:val="nil"/>
            </w:tcBorders>
            <w:noWrap/>
            <w:vAlign w:val="center"/>
          </w:tcPr>
          <w:p w14:paraId="622D94A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30.32 </w:t>
            </w:r>
          </w:p>
        </w:tc>
        <w:tc>
          <w:tcPr>
            <w:tcW w:w="678" w:type="dxa"/>
            <w:tcBorders>
              <w:tl2br w:val="nil"/>
              <w:tr2bl w:val="nil"/>
            </w:tcBorders>
            <w:noWrap/>
            <w:vAlign w:val="center"/>
          </w:tcPr>
          <w:p w14:paraId="09ABB79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2.70 </w:t>
            </w:r>
          </w:p>
        </w:tc>
        <w:tc>
          <w:tcPr>
            <w:tcW w:w="1230" w:type="dxa"/>
            <w:tcBorders>
              <w:tl2br w:val="nil"/>
              <w:tr2bl w:val="nil"/>
            </w:tcBorders>
            <w:noWrap/>
            <w:vAlign w:val="center"/>
          </w:tcPr>
          <w:p w14:paraId="1BAEB9D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-1.25~6.86</w:t>
            </w:r>
          </w:p>
        </w:tc>
        <w:tc>
          <w:tcPr>
            <w:tcW w:w="732" w:type="dxa"/>
            <w:tcBorders>
              <w:tl2br w:val="nil"/>
              <w:tr2bl w:val="nil"/>
            </w:tcBorders>
            <w:noWrap/>
            <w:vAlign w:val="center"/>
          </w:tcPr>
          <w:p w14:paraId="191BC6A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0.176 </w:t>
            </w:r>
          </w:p>
        </w:tc>
        <w:tc>
          <w:tcPr>
            <w:tcW w:w="240" w:type="dxa"/>
            <w:tcBorders>
              <w:tl2br w:val="nil"/>
              <w:tr2bl w:val="nil"/>
            </w:tcBorders>
            <w:noWrap/>
            <w:vAlign w:val="center"/>
          </w:tcPr>
          <w:p w14:paraId="59A160FE">
            <w:pPr>
              <w:jc w:val="center"/>
              <w:rPr>
                <w:rFonts w:ascii="Times New Roman" w:hAnsi="Times New Roman" w:eastAsia="宋体" w:cs="Times New Roman"/>
                <w:color w:val="000000"/>
                <w:sz w:val="18"/>
                <w:szCs w:val="18"/>
                <w:highlight w:val="none"/>
              </w:rPr>
            </w:pPr>
          </w:p>
        </w:tc>
        <w:tc>
          <w:tcPr>
            <w:tcW w:w="1170" w:type="dxa"/>
            <w:tcBorders>
              <w:tl2br w:val="nil"/>
              <w:tr2bl w:val="nil"/>
            </w:tcBorders>
            <w:noWrap/>
            <w:vAlign w:val="center"/>
          </w:tcPr>
          <w:p w14:paraId="1F12C61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Esophagus</w:t>
            </w:r>
          </w:p>
        </w:tc>
        <w:tc>
          <w:tcPr>
            <w:tcW w:w="633" w:type="dxa"/>
            <w:tcBorders>
              <w:tl2br w:val="nil"/>
              <w:tr2bl w:val="nil"/>
            </w:tcBorders>
            <w:noWrap/>
            <w:vAlign w:val="center"/>
          </w:tcPr>
          <w:p w14:paraId="2E45533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18.60 </w:t>
            </w:r>
          </w:p>
        </w:tc>
        <w:tc>
          <w:tcPr>
            <w:tcW w:w="675" w:type="dxa"/>
            <w:tcBorders>
              <w:tl2br w:val="nil"/>
              <w:tr2bl w:val="nil"/>
            </w:tcBorders>
            <w:noWrap/>
            <w:vAlign w:val="center"/>
          </w:tcPr>
          <w:p w14:paraId="3495508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18.96 </w:t>
            </w:r>
          </w:p>
        </w:tc>
        <w:tc>
          <w:tcPr>
            <w:tcW w:w="765" w:type="dxa"/>
            <w:tcBorders>
              <w:tl2br w:val="nil"/>
              <w:tr2bl w:val="nil"/>
            </w:tcBorders>
            <w:noWrap/>
            <w:vAlign w:val="center"/>
          </w:tcPr>
          <w:p w14:paraId="5F3FEB3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-0.40 </w:t>
            </w:r>
          </w:p>
        </w:tc>
        <w:tc>
          <w:tcPr>
            <w:tcW w:w="1200" w:type="dxa"/>
            <w:tcBorders>
              <w:tl2br w:val="nil"/>
              <w:tr2bl w:val="nil"/>
            </w:tcBorders>
            <w:noWrap/>
            <w:vAlign w:val="center"/>
          </w:tcPr>
          <w:p w14:paraId="322F8D7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-4.97~4.15</w:t>
            </w:r>
          </w:p>
        </w:tc>
        <w:tc>
          <w:tcPr>
            <w:tcW w:w="705" w:type="dxa"/>
            <w:tcBorders>
              <w:tl2br w:val="nil"/>
              <w:tr2bl w:val="nil"/>
            </w:tcBorders>
            <w:noWrap/>
            <w:vAlign w:val="center"/>
          </w:tcPr>
          <w:p w14:paraId="655240E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0.849 </w:t>
            </w:r>
          </w:p>
        </w:tc>
      </w:tr>
      <w:tr w14:paraId="13B6603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130" w:type="dxa"/>
            <w:tcBorders>
              <w:tl2br w:val="nil"/>
              <w:tr2bl w:val="nil"/>
            </w:tcBorders>
            <w:noWrap/>
            <w:vAlign w:val="center"/>
          </w:tcPr>
          <w:p w14:paraId="110B3AF1">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Colorectum</w:t>
            </w:r>
          </w:p>
        </w:tc>
        <w:tc>
          <w:tcPr>
            <w:tcW w:w="645" w:type="dxa"/>
            <w:tcBorders>
              <w:tl2br w:val="nil"/>
              <w:tr2bl w:val="nil"/>
            </w:tcBorders>
            <w:noWrap/>
            <w:vAlign w:val="center"/>
          </w:tcPr>
          <w:p w14:paraId="76E0DF94">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22.25 </w:t>
            </w:r>
          </w:p>
        </w:tc>
        <w:tc>
          <w:tcPr>
            <w:tcW w:w="660" w:type="dxa"/>
            <w:tcBorders>
              <w:tl2br w:val="nil"/>
              <w:tr2bl w:val="nil"/>
            </w:tcBorders>
            <w:noWrap/>
            <w:vAlign w:val="center"/>
          </w:tcPr>
          <w:p w14:paraId="2BEE1B2A">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25.37 </w:t>
            </w:r>
          </w:p>
        </w:tc>
        <w:tc>
          <w:tcPr>
            <w:tcW w:w="735" w:type="dxa"/>
            <w:tcBorders>
              <w:tl2br w:val="nil"/>
              <w:tr2bl w:val="nil"/>
            </w:tcBorders>
            <w:noWrap/>
            <w:vAlign w:val="center"/>
          </w:tcPr>
          <w:p w14:paraId="6894F166">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1.82 </w:t>
            </w:r>
          </w:p>
        </w:tc>
        <w:tc>
          <w:tcPr>
            <w:tcW w:w="1263" w:type="dxa"/>
            <w:tcBorders>
              <w:tl2br w:val="nil"/>
              <w:tr2bl w:val="nil"/>
            </w:tcBorders>
            <w:noWrap/>
            <w:vAlign w:val="center"/>
          </w:tcPr>
          <w:p w14:paraId="34FDB969">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-2.9</w:t>
            </w:r>
            <w:r>
              <w:rPr>
                <w:rFonts w:hint="eastAsia" w:ascii="Times New Roman" w:hAnsi="Times New Roman" w:eastAsia="宋体" w:cs="Times New Roman"/>
                <w:color w:val="000000"/>
                <w:kern w:val="0"/>
                <w:sz w:val="18"/>
                <w:szCs w:val="18"/>
                <w:highlight w:val="none"/>
                <w:lang w:bidi="ar"/>
              </w:rPr>
              <w:t>0</w:t>
            </w:r>
            <w:r>
              <w:rPr>
                <w:rFonts w:ascii="Times New Roman" w:hAnsi="Times New Roman" w:eastAsia="宋体" w:cs="Times New Roman"/>
                <w:color w:val="000000"/>
                <w:kern w:val="0"/>
                <w:sz w:val="18"/>
                <w:szCs w:val="18"/>
                <w:highlight w:val="none"/>
                <w:lang w:bidi="ar"/>
              </w:rPr>
              <w:t>~6.86</w:t>
            </w:r>
          </w:p>
        </w:tc>
        <w:tc>
          <w:tcPr>
            <w:tcW w:w="732" w:type="dxa"/>
            <w:tcBorders>
              <w:tl2br w:val="nil"/>
              <w:tr2bl w:val="nil"/>
            </w:tcBorders>
            <w:noWrap/>
            <w:vAlign w:val="center"/>
          </w:tcPr>
          <w:p w14:paraId="04BEC571">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0.366 </w:t>
            </w:r>
          </w:p>
        </w:tc>
        <w:tc>
          <w:tcPr>
            <w:tcW w:w="240" w:type="dxa"/>
            <w:tcBorders>
              <w:tl2br w:val="nil"/>
              <w:tr2bl w:val="nil"/>
            </w:tcBorders>
            <w:noWrap/>
            <w:vAlign w:val="center"/>
          </w:tcPr>
          <w:p w14:paraId="25A940CA">
            <w:pPr>
              <w:jc w:val="center"/>
              <w:rPr>
                <w:rFonts w:ascii="Times New Roman" w:hAnsi="Times New Roman" w:eastAsia="宋体" w:cs="Times New Roman"/>
                <w:color w:val="000000"/>
                <w:sz w:val="18"/>
                <w:szCs w:val="18"/>
                <w:highlight w:val="none"/>
              </w:rPr>
            </w:pPr>
          </w:p>
        </w:tc>
        <w:tc>
          <w:tcPr>
            <w:tcW w:w="1215" w:type="dxa"/>
            <w:tcBorders>
              <w:tl2br w:val="nil"/>
              <w:tr2bl w:val="nil"/>
            </w:tcBorders>
            <w:noWrap/>
            <w:vAlign w:val="center"/>
          </w:tcPr>
          <w:p w14:paraId="69275CD2">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Prostate</w:t>
            </w:r>
          </w:p>
        </w:tc>
        <w:tc>
          <w:tcPr>
            <w:tcW w:w="645" w:type="dxa"/>
            <w:tcBorders>
              <w:tl2br w:val="nil"/>
              <w:tr2bl w:val="nil"/>
            </w:tcBorders>
            <w:noWrap/>
            <w:vAlign w:val="center"/>
          </w:tcPr>
          <w:p w14:paraId="2620E385">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7.04 </w:t>
            </w:r>
          </w:p>
        </w:tc>
        <w:tc>
          <w:tcPr>
            <w:tcW w:w="660" w:type="dxa"/>
            <w:tcBorders>
              <w:tl2br w:val="nil"/>
              <w:tr2bl w:val="nil"/>
            </w:tcBorders>
            <w:noWrap/>
            <w:vAlign w:val="center"/>
          </w:tcPr>
          <w:p w14:paraId="56C52920">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14.23 </w:t>
            </w:r>
          </w:p>
        </w:tc>
        <w:tc>
          <w:tcPr>
            <w:tcW w:w="678" w:type="dxa"/>
            <w:tcBorders>
              <w:tl2br w:val="nil"/>
              <w:tr2bl w:val="nil"/>
            </w:tcBorders>
            <w:noWrap/>
            <w:vAlign w:val="center"/>
          </w:tcPr>
          <w:p w14:paraId="64C79939">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13.70 </w:t>
            </w:r>
          </w:p>
        </w:tc>
        <w:tc>
          <w:tcPr>
            <w:tcW w:w="1230" w:type="dxa"/>
            <w:tcBorders>
              <w:tl2br w:val="nil"/>
              <w:tr2bl w:val="nil"/>
            </w:tcBorders>
            <w:noWrap/>
            <w:vAlign w:val="center"/>
          </w:tcPr>
          <w:p w14:paraId="584E0F6D">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10.1</w:t>
            </w:r>
            <w:r>
              <w:rPr>
                <w:rFonts w:hint="eastAsia" w:ascii="Times New Roman" w:hAnsi="Times New Roman" w:eastAsia="宋体" w:cs="Times New Roman"/>
                <w:color w:val="000000"/>
                <w:kern w:val="0"/>
                <w:sz w:val="18"/>
                <w:szCs w:val="18"/>
                <w:highlight w:val="none"/>
                <w:lang w:bidi="ar"/>
              </w:rPr>
              <w:t>0</w:t>
            </w:r>
            <w:r>
              <w:rPr>
                <w:rFonts w:ascii="Times New Roman" w:hAnsi="Times New Roman" w:eastAsia="宋体" w:cs="Times New Roman"/>
                <w:color w:val="000000"/>
                <w:kern w:val="0"/>
                <w:sz w:val="18"/>
                <w:szCs w:val="18"/>
                <w:highlight w:val="none"/>
                <w:lang w:bidi="ar"/>
              </w:rPr>
              <w:t>~17.94</w:t>
            </w:r>
          </w:p>
        </w:tc>
        <w:tc>
          <w:tcPr>
            <w:tcW w:w="732" w:type="dxa"/>
            <w:tcBorders>
              <w:tl2br w:val="nil"/>
              <w:tr2bl w:val="nil"/>
            </w:tcBorders>
            <w:noWrap/>
            <w:vAlign w:val="center"/>
          </w:tcPr>
          <w:p w14:paraId="45B29BC5">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&lt;0.001</w:t>
            </w:r>
          </w:p>
        </w:tc>
        <w:tc>
          <w:tcPr>
            <w:tcW w:w="240" w:type="dxa"/>
            <w:tcBorders>
              <w:tl2br w:val="nil"/>
              <w:tr2bl w:val="nil"/>
            </w:tcBorders>
            <w:noWrap/>
            <w:vAlign w:val="center"/>
          </w:tcPr>
          <w:p w14:paraId="700E9FDE">
            <w:pPr>
              <w:jc w:val="center"/>
              <w:rPr>
                <w:rFonts w:ascii="Times New Roman" w:hAnsi="Times New Roman" w:eastAsia="宋体" w:cs="Times New Roman"/>
                <w:color w:val="000000"/>
                <w:sz w:val="18"/>
                <w:szCs w:val="18"/>
                <w:highlight w:val="none"/>
              </w:rPr>
            </w:pPr>
          </w:p>
        </w:tc>
        <w:tc>
          <w:tcPr>
            <w:tcW w:w="1170" w:type="dxa"/>
            <w:tcBorders>
              <w:tl2br w:val="nil"/>
              <w:tr2bl w:val="nil"/>
            </w:tcBorders>
            <w:noWrap/>
            <w:vAlign w:val="center"/>
          </w:tcPr>
          <w:p w14:paraId="7C17F68A">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Liver</w:t>
            </w:r>
          </w:p>
        </w:tc>
        <w:tc>
          <w:tcPr>
            <w:tcW w:w="633" w:type="dxa"/>
            <w:tcBorders>
              <w:tl2br w:val="nil"/>
              <w:tr2bl w:val="nil"/>
            </w:tcBorders>
            <w:noWrap/>
            <w:vAlign w:val="center"/>
          </w:tcPr>
          <w:p w14:paraId="3E5A05BE">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17.13 </w:t>
            </w:r>
          </w:p>
        </w:tc>
        <w:tc>
          <w:tcPr>
            <w:tcW w:w="675" w:type="dxa"/>
            <w:tcBorders>
              <w:tl2br w:val="nil"/>
              <w:tr2bl w:val="nil"/>
            </w:tcBorders>
            <w:noWrap/>
            <w:vAlign w:val="center"/>
          </w:tcPr>
          <w:p w14:paraId="1E9B1C5F">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14.79 </w:t>
            </w:r>
          </w:p>
        </w:tc>
        <w:tc>
          <w:tcPr>
            <w:tcW w:w="765" w:type="dxa"/>
            <w:tcBorders>
              <w:tl2br w:val="nil"/>
              <w:tr2bl w:val="nil"/>
            </w:tcBorders>
            <w:noWrap/>
            <w:vAlign w:val="center"/>
          </w:tcPr>
          <w:p w14:paraId="3F9C33E4">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-3.82 </w:t>
            </w:r>
          </w:p>
        </w:tc>
        <w:tc>
          <w:tcPr>
            <w:tcW w:w="1200" w:type="dxa"/>
            <w:tcBorders>
              <w:tl2br w:val="nil"/>
              <w:tr2bl w:val="nil"/>
            </w:tcBorders>
            <w:noWrap/>
            <w:vAlign w:val="center"/>
          </w:tcPr>
          <w:p w14:paraId="667F8153">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-7.65~-0.2</w:t>
            </w:r>
            <w:r>
              <w:rPr>
                <w:rFonts w:hint="eastAsia" w:ascii="Times New Roman" w:hAnsi="Times New Roman" w:eastAsia="宋体" w:cs="Times New Roman"/>
                <w:color w:val="000000"/>
                <w:kern w:val="0"/>
                <w:sz w:val="18"/>
                <w:szCs w:val="18"/>
                <w:highlight w:val="none"/>
                <w:lang w:bidi="ar"/>
              </w:rPr>
              <w:t>0</w:t>
            </w:r>
          </w:p>
        </w:tc>
        <w:tc>
          <w:tcPr>
            <w:tcW w:w="705" w:type="dxa"/>
            <w:tcBorders>
              <w:tl2br w:val="nil"/>
              <w:tr2bl w:val="nil"/>
            </w:tcBorders>
            <w:noWrap/>
            <w:vAlign w:val="center"/>
          </w:tcPr>
          <w:p w14:paraId="449142A4">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0.038 </w:t>
            </w:r>
          </w:p>
        </w:tc>
      </w:tr>
      <w:tr w14:paraId="3893AB7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130" w:type="dxa"/>
            <w:tcBorders>
              <w:tl2br w:val="nil"/>
              <w:tr2bl w:val="nil"/>
            </w:tcBorders>
            <w:noWrap/>
            <w:vAlign w:val="center"/>
          </w:tcPr>
          <w:p w14:paraId="569651F5">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Cervix uteri</w:t>
            </w:r>
          </w:p>
        </w:tc>
        <w:tc>
          <w:tcPr>
            <w:tcW w:w="645" w:type="dxa"/>
            <w:tcBorders>
              <w:tl2br w:val="nil"/>
              <w:tr2bl w:val="nil"/>
            </w:tcBorders>
            <w:noWrap/>
            <w:vAlign w:val="center"/>
          </w:tcPr>
          <w:p w14:paraId="5FD30961">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15.76 </w:t>
            </w:r>
          </w:p>
        </w:tc>
        <w:tc>
          <w:tcPr>
            <w:tcW w:w="660" w:type="dxa"/>
            <w:tcBorders>
              <w:tl2br w:val="nil"/>
              <w:tr2bl w:val="nil"/>
            </w:tcBorders>
            <w:noWrap/>
            <w:vAlign w:val="center"/>
          </w:tcPr>
          <w:p w14:paraId="3E1BC53A">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15.73 </w:t>
            </w:r>
          </w:p>
        </w:tc>
        <w:tc>
          <w:tcPr>
            <w:tcW w:w="735" w:type="dxa"/>
            <w:tcBorders>
              <w:tl2br w:val="nil"/>
              <w:tr2bl w:val="nil"/>
            </w:tcBorders>
            <w:noWrap/>
            <w:vAlign w:val="center"/>
          </w:tcPr>
          <w:p w14:paraId="4A6A06A1">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-0.90 </w:t>
            </w:r>
          </w:p>
        </w:tc>
        <w:tc>
          <w:tcPr>
            <w:tcW w:w="1263" w:type="dxa"/>
            <w:tcBorders>
              <w:tl2br w:val="nil"/>
              <w:tr2bl w:val="nil"/>
            </w:tcBorders>
            <w:noWrap/>
            <w:vAlign w:val="center"/>
          </w:tcPr>
          <w:p w14:paraId="608D300B">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-6.62~5</w:t>
            </w:r>
            <w:r>
              <w:rPr>
                <w:rFonts w:hint="eastAsia" w:ascii="Times New Roman" w:hAnsi="Times New Roman" w:eastAsia="宋体" w:cs="Times New Roman"/>
                <w:color w:val="000000"/>
                <w:kern w:val="0"/>
                <w:sz w:val="18"/>
                <w:szCs w:val="18"/>
                <w:highlight w:val="none"/>
                <w:lang w:bidi="ar"/>
              </w:rPr>
              <w:t>.00</w:t>
            </w:r>
          </w:p>
        </w:tc>
        <w:tc>
          <w:tcPr>
            <w:tcW w:w="732" w:type="dxa"/>
            <w:tcBorders>
              <w:tl2br w:val="nil"/>
              <w:tr2bl w:val="nil"/>
            </w:tcBorders>
            <w:noWrap/>
            <w:vAlign w:val="center"/>
          </w:tcPr>
          <w:p w14:paraId="237902DE">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0.632 </w:t>
            </w:r>
          </w:p>
        </w:tc>
        <w:tc>
          <w:tcPr>
            <w:tcW w:w="240" w:type="dxa"/>
            <w:tcBorders>
              <w:tl2br w:val="nil"/>
              <w:tr2bl w:val="nil"/>
            </w:tcBorders>
            <w:noWrap/>
            <w:vAlign w:val="center"/>
          </w:tcPr>
          <w:p w14:paraId="746FD590">
            <w:pPr>
              <w:jc w:val="center"/>
              <w:rPr>
                <w:rFonts w:ascii="Times New Roman" w:hAnsi="Times New Roman" w:eastAsia="宋体" w:cs="Times New Roman"/>
                <w:color w:val="000000"/>
                <w:sz w:val="18"/>
                <w:szCs w:val="18"/>
                <w:highlight w:val="none"/>
              </w:rPr>
            </w:pPr>
          </w:p>
        </w:tc>
        <w:tc>
          <w:tcPr>
            <w:tcW w:w="1215" w:type="dxa"/>
            <w:tcBorders>
              <w:tl2br w:val="nil"/>
              <w:tr2bl w:val="nil"/>
            </w:tcBorders>
            <w:noWrap/>
            <w:vAlign w:val="center"/>
          </w:tcPr>
          <w:p w14:paraId="0160EA21">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Pancreas</w:t>
            </w:r>
          </w:p>
        </w:tc>
        <w:tc>
          <w:tcPr>
            <w:tcW w:w="645" w:type="dxa"/>
            <w:tcBorders>
              <w:tl2br w:val="nil"/>
              <w:tr2bl w:val="nil"/>
            </w:tcBorders>
            <w:noWrap/>
            <w:vAlign w:val="center"/>
          </w:tcPr>
          <w:p w14:paraId="7E02AE5B">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5.50 </w:t>
            </w:r>
          </w:p>
        </w:tc>
        <w:tc>
          <w:tcPr>
            <w:tcW w:w="660" w:type="dxa"/>
            <w:tcBorders>
              <w:tl2br w:val="nil"/>
              <w:tr2bl w:val="nil"/>
            </w:tcBorders>
            <w:noWrap/>
            <w:vAlign w:val="center"/>
          </w:tcPr>
          <w:p w14:paraId="47E7C601">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6.51 </w:t>
            </w:r>
          </w:p>
        </w:tc>
        <w:tc>
          <w:tcPr>
            <w:tcW w:w="678" w:type="dxa"/>
            <w:tcBorders>
              <w:tl2br w:val="nil"/>
              <w:tr2bl w:val="nil"/>
            </w:tcBorders>
            <w:noWrap/>
            <w:vAlign w:val="center"/>
          </w:tcPr>
          <w:p w14:paraId="21A3FDCA">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3.03 </w:t>
            </w:r>
          </w:p>
        </w:tc>
        <w:tc>
          <w:tcPr>
            <w:tcW w:w="1230" w:type="dxa"/>
            <w:tcBorders>
              <w:tl2br w:val="nil"/>
              <w:tr2bl w:val="nil"/>
            </w:tcBorders>
            <w:noWrap/>
            <w:vAlign w:val="center"/>
          </w:tcPr>
          <w:p w14:paraId="2B4BF7AA">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-5.93~13.47</w:t>
            </w:r>
          </w:p>
        </w:tc>
        <w:tc>
          <w:tcPr>
            <w:tcW w:w="732" w:type="dxa"/>
            <w:tcBorders>
              <w:tl2br w:val="nil"/>
              <w:tr2bl w:val="nil"/>
            </w:tcBorders>
            <w:noWrap/>
            <w:vAlign w:val="center"/>
          </w:tcPr>
          <w:p w14:paraId="1C6900F6">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0.418 </w:t>
            </w:r>
          </w:p>
        </w:tc>
        <w:tc>
          <w:tcPr>
            <w:tcW w:w="240" w:type="dxa"/>
            <w:tcBorders>
              <w:tl2br w:val="nil"/>
              <w:tr2bl w:val="nil"/>
            </w:tcBorders>
            <w:noWrap/>
            <w:vAlign w:val="center"/>
          </w:tcPr>
          <w:p w14:paraId="0356ACCC">
            <w:pPr>
              <w:jc w:val="center"/>
              <w:rPr>
                <w:rFonts w:ascii="Times New Roman" w:hAnsi="Times New Roman" w:eastAsia="宋体" w:cs="Times New Roman"/>
                <w:color w:val="000000"/>
                <w:sz w:val="18"/>
                <w:szCs w:val="18"/>
                <w:highlight w:val="none"/>
              </w:rPr>
            </w:pPr>
          </w:p>
        </w:tc>
        <w:tc>
          <w:tcPr>
            <w:tcW w:w="1170" w:type="dxa"/>
            <w:tcBorders>
              <w:tl2br w:val="nil"/>
              <w:tr2bl w:val="nil"/>
            </w:tcBorders>
            <w:noWrap/>
            <w:vAlign w:val="center"/>
          </w:tcPr>
          <w:p w14:paraId="2F2FAFE7">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Cervix uteri</w:t>
            </w:r>
          </w:p>
        </w:tc>
        <w:tc>
          <w:tcPr>
            <w:tcW w:w="633" w:type="dxa"/>
            <w:tcBorders>
              <w:tl2br w:val="nil"/>
              <w:tr2bl w:val="nil"/>
            </w:tcBorders>
            <w:noWrap/>
            <w:vAlign w:val="center"/>
          </w:tcPr>
          <w:p w14:paraId="537C07AF">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15.76 </w:t>
            </w:r>
          </w:p>
        </w:tc>
        <w:tc>
          <w:tcPr>
            <w:tcW w:w="675" w:type="dxa"/>
            <w:tcBorders>
              <w:tl2br w:val="nil"/>
              <w:tr2bl w:val="nil"/>
            </w:tcBorders>
            <w:noWrap/>
            <w:vAlign w:val="center"/>
          </w:tcPr>
          <w:p w14:paraId="583FAB73">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15.73 </w:t>
            </w:r>
          </w:p>
        </w:tc>
        <w:tc>
          <w:tcPr>
            <w:tcW w:w="765" w:type="dxa"/>
            <w:tcBorders>
              <w:tl2br w:val="nil"/>
              <w:tr2bl w:val="nil"/>
            </w:tcBorders>
            <w:noWrap/>
            <w:vAlign w:val="center"/>
          </w:tcPr>
          <w:p w14:paraId="1DA143AE">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-0.90 </w:t>
            </w:r>
          </w:p>
        </w:tc>
        <w:tc>
          <w:tcPr>
            <w:tcW w:w="1200" w:type="dxa"/>
            <w:tcBorders>
              <w:tl2br w:val="nil"/>
              <w:tr2bl w:val="nil"/>
            </w:tcBorders>
            <w:noWrap/>
            <w:vAlign w:val="center"/>
          </w:tcPr>
          <w:p w14:paraId="4EAE2913">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-6.62~5</w:t>
            </w:r>
            <w:r>
              <w:rPr>
                <w:rFonts w:hint="eastAsia" w:ascii="Times New Roman" w:hAnsi="Times New Roman" w:eastAsia="宋体" w:cs="Times New Roman"/>
                <w:color w:val="000000"/>
                <w:kern w:val="0"/>
                <w:sz w:val="18"/>
                <w:szCs w:val="18"/>
                <w:highlight w:val="none"/>
                <w:lang w:bidi="ar"/>
              </w:rPr>
              <w:t>.00</w:t>
            </w:r>
          </w:p>
        </w:tc>
        <w:tc>
          <w:tcPr>
            <w:tcW w:w="705" w:type="dxa"/>
            <w:tcBorders>
              <w:tl2br w:val="nil"/>
              <w:tr2bl w:val="nil"/>
            </w:tcBorders>
            <w:noWrap/>
            <w:vAlign w:val="center"/>
          </w:tcPr>
          <w:p w14:paraId="0A6AA6F5">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0.632 </w:t>
            </w:r>
          </w:p>
        </w:tc>
      </w:tr>
      <w:tr w14:paraId="44BE3B5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130" w:type="dxa"/>
            <w:tcBorders>
              <w:tl2br w:val="nil"/>
              <w:tr2bl w:val="nil"/>
            </w:tcBorders>
            <w:noWrap/>
            <w:vAlign w:val="center"/>
          </w:tcPr>
          <w:p w14:paraId="1424EEDC">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Prostate</w:t>
            </w:r>
          </w:p>
        </w:tc>
        <w:tc>
          <w:tcPr>
            <w:tcW w:w="645" w:type="dxa"/>
            <w:tcBorders>
              <w:tl2br w:val="nil"/>
              <w:tr2bl w:val="nil"/>
            </w:tcBorders>
            <w:noWrap/>
            <w:vAlign w:val="center"/>
          </w:tcPr>
          <w:p w14:paraId="67EC3B78">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7.04 </w:t>
            </w:r>
          </w:p>
        </w:tc>
        <w:tc>
          <w:tcPr>
            <w:tcW w:w="660" w:type="dxa"/>
            <w:tcBorders>
              <w:tl2br w:val="nil"/>
              <w:tr2bl w:val="nil"/>
            </w:tcBorders>
            <w:noWrap/>
            <w:vAlign w:val="center"/>
          </w:tcPr>
          <w:p w14:paraId="6CB26AB8">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14.23 </w:t>
            </w:r>
          </w:p>
        </w:tc>
        <w:tc>
          <w:tcPr>
            <w:tcW w:w="735" w:type="dxa"/>
            <w:tcBorders>
              <w:tl2br w:val="nil"/>
              <w:tr2bl w:val="nil"/>
            </w:tcBorders>
            <w:noWrap/>
            <w:vAlign w:val="center"/>
          </w:tcPr>
          <w:p w14:paraId="13B505EA">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13.70 </w:t>
            </w:r>
          </w:p>
        </w:tc>
        <w:tc>
          <w:tcPr>
            <w:tcW w:w="1263" w:type="dxa"/>
            <w:tcBorders>
              <w:tl2br w:val="nil"/>
              <w:tr2bl w:val="nil"/>
            </w:tcBorders>
            <w:noWrap/>
            <w:vAlign w:val="center"/>
          </w:tcPr>
          <w:p w14:paraId="22B0993B">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10.1</w:t>
            </w:r>
            <w:r>
              <w:rPr>
                <w:rFonts w:hint="eastAsia" w:ascii="Times New Roman" w:hAnsi="Times New Roman" w:eastAsia="宋体" w:cs="Times New Roman"/>
                <w:color w:val="000000"/>
                <w:kern w:val="0"/>
                <w:sz w:val="18"/>
                <w:szCs w:val="18"/>
                <w:highlight w:val="none"/>
                <w:lang w:bidi="ar"/>
              </w:rPr>
              <w:t>0</w:t>
            </w:r>
            <w:r>
              <w:rPr>
                <w:rFonts w:ascii="Times New Roman" w:hAnsi="Times New Roman" w:eastAsia="宋体" w:cs="Times New Roman"/>
                <w:color w:val="000000"/>
                <w:kern w:val="0"/>
                <w:sz w:val="18"/>
                <w:szCs w:val="18"/>
                <w:highlight w:val="none"/>
                <w:lang w:bidi="ar"/>
              </w:rPr>
              <w:t>~17.94</w:t>
            </w:r>
          </w:p>
        </w:tc>
        <w:tc>
          <w:tcPr>
            <w:tcW w:w="732" w:type="dxa"/>
            <w:tcBorders>
              <w:tl2br w:val="nil"/>
              <w:tr2bl w:val="nil"/>
            </w:tcBorders>
            <w:noWrap/>
            <w:vAlign w:val="center"/>
          </w:tcPr>
          <w:p w14:paraId="6BF34140">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&lt;0.001</w:t>
            </w:r>
          </w:p>
        </w:tc>
        <w:tc>
          <w:tcPr>
            <w:tcW w:w="240" w:type="dxa"/>
            <w:tcBorders>
              <w:tl2br w:val="nil"/>
              <w:tr2bl w:val="nil"/>
            </w:tcBorders>
            <w:noWrap/>
            <w:vAlign w:val="center"/>
          </w:tcPr>
          <w:p w14:paraId="6E1B25C4">
            <w:pPr>
              <w:jc w:val="center"/>
              <w:rPr>
                <w:rFonts w:ascii="Times New Roman" w:hAnsi="Times New Roman" w:eastAsia="宋体" w:cs="Times New Roman"/>
                <w:color w:val="000000"/>
                <w:sz w:val="18"/>
                <w:szCs w:val="18"/>
                <w:highlight w:val="none"/>
              </w:rPr>
            </w:pPr>
          </w:p>
        </w:tc>
        <w:tc>
          <w:tcPr>
            <w:tcW w:w="1215" w:type="dxa"/>
            <w:tcBorders>
              <w:tl2br w:val="nil"/>
              <w:tr2bl w:val="nil"/>
            </w:tcBorders>
            <w:noWrap/>
            <w:vAlign w:val="center"/>
          </w:tcPr>
          <w:p w14:paraId="2284B13D">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Brain &amp; CNS</w:t>
            </w:r>
          </w:p>
        </w:tc>
        <w:tc>
          <w:tcPr>
            <w:tcW w:w="645" w:type="dxa"/>
            <w:tcBorders>
              <w:tl2br w:val="nil"/>
              <w:tr2bl w:val="nil"/>
            </w:tcBorders>
            <w:noWrap/>
            <w:vAlign w:val="center"/>
          </w:tcPr>
          <w:p w14:paraId="57902D54">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6.98 </w:t>
            </w:r>
          </w:p>
        </w:tc>
        <w:tc>
          <w:tcPr>
            <w:tcW w:w="660" w:type="dxa"/>
            <w:tcBorders>
              <w:tl2br w:val="nil"/>
              <w:tr2bl w:val="nil"/>
            </w:tcBorders>
            <w:noWrap/>
            <w:vAlign w:val="center"/>
          </w:tcPr>
          <w:p w14:paraId="5127C3E2">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5.47 </w:t>
            </w:r>
          </w:p>
        </w:tc>
        <w:tc>
          <w:tcPr>
            <w:tcW w:w="678" w:type="dxa"/>
            <w:tcBorders>
              <w:tl2br w:val="nil"/>
              <w:tr2bl w:val="nil"/>
            </w:tcBorders>
            <w:noWrap/>
            <w:vAlign w:val="center"/>
          </w:tcPr>
          <w:p w14:paraId="7D92A32B">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-3.45 </w:t>
            </w:r>
          </w:p>
        </w:tc>
        <w:tc>
          <w:tcPr>
            <w:tcW w:w="1230" w:type="dxa"/>
            <w:tcBorders>
              <w:tl2br w:val="nil"/>
              <w:tr2bl w:val="nil"/>
            </w:tcBorders>
            <w:noWrap/>
            <w:vAlign w:val="center"/>
          </w:tcPr>
          <w:p w14:paraId="7D8AA24D">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-6.42~-0.57</w:t>
            </w:r>
          </w:p>
        </w:tc>
        <w:tc>
          <w:tcPr>
            <w:tcW w:w="732" w:type="dxa"/>
            <w:tcBorders>
              <w:tl2br w:val="nil"/>
              <w:tr2bl w:val="nil"/>
            </w:tcBorders>
            <w:noWrap/>
            <w:vAlign w:val="center"/>
          </w:tcPr>
          <w:p w14:paraId="4A816393">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0.011 </w:t>
            </w:r>
          </w:p>
        </w:tc>
        <w:tc>
          <w:tcPr>
            <w:tcW w:w="240" w:type="dxa"/>
            <w:tcBorders>
              <w:tl2br w:val="nil"/>
              <w:tr2bl w:val="nil"/>
            </w:tcBorders>
            <w:noWrap/>
            <w:vAlign w:val="center"/>
          </w:tcPr>
          <w:p w14:paraId="60D5E521">
            <w:pPr>
              <w:jc w:val="center"/>
              <w:rPr>
                <w:rFonts w:ascii="Times New Roman" w:hAnsi="Times New Roman" w:eastAsia="宋体" w:cs="Times New Roman"/>
                <w:color w:val="000000"/>
                <w:sz w:val="18"/>
                <w:szCs w:val="18"/>
                <w:highlight w:val="none"/>
              </w:rPr>
            </w:pPr>
          </w:p>
        </w:tc>
        <w:tc>
          <w:tcPr>
            <w:tcW w:w="1170" w:type="dxa"/>
            <w:tcBorders>
              <w:tl2br w:val="nil"/>
              <w:tr2bl w:val="nil"/>
            </w:tcBorders>
            <w:noWrap/>
            <w:vAlign w:val="center"/>
          </w:tcPr>
          <w:p w14:paraId="08C3FDF4">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Thyroid</w:t>
            </w:r>
          </w:p>
        </w:tc>
        <w:tc>
          <w:tcPr>
            <w:tcW w:w="633" w:type="dxa"/>
            <w:tcBorders>
              <w:tl2br w:val="nil"/>
              <w:tr2bl w:val="nil"/>
            </w:tcBorders>
            <w:noWrap/>
            <w:vAlign w:val="center"/>
          </w:tcPr>
          <w:p w14:paraId="61F240BF">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6.24 </w:t>
            </w:r>
          </w:p>
        </w:tc>
        <w:tc>
          <w:tcPr>
            <w:tcW w:w="675" w:type="dxa"/>
            <w:tcBorders>
              <w:tl2br w:val="nil"/>
              <w:tr2bl w:val="nil"/>
            </w:tcBorders>
            <w:noWrap/>
            <w:vAlign w:val="center"/>
          </w:tcPr>
          <w:p w14:paraId="25AAC7B0">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11.74 </w:t>
            </w:r>
          </w:p>
        </w:tc>
        <w:tc>
          <w:tcPr>
            <w:tcW w:w="765" w:type="dxa"/>
            <w:tcBorders>
              <w:tl2br w:val="nil"/>
              <w:tr2bl w:val="nil"/>
            </w:tcBorders>
            <w:noWrap/>
            <w:vAlign w:val="center"/>
          </w:tcPr>
          <w:p w14:paraId="23BB7EC9">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9.45 </w:t>
            </w:r>
          </w:p>
        </w:tc>
        <w:tc>
          <w:tcPr>
            <w:tcW w:w="1200" w:type="dxa"/>
            <w:tcBorders>
              <w:tl2br w:val="nil"/>
              <w:tr2bl w:val="nil"/>
            </w:tcBorders>
            <w:noWrap/>
            <w:vAlign w:val="center"/>
          </w:tcPr>
          <w:p w14:paraId="6AFBA24F">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-4.57~26.92</w:t>
            </w:r>
          </w:p>
        </w:tc>
        <w:tc>
          <w:tcPr>
            <w:tcW w:w="705" w:type="dxa"/>
            <w:tcBorders>
              <w:tl2br w:val="nil"/>
              <w:tr2bl w:val="nil"/>
            </w:tcBorders>
            <w:noWrap/>
            <w:vAlign w:val="center"/>
          </w:tcPr>
          <w:p w14:paraId="528EA0DE">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0.175 </w:t>
            </w:r>
          </w:p>
        </w:tc>
      </w:tr>
      <w:tr w14:paraId="39BBBEB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130" w:type="dxa"/>
            <w:tcBorders>
              <w:tl2br w:val="nil"/>
              <w:tr2bl w:val="nil"/>
            </w:tcBorders>
            <w:noWrap/>
            <w:vAlign w:val="center"/>
          </w:tcPr>
          <w:p w14:paraId="50F75883">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Corpus uteri</w:t>
            </w:r>
          </w:p>
        </w:tc>
        <w:tc>
          <w:tcPr>
            <w:tcW w:w="645" w:type="dxa"/>
            <w:tcBorders>
              <w:tl2br w:val="nil"/>
              <w:tr2bl w:val="nil"/>
            </w:tcBorders>
            <w:noWrap/>
            <w:vAlign w:val="center"/>
          </w:tcPr>
          <w:p w14:paraId="3C0B869C">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6.80 </w:t>
            </w:r>
          </w:p>
        </w:tc>
        <w:tc>
          <w:tcPr>
            <w:tcW w:w="660" w:type="dxa"/>
            <w:tcBorders>
              <w:tl2br w:val="nil"/>
              <w:tr2bl w:val="nil"/>
            </w:tcBorders>
            <w:noWrap/>
            <w:vAlign w:val="center"/>
          </w:tcPr>
          <w:p w14:paraId="2137F387">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5.93 </w:t>
            </w:r>
          </w:p>
        </w:tc>
        <w:tc>
          <w:tcPr>
            <w:tcW w:w="735" w:type="dxa"/>
            <w:tcBorders>
              <w:tl2br w:val="nil"/>
              <w:tr2bl w:val="nil"/>
            </w:tcBorders>
            <w:noWrap/>
            <w:vAlign w:val="center"/>
          </w:tcPr>
          <w:p w14:paraId="7A86483F">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-1.87 </w:t>
            </w:r>
          </w:p>
        </w:tc>
        <w:tc>
          <w:tcPr>
            <w:tcW w:w="1263" w:type="dxa"/>
            <w:tcBorders>
              <w:tl2br w:val="nil"/>
              <w:tr2bl w:val="nil"/>
            </w:tcBorders>
            <w:noWrap/>
            <w:vAlign w:val="center"/>
          </w:tcPr>
          <w:p w14:paraId="0C8EA0A9">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-6.88~3.04</w:t>
            </w:r>
          </w:p>
        </w:tc>
        <w:tc>
          <w:tcPr>
            <w:tcW w:w="732" w:type="dxa"/>
            <w:tcBorders>
              <w:tl2br w:val="nil"/>
              <w:tr2bl w:val="nil"/>
            </w:tcBorders>
            <w:noWrap/>
            <w:vAlign w:val="center"/>
          </w:tcPr>
          <w:p w14:paraId="56B62BF7">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0.436 </w:t>
            </w:r>
          </w:p>
        </w:tc>
        <w:tc>
          <w:tcPr>
            <w:tcW w:w="240" w:type="dxa"/>
            <w:tcBorders>
              <w:tl2br w:val="nil"/>
              <w:tr2bl w:val="nil"/>
            </w:tcBorders>
            <w:noWrap/>
            <w:vAlign w:val="center"/>
          </w:tcPr>
          <w:p w14:paraId="25C181E4">
            <w:pPr>
              <w:jc w:val="center"/>
              <w:rPr>
                <w:rFonts w:ascii="Times New Roman" w:hAnsi="Times New Roman" w:eastAsia="宋体" w:cs="Times New Roman"/>
                <w:color w:val="000000"/>
                <w:sz w:val="18"/>
                <w:szCs w:val="18"/>
                <w:highlight w:val="none"/>
              </w:rPr>
            </w:pPr>
          </w:p>
        </w:tc>
        <w:tc>
          <w:tcPr>
            <w:tcW w:w="1215" w:type="dxa"/>
            <w:tcBorders>
              <w:tl2br w:val="nil"/>
              <w:tr2bl w:val="nil"/>
            </w:tcBorders>
            <w:noWrap/>
            <w:vAlign w:val="center"/>
          </w:tcPr>
          <w:p w14:paraId="0BA0D588">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Bladder</w:t>
            </w:r>
          </w:p>
        </w:tc>
        <w:tc>
          <w:tcPr>
            <w:tcW w:w="645" w:type="dxa"/>
            <w:tcBorders>
              <w:tl2br w:val="nil"/>
              <w:tr2bl w:val="nil"/>
            </w:tcBorders>
            <w:noWrap/>
            <w:vAlign w:val="center"/>
          </w:tcPr>
          <w:p w14:paraId="342C83BF">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5.13 </w:t>
            </w:r>
          </w:p>
        </w:tc>
        <w:tc>
          <w:tcPr>
            <w:tcW w:w="660" w:type="dxa"/>
            <w:tcBorders>
              <w:tl2br w:val="nil"/>
              <w:tr2bl w:val="nil"/>
            </w:tcBorders>
            <w:noWrap/>
            <w:vAlign w:val="center"/>
          </w:tcPr>
          <w:p w14:paraId="2AC6F8DA">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6.35 </w:t>
            </w:r>
          </w:p>
        </w:tc>
        <w:tc>
          <w:tcPr>
            <w:tcW w:w="678" w:type="dxa"/>
            <w:tcBorders>
              <w:tl2br w:val="nil"/>
              <w:tr2bl w:val="nil"/>
            </w:tcBorders>
            <w:noWrap/>
            <w:vAlign w:val="center"/>
          </w:tcPr>
          <w:p w14:paraId="2E457B18">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3.88 </w:t>
            </w:r>
          </w:p>
        </w:tc>
        <w:tc>
          <w:tcPr>
            <w:tcW w:w="1230" w:type="dxa"/>
            <w:tcBorders>
              <w:tl2br w:val="nil"/>
              <w:tr2bl w:val="nil"/>
            </w:tcBorders>
            <w:noWrap/>
            <w:vAlign w:val="center"/>
          </w:tcPr>
          <w:p w14:paraId="3A900E87">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2.02~5.81</w:t>
            </w:r>
          </w:p>
        </w:tc>
        <w:tc>
          <w:tcPr>
            <w:tcW w:w="732" w:type="dxa"/>
            <w:tcBorders>
              <w:tl2br w:val="nil"/>
              <w:tr2bl w:val="nil"/>
            </w:tcBorders>
            <w:noWrap/>
            <w:vAlign w:val="center"/>
          </w:tcPr>
          <w:p w14:paraId="438A1D78">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&lt;0.001</w:t>
            </w:r>
          </w:p>
        </w:tc>
        <w:tc>
          <w:tcPr>
            <w:tcW w:w="240" w:type="dxa"/>
            <w:tcBorders>
              <w:tl2br w:val="nil"/>
              <w:tr2bl w:val="nil"/>
            </w:tcBorders>
            <w:noWrap/>
            <w:vAlign w:val="center"/>
          </w:tcPr>
          <w:p w14:paraId="249968ED">
            <w:pPr>
              <w:jc w:val="center"/>
              <w:rPr>
                <w:rFonts w:ascii="Times New Roman" w:hAnsi="Times New Roman" w:eastAsia="宋体" w:cs="Times New Roman"/>
                <w:color w:val="000000"/>
                <w:sz w:val="18"/>
                <w:szCs w:val="18"/>
                <w:highlight w:val="none"/>
              </w:rPr>
            </w:pPr>
          </w:p>
        </w:tc>
        <w:tc>
          <w:tcPr>
            <w:tcW w:w="1170" w:type="dxa"/>
            <w:tcBorders>
              <w:tl2br w:val="nil"/>
              <w:tr2bl w:val="nil"/>
            </w:tcBorders>
            <w:noWrap/>
            <w:vAlign w:val="center"/>
          </w:tcPr>
          <w:p w14:paraId="2C5B07E4">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Corpus uteri</w:t>
            </w:r>
          </w:p>
        </w:tc>
        <w:tc>
          <w:tcPr>
            <w:tcW w:w="633" w:type="dxa"/>
            <w:tcBorders>
              <w:tl2br w:val="nil"/>
              <w:tr2bl w:val="nil"/>
            </w:tcBorders>
            <w:noWrap/>
            <w:vAlign w:val="center"/>
          </w:tcPr>
          <w:p w14:paraId="3B4A8DB8">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6.80 </w:t>
            </w:r>
          </w:p>
        </w:tc>
        <w:tc>
          <w:tcPr>
            <w:tcW w:w="675" w:type="dxa"/>
            <w:tcBorders>
              <w:tl2br w:val="nil"/>
              <w:tr2bl w:val="nil"/>
            </w:tcBorders>
            <w:noWrap/>
            <w:vAlign w:val="center"/>
          </w:tcPr>
          <w:p w14:paraId="362BA828">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5.99 </w:t>
            </w:r>
          </w:p>
        </w:tc>
        <w:tc>
          <w:tcPr>
            <w:tcW w:w="765" w:type="dxa"/>
            <w:tcBorders>
              <w:tl2br w:val="nil"/>
              <w:tr2bl w:val="nil"/>
            </w:tcBorders>
            <w:noWrap/>
            <w:vAlign w:val="center"/>
          </w:tcPr>
          <w:p w14:paraId="43DED7FA">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-2.64 </w:t>
            </w:r>
          </w:p>
        </w:tc>
        <w:tc>
          <w:tcPr>
            <w:tcW w:w="1200" w:type="dxa"/>
            <w:tcBorders>
              <w:tl2br w:val="nil"/>
              <w:tr2bl w:val="nil"/>
            </w:tcBorders>
            <w:noWrap/>
            <w:vAlign w:val="center"/>
          </w:tcPr>
          <w:p w14:paraId="57107CAB">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-8.25~2.95</w:t>
            </w:r>
          </w:p>
        </w:tc>
        <w:tc>
          <w:tcPr>
            <w:tcW w:w="705" w:type="dxa"/>
            <w:tcBorders>
              <w:tl2br w:val="nil"/>
              <w:tr2bl w:val="nil"/>
            </w:tcBorders>
            <w:noWrap/>
            <w:vAlign w:val="center"/>
          </w:tcPr>
          <w:p w14:paraId="2E8B86B6">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0.303 </w:t>
            </w:r>
          </w:p>
        </w:tc>
      </w:tr>
      <w:tr w14:paraId="1EC4910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130" w:type="dxa"/>
            <w:tcBorders>
              <w:tl2br w:val="nil"/>
              <w:tr2bl w:val="nil"/>
            </w:tcBorders>
            <w:noWrap/>
            <w:vAlign w:val="center"/>
          </w:tcPr>
          <w:p w14:paraId="72917BED">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Ovarian</w:t>
            </w:r>
          </w:p>
        </w:tc>
        <w:tc>
          <w:tcPr>
            <w:tcW w:w="645" w:type="dxa"/>
            <w:tcBorders>
              <w:tl2br w:val="nil"/>
              <w:tr2bl w:val="nil"/>
            </w:tcBorders>
            <w:noWrap/>
            <w:vAlign w:val="center"/>
          </w:tcPr>
          <w:p w14:paraId="524C2B6F">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6.18 </w:t>
            </w:r>
          </w:p>
        </w:tc>
        <w:tc>
          <w:tcPr>
            <w:tcW w:w="660" w:type="dxa"/>
            <w:tcBorders>
              <w:tl2br w:val="nil"/>
              <w:tr2bl w:val="nil"/>
            </w:tcBorders>
            <w:noWrap/>
            <w:vAlign w:val="center"/>
          </w:tcPr>
          <w:p w14:paraId="4F2B105F">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6.22 </w:t>
            </w:r>
          </w:p>
        </w:tc>
        <w:tc>
          <w:tcPr>
            <w:tcW w:w="735" w:type="dxa"/>
            <w:tcBorders>
              <w:tl2br w:val="nil"/>
              <w:tr2bl w:val="nil"/>
            </w:tcBorders>
            <w:noWrap/>
            <w:vAlign w:val="center"/>
          </w:tcPr>
          <w:p w14:paraId="421FFE8E">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0.34 </w:t>
            </w:r>
          </w:p>
        </w:tc>
        <w:tc>
          <w:tcPr>
            <w:tcW w:w="1263" w:type="dxa"/>
            <w:tcBorders>
              <w:tl2br w:val="nil"/>
              <w:tr2bl w:val="nil"/>
            </w:tcBorders>
            <w:noWrap/>
            <w:vAlign w:val="center"/>
          </w:tcPr>
          <w:p w14:paraId="60755298">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-3.98~4.65</w:t>
            </w:r>
          </w:p>
        </w:tc>
        <w:tc>
          <w:tcPr>
            <w:tcW w:w="732" w:type="dxa"/>
            <w:tcBorders>
              <w:tl2br w:val="nil"/>
              <w:tr2bl w:val="nil"/>
            </w:tcBorders>
            <w:noWrap/>
            <w:vAlign w:val="center"/>
          </w:tcPr>
          <w:p w14:paraId="0FEE763A">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0.860 </w:t>
            </w:r>
          </w:p>
        </w:tc>
        <w:tc>
          <w:tcPr>
            <w:tcW w:w="240" w:type="dxa"/>
            <w:tcBorders>
              <w:tl2br w:val="nil"/>
              <w:tr2bl w:val="nil"/>
            </w:tcBorders>
            <w:noWrap/>
            <w:vAlign w:val="center"/>
          </w:tcPr>
          <w:p w14:paraId="4A3A3CDA">
            <w:pPr>
              <w:jc w:val="center"/>
              <w:rPr>
                <w:rFonts w:ascii="Times New Roman" w:hAnsi="Times New Roman" w:eastAsia="宋体" w:cs="Times New Roman"/>
                <w:color w:val="000000"/>
                <w:sz w:val="18"/>
                <w:szCs w:val="18"/>
                <w:highlight w:val="none"/>
              </w:rPr>
            </w:pPr>
          </w:p>
        </w:tc>
        <w:tc>
          <w:tcPr>
            <w:tcW w:w="1215" w:type="dxa"/>
            <w:tcBorders>
              <w:tl2br w:val="nil"/>
              <w:tr2bl w:val="nil"/>
            </w:tcBorders>
            <w:noWrap/>
            <w:vAlign w:val="center"/>
          </w:tcPr>
          <w:p w14:paraId="373D505C">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Nasopharynx</w:t>
            </w:r>
          </w:p>
        </w:tc>
        <w:tc>
          <w:tcPr>
            <w:tcW w:w="645" w:type="dxa"/>
            <w:tcBorders>
              <w:tl2br w:val="nil"/>
              <w:tr2bl w:val="nil"/>
            </w:tcBorders>
            <w:noWrap/>
            <w:vAlign w:val="center"/>
          </w:tcPr>
          <w:p w14:paraId="4640B91B">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6.08 </w:t>
            </w:r>
          </w:p>
        </w:tc>
        <w:tc>
          <w:tcPr>
            <w:tcW w:w="660" w:type="dxa"/>
            <w:tcBorders>
              <w:tl2br w:val="nil"/>
              <w:tr2bl w:val="nil"/>
            </w:tcBorders>
            <w:noWrap/>
            <w:vAlign w:val="center"/>
          </w:tcPr>
          <w:p w14:paraId="3C0A18ED">
            <w:pPr>
              <w:widowControl/>
              <w:jc w:val="center"/>
              <w:textAlignment w:val="center"/>
              <w:rPr>
                <w:rFonts w:ascii="Times New Roman" w:hAnsi="Times New Roman" w:eastAsia="宋体" w:cs="Times New Roman"/>
                <w:color w:val="231F20"/>
                <w:kern w:val="0"/>
                <w:sz w:val="18"/>
                <w:szCs w:val="18"/>
                <w:highlight w:val="none"/>
                <w:lang w:bidi="ar"/>
              </w:rPr>
            </w:pPr>
            <w:r>
              <w:rPr>
                <w:rFonts w:hint="eastAsia" w:ascii="Times New Roman" w:hAnsi="Times New Roman" w:eastAsia="宋体" w:cs="Times New Roman"/>
                <w:color w:val="000000"/>
                <w:kern w:val="0"/>
                <w:sz w:val="18"/>
                <w:szCs w:val="18"/>
                <w:highlight w:val="none"/>
                <w:lang w:val="en-US" w:eastAsia="zh-CN" w:bidi="ar"/>
              </w:rPr>
              <w:t>5.86</w:t>
            </w:r>
            <w:r>
              <w:rPr>
                <w:rFonts w:ascii="Times New Roman" w:hAnsi="Times New Roman" w:eastAsia="宋体" w:cs="Times New Roman"/>
                <w:color w:val="000000"/>
                <w:kern w:val="0"/>
                <w:sz w:val="18"/>
                <w:szCs w:val="18"/>
                <w:highlight w:val="none"/>
                <w:lang w:bidi="ar"/>
              </w:rPr>
              <w:t xml:space="preserve"> </w:t>
            </w:r>
          </w:p>
        </w:tc>
        <w:tc>
          <w:tcPr>
            <w:tcW w:w="678" w:type="dxa"/>
            <w:tcBorders>
              <w:tl2br w:val="nil"/>
              <w:tr2bl w:val="nil"/>
            </w:tcBorders>
            <w:noWrap/>
            <w:vAlign w:val="center"/>
          </w:tcPr>
          <w:p w14:paraId="6A6B06F3">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-1.22 </w:t>
            </w:r>
          </w:p>
        </w:tc>
        <w:tc>
          <w:tcPr>
            <w:tcW w:w="1230" w:type="dxa"/>
            <w:tcBorders>
              <w:tl2br w:val="nil"/>
              <w:tr2bl w:val="nil"/>
            </w:tcBorders>
            <w:noWrap/>
            <w:vAlign w:val="center"/>
          </w:tcPr>
          <w:p w14:paraId="26F683BA">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-10.89~9.38</w:t>
            </w:r>
          </w:p>
        </w:tc>
        <w:tc>
          <w:tcPr>
            <w:tcW w:w="732" w:type="dxa"/>
            <w:tcBorders>
              <w:tl2br w:val="nil"/>
              <w:tr2bl w:val="nil"/>
            </w:tcBorders>
            <w:noWrap/>
            <w:vAlign w:val="center"/>
          </w:tcPr>
          <w:p w14:paraId="5A283C2D">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0.724 </w:t>
            </w:r>
          </w:p>
        </w:tc>
        <w:tc>
          <w:tcPr>
            <w:tcW w:w="240" w:type="dxa"/>
            <w:tcBorders>
              <w:tl2br w:val="nil"/>
              <w:tr2bl w:val="nil"/>
            </w:tcBorders>
            <w:noWrap/>
            <w:vAlign w:val="center"/>
          </w:tcPr>
          <w:p w14:paraId="549980BC">
            <w:pPr>
              <w:jc w:val="center"/>
              <w:rPr>
                <w:rFonts w:ascii="Times New Roman" w:hAnsi="Times New Roman" w:eastAsia="宋体" w:cs="Times New Roman"/>
                <w:color w:val="000000"/>
                <w:sz w:val="18"/>
                <w:szCs w:val="18"/>
                <w:highlight w:val="none"/>
              </w:rPr>
            </w:pPr>
          </w:p>
        </w:tc>
        <w:tc>
          <w:tcPr>
            <w:tcW w:w="1170" w:type="dxa"/>
            <w:tcBorders>
              <w:tl2br w:val="nil"/>
              <w:tr2bl w:val="nil"/>
            </w:tcBorders>
            <w:noWrap/>
            <w:vAlign w:val="center"/>
          </w:tcPr>
          <w:p w14:paraId="1FEC85D7">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Ovarian</w:t>
            </w:r>
          </w:p>
        </w:tc>
        <w:tc>
          <w:tcPr>
            <w:tcW w:w="633" w:type="dxa"/>
            <w:tcBorders>
              <w:tl2br w:val="nil"/>
              <w:tr2bl w:val="nil"/>
            </w:tcBorders>
            <w:noWrap/>
            <w:vAlign w:val="center"/>
          </w:tcPr>
          <w:p w14:paraId="4FD73EE7">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6.18 </w:t>
            </w:r>
          </w:p>
        </w:tc>
        <w:tc>
          <w:tcPr>
            <w:tcW w:w="675" w:type="dxa"/>
            <w:tcBorders>
              <w:tl2br w:val="nil"/>
              <w:tr2bl w:val="nil"/>
            </w:tcBorders>
            <w:noWrap/>
            <w:vAlign w:val="center"/>
          </w:tcPr>
          <w:p w14:paraId="0F950DCC">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6.10 </w:t>
            </w:r>
          </w:p>
        </w:tc>
        <w:tc>
          <w:tcPr>
            <w:tcW w:w="765" w:type="dxa"/>
            <w:tcBorders>
              <w:tl2br w:val="nil"/>
              <w:tr2bl w:val="nil"/>
            </w:tcBorders>
            <w:noWrap/>
            <w:vAlign w:val="center"/>
          </w:tcPr>
          <w:p w14:paraId="643EF179">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-0.92 </w:t>
            </w:r>
          </w:p>
        </w:tc>
        <w:tc>
          <w:tcPr>
            <w:tcW w:w="1200" w:type="dxa"/>
            <w:tcBorders>
              <w:tl2br w:val="nil"/>
              <w:tr2bl w:val="nil"/>
            </w:tcBorders>
            <w:noWrap/>
            <w:vAlign w:val="center"/>
          </w:tcPr>
          <w:p w14:paraId="5DC288CB">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-4.63~2.78</w:t>
            </w:r>
          </w:p>
        </w:tc>
        <w:tc>
          <w:tcPr>
            <w:tcW w:w="705" w:type="dxa"/>
            <w:tcBorders>
              <w:tl2br w:val="nil"/>
              <w:tr2bl w:val="nil"/>
            </w:tcBorders>
            <w:noWrap/>
            <w:vAlign w:val="center"/>
          </w:tcPr>
          <w:p w14:paraId="0B06CBC9">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0.588 </w:t>
            </w:r>
          </w:p>
        </w:tc>
      </w:tr>
    </w:tbl>
    <w:p w14:paraId="795414A7">
      <w:pPr>
        <w:spacing w:line="240" w:lineRule="auto"/>
        <w:jc w:val="left"/>
        <w:rPr>
          <w:rFonts w:hint="eastAsia" w:ascii="Times New Roman" w:hAnsi="Times New Roman" w:cs="Times New Roman" w:eastAsiaTheme="minorEastAsia"/>
          <w:sz w:val="24"/>
          <w:highlight w:val="none"/>
          <w:lang w:val="en-US" w:eastAsia="zh-CN"/>
        </w:rPr>
      </w:pPr>
      <w:r>
        <w:rPr>
          <w:rFonts w:ascii="Times New Roman" w:hAnsi="Times New Roman" w:cs="Times New Roman"/>
          <w:sz w:val="16"/>
          <w:szCs w:val="16"/>
          <w:highlight w:val="none"/>
        </w:rPr>
        <w:t>Note: Breast cancer cases include females only</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rPr>
        <w:t>AAPC</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lang w:eastAsia="zh-CN"/>
        </w:rPr>
        <w:t>average annual percentage change</w:t>
      </w:r>
      <w:r>
        <w:rPr>
          <w:rFonts w:hint="eastAsia" w:ascii="Times New Roman" w:hAnsi="Times New Roman" w:cs="Times New Roman"/>
          <w:sz w:val="16"/>
          <w:szCs w:val="16"/>
          <w:highlight w:val="none"/>
        </w:rPr>
        <w:t>.</w:t>
      </w:r>
    </w:p>
    <w:p w14:paraId="0323DA0B">
      <w:pPr>
        <w:rPr>
          <w:rFonts w:ascii="Times New Roman" w:hAnsi="Times New Roman" w:eastAsia="宋体" w:cs="Times New Roman"/>
          <w:sz w:val="24"/>
          <w:highlight w:val="none"/>
        </w:rPr>
      </w:pPr>
      <w:r>
        <w:rPr>
          <w:rFonts w:ascii="Times New Roman" w:hAnsi="Times New Roman" w:eastAsia="宋体" w:cs="Times New Roman"/>
          <w:sz w:val="24"/>
          <w:highlight w:val="none"/>
        </w:rPr>
        <w:br w:type="page"/>
      </w:r>
    </w:p>
    <w:p w14:paraId="10B0113F">
      <w:pPr>
        <w:spacing w:line="360" w:lineRule="auto"/>
        <w:jc w:val="center"/>
        <w:rPr>
          <w:rFonts w:ascii="Times New Roman" w:hAnsi="Times New Roman" w:cs="Times New Roman"/>
          <w:sz w:val="28"/>
          <w:szCs w:val="28"/>
          <w:highlight w:val="none"/>
        </w:rPr>
      </w:pPr>
      <w:r>
        <w:rPr>
          <w:rFonts w:ascii="Times New Roman" w:hAnsi="Times New Roman" w:eastAsia="宋体" w:cs="Times New Roman"/>
          <w:sz w:val="24"/>
          <w:highlight w:val="none"/>
        </w:rPr>
        <w:t xml:space="preserve">Table </w:t>
      </w:r>
      <w:r>
        <w:rPr>
          <w:rFonts w:hint="eastAsia" w:ascii="Times New Roman" w:hAnsi="Times New Roman" w:eastAsia="宋体" w:cs="Times New Roman"/>
          <w:sz w:val="24"/>
          <w:highlight w:val="none"/>
          <w:lang w:val="en-US" w:eastAsia="zh-CN"/>
        </w:rPr>
        <w:t>9</w:t>
      </w:r>
      <w:r>
        <w:rPr>
          <w:rFonts w:ascii="Times New Roman" w:hAnsi="Times New Roman" w:eastAsia="宋体" w:cs="Times New Roman"/>
          <w:sz w:val="24"/>
          <w:highlight w:val="none"/>
        </w:rPr>
        <w:t xml:space="preserve"> Trends of cancer m</w:t>
      </w:r>
      <w:r>
        <w:rPr>
          <w:rFonts w:ascii="Times New Roman" w:hAnsi="Times New Roman" w:cs="Times New Roman"/>
          <w:sz w:val="24"/>
          <w:highlight w:val="none"/>
        </w:rPr>
        <w:t>ortality</w:t>
      </w:r>
      <w:r>
        <w:rPr>
          <w:rFonts w:ascii="Times New Roman" w:hAnsi="Times New Roman" w:eastAsia="宋体" w:cs="Times New Roman"/>
          <w:sz w:val="24"/>
          <w:highlight w:val="none"/>
        </w:rPr>
        <w:t xml:space="preserve"> by sex in Suining from 2018 to 2023</w:t>
      </w:r>
    </w:p>
    <w:tbl>
      <w:tblPr>
        <w:tblStyle w:val="7"/>
        <w:tblW w:w="16208"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00"/>
        <w:gridCol w:w="630"/>
        <w:gridCol w:w="636"/>
        <w:gridCol w:w="774"/>
        <w:gridCol w:w="1200"/>
        <w:gridCol w:w="762"/>
        <w:gridCol w:w="243"/>
        <w:gridCol w:w="1272"/>
        <w:gridCol w:w="630"/>
        <w:gridCol w:w="675"/>
        <w:gridCol w:w="750"/>
        <w:gridCol w:w="1172"/>
        <w:gridCol w:w="763"/>
        <w:gridCol w:w="240"/>
        <w:gridCol w:w="1200"/>
        <w:gridCol w:w="645"/>
        <w:gridCol w:w="630"/>
        <w:gridCol w:w="701"/>
        <w:gridCol w:w="1245"/>
        <w:gridCol w:w="840"/>
      </w:tblGrid>
      <w:tr w14:paraId="4ECD4D6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202" w:type="dxa"/>
            <w:gridSpan w:val="6"/>
            <w:tcBorders>
              <w:bottom w:val="single" w:color="000000" w:sz="6" w:space="0"/>
              <w:tl2br w:val="nil"/>
              <w:tr2bl w:val="nil"/>
            </w:tcBorders>
            <w:noWrap/>
            <w:vAlign w:val="center"/>
          </w:tcPr>
          <w:p w14:paraId="4D9269F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Both</w:t>
            </w:r>
          </w:p>
        </w:tc>
        <w:tc>
          <w:tcPr>
            <w:tcW w:w="243" w:type="dxa"/>
            <w:tcBorders>
              <w:tl2br w:val="nil"/>
              <w:tr2bl w:val="nil"/>
            </w:tcBorders>
            <w:noWrap/>
            <w:vAlign w:val="center"/>
          </w:tcPr>
          <w:p w14:paraId="04F7040B">
            <w:pPr>
              <w:rPr>
                <w:rFonts w:ascii="Times New Roman" w:hAnsi="Times New Roman" w:eastAsia="宋体" w:cs="Times New Roman"/>
                <w:color w:val="000000"/>
                <w:sz w:val="18"/>
                <w:szCs w:val="18"/>
                <w:highlight w:val="none"/>
              </w:rPr>
            </w:pPr>
          </w:p>
        </w:tc>
        <w:tc>
          <w:tcPr>
            <w:tcW w:w="5262" w:type="dxa"/>
            <w:gridSpan w:val="6"/>
            <w:tcBorders>
              <w:bottom w:val="single" w:color="000000" w:sz="6" w:space="0"/>
              <w:tl2br w:val="nil"/>
              <w:tr2bl w:val="nil"/>
            </w:tcBorders>
            <w:noWrap/>
            <w:vAlign w:val="center"/>
          </w:tcPr>
          <w:p w14:paraId="1362C40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Male</w:t>
            </w:r>
          </w:p>
        </w:tc>
        <w:tc>
          <w:tcPr>
            <w:tcW w:w="240" w:type="dxa"/>
            <w:tcBorders>
              <w:tl2br w:val="nil"/>
              <w:tr2bl w:val="nil"/>
            </w:tcBorders>
            <w:noWrap/>
            <w:vAlign w:val="center"/>
          </w:tcPr>
          <w:p w14:paraId="4F073CEC">
            <w:pPr>
              <w:rPr>
                <w:rFonts w:ascii="Times New Roman" w:hAnsi="Times New Roman" w:eastAsia="宋体" w:cs="Times New Roman"/>
                <w:color w:val="000000"/>
                <w:sz w:val="18"/>
                <w:szCs w:val="18"/>
                <w:highlight w:val="none"/>
              </w:rPr>
            </w:pPr>
          </w:p>
        </w:tc>
        <w:tc>
          <w:tcPr>
            <w:tcW w:w="5261" w:type="dxa"/>
            <w:gridSpan w:val="6"/>
            <w:tcBorders>
              <w:bottom w:val="single" w:color="000000" w:sz="6" w:space="0"/>
              <w:tl2br w:val="nil"/>
              <w:tr2bl w:val="nil"/>
            </w:tcBorders>
            <w:noWrap/>
            <w:vAlign w:val="center"/>
          </w:tcPr>
          <w:p w14:paraId="63B917A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Female</w:t>
            </w:r>
          </w:p>
        </w:tc>
      </w:tr>
      <w:tr w14:paraId="477CAC1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00" w:type="dxa"/>
            <w:vMerge w:val="restart"/>
            <w:tcBorders>
              <w:top w:val="single" w:color="000000" w:sz="6" w:space="0"/>
              <w:tl2br w:val="nil"/>
              <w:tr2bl w:val="nil"/>
            </w:tcBorders>
            <w:noWrap/>
            <w:vAlign w:val="center"/>
          </w:tcPr>
          <w:p w14:paraId="351FBCF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Site</w:t>
            </w:r>
          </w:p>
        </w:tc>
        <w:tc>
          <w:tcPr>
            <w:tcW w:w="1266" w:type="dxa"/>
            <w:gridSpan w:val="2"/>
            <w:tcBorders>
              <w:top w:val="single" w:color="000000" w:sz="6" w:space="0"/>
              <w:bottom w:val="single" w:color="000000" w:sz="6" w:space="0"/>
              <w:tl2br w:val="nil"/>
              <w:tr2bl w:val="nil"/>
            </w:tcBorders>
            <w:noWrap/>
            <w:vAlign w:val="center"/>
          </w:tcPr>
          <w:p w14:paraId="1DA21BD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Crude rate（1/10</w:t>
            </w:r>
            <w:r>
              <w:rPr>
                <w:rFonts w:ascii="Times New Roman" w:hAnsi="Times New Roman" w:eastAsia="宋体" w:cs="Times New Roman"/>
                <w:color w:val="231F20"/>
                <w:kern w:val="0"/>
                <w:sz w:val="18"/>
                <w:szCs w:val="18"/>
                <w:highlight w:val="none"/>
                <w:vertAlign w:val="superscript"/>
                <w:lang w:bidi="ar"/>
              </w:rPr>
              <w:t>5</w:t>
            </w:r>
            <w:r>
              <w:rPr>
                <w:rFonts w:ascii="Times New Roman" w:hAnsi="Times New Roman" w:eastAsia="宋体" w:cs="Times New Roman"/>
                <w:color w:val="231F20"/>
                <w:kern w:val="0"/>
                <w:sz w:val="18"/>
                <w:szCs w:val="18"/>
                <w:highlight w:val="none"/>
                <w:lang w:bidi="ar"/>
              </w:rPr>
              <w:t>）</w:t>
            </w:r>
          </w:p>
        </w:tc>
        <w:tc>
          <w:tcPr>
            <w:tcW w:w="774" w:type="dxa"/>
            <w:vMerge w:val="restart"/>
            <w:tcBorders>
              <w:top w:val="single" w:color="000000" w:sz="6" w:space="0"/>
              <w:tl2br w:val="nil"/>
              <w:tr2bl w:val="nil"/>
            </w:tcBorders>
            <w:vAlign w:val="center"/>
          </w:tcPr>
          <w:p w14:paraId="6F11D59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AAPC（%）</w:t>
            </w:r>
          </w:p>
        </w:tc>
        <w:tc>
          <w:tcPr>
            <w:tcW w:w="1200" w:type="dxa"/>
            <w:vMerge w:val="restart"/>
            <w:tcBorders>
              <w:top w:val="single" w:color="000000" w:sz="6" w:space="0"/>
              <w:tl2br w:val="nil"/>
              <w:tr2bl w:val="nil"/>
            </w:tcBorders>
            <w:vAlign w:val="center"/>
          </w:tcPr>
          <w:p w14:paraId="1A3C430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95%</w:t>
            </w:r>
            <w:r>
              <w:rPr>
                <w:rFonts w:ascii="Times New Roman" w:hAnsi="Times New Roman" w:eastAsia="宋体" w:cs="Times New Roman"/>
                <w:i/>
                <w:iCs/>
                <w:color w:val="231F20"/>
                <w:kern w:val="0"/>
                <w:sz w:val="18"/>
                <w:szCs w:val="18"/>
                <w:highlight w:val="none"/>
                <w:lang w:bidi="ar"/>
              </w:rPr>
              <w:t>CI</w:t>
            </w:r>
          </w:p>
        </w:tc>
        <w:tc>
          <w:tcPr>
            <w:tcW w:w="762" w:type="dxa"/>
            <w:vMerge w:val="restart"/>
            <w:tcBorders>
              <w:top w:val="single" w:color="000000" w:sz="6" w:space="0"/>
              <w:tl2br w:val="nil"/>
              <w:tr2bl w:val="nil"/>
            </w:tcBorders>
            <w:vAlign w:val="center"/>
          </w:tcPr>
          <w:p w14:paraId="14E3FB26">
            <w:pPr>
              <w:widowControl/>
              <w:jc w:val="center"/>
              <w:textAlignment w:val="center"/>
              <w:rPr>
                <w:rFonts w:ascii="Times New Roman" w:hAnsi="Times New Roman" w:eastAsia="宋体" w:cs="Times New Roman"/>
                <w:i/>
                <w:iCs/>
                <w:color w:val="231F20"/>
                <w:sz w:val="18"/>
                <w:szCs w:val="18"/>
                <w:highlight w:val="none"/>
              </w:rPr>
            </w:pPr>
            <w:r>
              <w:rPr>
                <w:rFonts w:ascii="Times New Roman" w:hAnsi="Times New Roman" w:eastAsia="宋体" w:cs="Times New Roman"/>
                <w:i/>
                <w:iCs/>
                <w:color w:val="231F20"/>
                <w:kern w:val="0"/>
                <w:sz w:val="18"/>
                <w:szCs w:val="18"/>
                <w:highlight w:val="none"/>
                <w:lang w:bidi="ar"/>
              </w:rPr>
              <w:t>P</w:t>
            </w:r>
          </w:p>
        </w:tc>
        <w:tc>
          <w:tcPr>
            <w:tcW w:w="243" w:type="dxa"/>
            <w:tcBorders>
              <w:tl2br w:val="nil"/>
              <w:tr2bl w:val="nil"/>
            </w:tcBorders>
            <w:noWrap/>
            <w:vAlign w:val="center"/>
          </w:tcPr>
          <w:p w14:paraId="09269C9A">
            <w:pPr>
              <w:jc w:val="center"/>
              <w:rPr>
                <w:rFonts w:ascii="Times New Roman" w:hAnsi="Times New Roman" w:eastAsia="宋体" w:cs="Times New Roman"/>
                <w:color w:val="000000"/>
                <w:sz w:val="18"/>
                <w:szCs w:val="18"/>
                <w:highlight w:val="none"/>
              </w:rPr>
            </w:pPr>
          </w:p>
        </w:tc>
        <w:tc>
          <w:tcPr>
            <w:tcW w:w="1272" w:type="dxa"/>
            <w:vMerge w:val="restart"/>
            <w:tcBorders>
              <w:top w:val="single" w:color="000000" w:sz="6" w:space="0"/>
              <w:tl2br w:val="nil"/>
              <w:tr2bl w:val="nil"/>
            </w:tcBorders>
            <w:noWrap/>
            <w:vAlign w:val="center"/>
          </w:tcPr>
          <w:p w14:paraId="2952717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Site</w:t>
            </w:r>
          </w:p>
        </w:tc>
        <w:tc>
          <w:tcPr>
            <w:tcW w:w="1305" w:type="dxa"/>
            <w:gridSpan w:val="2"/>
            <w:tcBorders>
              <w:top w:val="single" w:color="000000" w:sz="6" w:space="0"/>
              <w:bottom w:val="single" w:color="000000" w:sz="6" w:space="0"/>
              <w:tl2br w:val="nil"/>
              <w:tr2bl w:val="nil"/>
            </w:tcBorders>
            <w:noWrap/>
            <w:vAlign w:val="center"/>
          </w:tcPr>
          <w:p w14:paraId="5AD80B4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Crude rate（1/10</w:t>
            </w:r>
            <w:r>
              <w:rPr>
                <w:rFonts w:ascii="Times New Roman" w:hAnsi="Times New Roman" w:eastAsia="宋体" w:cs="Times New Roman"/>
                <w:color w:val="231F20"/>
                <w:kern w:val="0"/>
                <w:sz w:val="18"/>
                <w:szCs w:val="18"/>
                <w:highlight w:val="none"/>
                <w:vertAlign w:val="superscript"/>
                <w:lang w:bidi="ar"/>
              </w:rPr>
              <w:t>5</w:t>
            </w:r>
            <w:r>
              <w:rPr>
                <w:rFonts w:ascii="Times New Roman" w:hAnsi="Times New Roman" w:eastAsia="宋体" w:cs="Times New Roman"/>
                <w:color w:val="231F20"/>
                <w:kern w:val="0"/>
                <w:sz w:val="18"/>
                <w:szCs w:val="18"/>
                <w:highlight w:val="none"/>
                <w:lang w:bidi="ar"/>
              </w:rPr>
              <w:t>）</w:t>
            </w:r>
          </w:p>
        </w:tc>
        <w:tc>
          <w:tcPr>
            <w:tcW w:w="750" w:type="dxa"/>
            <w:vMerge w:val="restart"/>
            <w:tcBorders>
              <w:top w:val="single" w:color="000000" w:sz="6" w:space="0"/>
              <w:tl2br w:val="nil"/>
              <w:tr2bl w:val="nil"/>
            </w:tcBorders>
            <w:vAlign w:val="center"/>
          </w:tcPr>
          <w:p w14:paraId="2D35278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AAPC（%）</w:t>
            </w:r>
          </w:p>
        </w:tc>
        <w:tc>
          <w:tcPr>
            <w:tcW w:w="1172" w:type="dxa"/>
            <w:vMerge w:val="restart"/>
            <w:tcBorders>
              <w:top w:val="single" w:color="000000" w:sz="6" w:space="0"/>
              <w:tl2br w:val="nil"/>
              <w:tr2bl w:val="nil"/>
            </w:tcBorders>
            <w:vAlign w:val="center"/>
          </w:tcPr>
          <w:p w14:paraId="6B39B76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95%</w:t>
            </w:r>
            <w:r>
              <w:rPr>
                <w:rFonts w:ascii="Times New Roman" w:hAnsi="Times New Roman" w:eastAsia="宋体" w:cs="Times New Roman"/>
                <w:i/>
                <w:iCs/>
                <w:color w:val="231F20"/>
                <w:kern w:val="0"/>
                <w:sz w:val="18"/>
                <w:szCs w:val="18"/>
                <w:highlight w:val="none"/>
                <w:lang w:bidi="ar"/>
              </w:rPr>
              <w:t>CI</w:t>
            </w:r>
          </w:p>
        </w:tc>
        <w:tc>
          <w:tcPr>
            <w:tcW w:w="763" w:type="dxa"/>
            <w:vMerge w:val="restart"/>
            <w:tcBorders>
              <w:top w:val="single" w:color="000000" w:sz="6" w:space="0"/>
              <w:tl2br w:val="nil"/>
              <w:tr2bl w:val="nil"/>
            </w:tcBorders>
            <w:vAlign w:val="center"/>
          </w:tcPr>
          <w:p w14:paraId="203F1E47">
            <w:pPr>
              <w:widowControl/>
              <w:jc w:val="center"/>
              <w:textAlignment w:val="center"/>
              <w:rPr>
                <w:rFonts w:ascii="Times New Roman" w:hAnsi="Times New Roman" w:eastAsia="宋体" w:cs="Times New Roman"/>
                <w:i/>
                <w:iCs/>
                <w:color w:val="231F20"/>
                <w:sz w:val="18"/>
                <w:szCs w:val="18"/>
                <w:highlight w:val="none"/>
              </w:rPr>
            </w:pPr>
            <w:r>
              <w:rPr>
                <w:rFonts w:ascii="Times New Roman" w:hAnsi="Times New Roman" w:eastAsia="宋体" w:cs="Times New Roman"/>
                <w:i/>
                <w:iCs/>
                <w:color w:val="231F20"/>
                <w:kern w:val="0"/>
                <w:sz w:val="18"/>
                <w:szCs w:val="18"/>
                <w:highlight w:val="none"/>
                <w:lang w:bidi="ar"/>
              </w:rPr>
              <w:t>P</w:t>
            </w:r>
          </w:p>
        </w:tc>
        <w:tc>
          <w:tcPr>
            <w:tcW w:w="240" w:type="dxa"/>
            <w:tcBorders>
              <w:tl2br w:val="nil"/>
              <w:tr2bl w:val="nil"/>
            </w:tcBorders>
            <w:noWrap/>
            <w:vAlign w:val="center"/>
          </w:tcPr>
          <w:p w14:paraId="3079547F">
            <w:pPr>
              <w:jc w:val="center"/>
              <w:rPr>
                <w:rFonts w:ascii="Times New Roman" w:hAnsi="Times New Roman" w:eastAsia="宋体" w:cs="Times New Roman"/>
                <w:color w:val="000000"/>
                <w:sz w:val="18"/>
                <w:szCs w:val="18"/>
                <w:highlight w:val="none"/>
              </w:rPr>
            </w:pPr>
          </w:p>
        </w:tc>
        <w:tc>
          <w:tcPr>
            <w:tcW w:w="1200" w:type="dxa"/>
            <w:vMerge w:val="restart"/>
            <w:tcBorders>
              <w:top w:val="single" w:color="000000" w:sz="6" w:space="0"/>
              <w:tl2br w:val="nil"/>
              <w:tr2bl w:val="nil"/>
            </w:tcBorders>
            <w:noWrap/>
            <w:vAlign w:val="center"/>
          </w:tcPr>
          <w:p w14:paraId="39AB69A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Site</w:t>
            </w:r>
          </w:p>
        </w:tc>
        <w:tc>
          <w:tcPr>
            <w:tcW w:w="1275" w:type="dxa"/>
            <w:gridSpan w:val="2"/>
            <w:tcBorders>
              <w:top w:val="single" w:color="000000" w:sz="6" w:space="0"/>
              <w:bottom w:val="single" w:color="000000" w:sz="6" w:space="0"/>
              <w:tl2br w:val="nil"/>
              <w:tr2bl w:val="nil"/>
            </w:tcBorders>
            <w:noWrap/>
            <w:vAlign w:val="center"/>
          </w:tcPr>
          <w:p w14:paraId="0000D32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Crude rate（1/10</w:t>
            </w:r>
            <w:r>
              <w:rPr>
                <w:rFonts w:ascii="Times New Roman" w:hAnsi="Times New Roman" w:eastAsia="宋体" w:cs="Times New Roman"/>
                <w:color w:val="231F20"/>
                <w:kern w:val="0"/>
                <w:sz w:val="18"/>
                <w:szCs w:val="18"/>
                <w:highlight w:val="none"/>
                <w:vertAlign w:val="superscript"/>
                <w:lang w:bidi="ar"/>
              </w:rPr>
              <w:t>5</w:t>
            </w:r>
            <w:r>
              <w:rPr>
                <w:rFonts w:ascii="Times New Roman" w:hAnsi="Times New Roman" w:eastAsia="宋体" w:cs="Times New Roman"/>
                <w:color w:val="231F20"/>
                <w:kern w:val="0"/>
                <w:sz w:val="18"/>
                <w:szCs w:val="18"/>
                <w:highlight w:val="none"/>
                <w:lang w:bidi="ar"/>
              </w:rPr>
              <w:t>）</w:t>
            </w:r>
          </w:p>
        </w:tc>
        <w:tc>
          <w:tcPr>
            <w:tcW w:w="701" w:type="dxa"/>
            <w:vMerge w:val="restart"/>
            <w:tcBorders>
              <w:top w:val="single" w:color="000000" w:sz="6" w:space="0"/>
              <w:tl2br w:val="nil"/>
              <w:tr2bl w:val="nil"/>
            </w:tcBorders>
            <w:vAlign w:val="center"/>
          </w:tcPr>
          <w:p w14:paraId="3AB174C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AAPC（%）</w:t>
            </w:r>
          </w:p>
        </w:tc>
        <w:tc>
          <w:tcPr>
            <w:tcW w:w="1245" w:type="dxa"/>
            <w:vMerge w:val="restart"/>
            <w:tcBorders>
              <w:top w:val="single" w:color="000000" w:sz="6" w:space="0"/>
              <w:tl2br w:val="nil"/>
              <w:tr2bl w:val="nil"/>
            </w:tcBorders>
            <w:vAlign w:val="center"/>
          </w:tcPr>
          <w:p w14:paraId="44DAE36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95%</w:t>
            </w:r>
            <w:r>
              <w:rPr>
                <w:rFonts w:ascii="Times New Roman" w:hAnsi="Times New Roman" w:eastAsia="宋体" w:cs="Times New Roman"/>
                <w:i/>
                <w:iCs/>
                <w:color w:val="231F20"/>
                <w:kern w:val="0"/>
                <w:sz w:val="18"/>
                <w:szCs w:val="18"/>
                <w:highlight w:val="none"/>
                <w:lang w:bidi="ar"/>
              </w:rPr>
              <w:t>CI</w:t>
            </w:r>
          </w:p>
        </w:tc>
        <w:tc>
          <w:tcPr>
            <w:tcW w:w="840" w:type="dxa"/>
            <w:vMerge w:val="restart"/>
            <w:tcBorders>
              <w:top w:val="single" w:color="000000" w:sz="6" w:space="0"/>
              <w:tl2br w:val="nil"/>
              <w:tr2bl w:val="nil"/>
            </w:tcBorders>
            <w:vAlign w:val="center"/>
          </w:tcPr>
          <w:p w14:paraId="1C536CAB">
            <w:pPr>
              <w:widowControl/>
              <w:jc w:val="center"/>
              <w:textAlignment w:val="center"/>
              <w:rPr>
                <w:rFonts w:ascii="Times New Roman" w:hAnsi="Times New Roman" w:eastAsia="宋体" w:cs="Times New Roman"/>
                <w:i/>
                <w:iCs/>
                <w:color w:val="231F20"/>
                <w:sz w:val="18"/>
                <w:szCs w:val="18"/>
                <w:highlight w:val="none"/>
              </w:rPr>
            </w:pPr>
            <w:r>
              <w:rPr>
                <w:rFonts w:ascii="Times New Roman" w:hAnsi="Times New Roman" w:eastAsia="宋体" w:cs="Times New Roman"/>
                <w:i/>
                <w:iCs/>
                <w:color w:val="231F20"/>
                <w:kern w:val="0"/>
                <w:sz w:val="18"/>
                <w:szCs w:val="18"/>
                <w:highlight w:val="none"/>
                <w:lang w:bidi="ar"/>
              </w:rPr>
              <w:t>P</w:t>
            </w:r>
          </w:p>
        </w:tc>
      </w:tr>
      <w:tr w14:paraId="1F64D7C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00" w:type="dxa"/>
            <w:vMerge w:val="continue"/>
            <w:tcBorders>
              <w:bottom w:val="single" w:color="auto" w:sz="6" w:space="0"/>
              <w:tl2br w:val="nil"/>
              <w:tr2bl w:val="nil"/>
            </w:tcBorders>
            <w:noWrap/>
            <w:vAlign w:val="center"/>
          </w:tcPr>
          <w:p w14:paraId="14E2011D">
            <w:pPr>
              <w:jc w:val="center"/>
              <w:rPr>
                <w:rFonts w:ascii="Times New Roman" w:hAnsi="Times New Roman" w:eastAsia="宋体" w:cs="Times New Roman"/>
                <w:color w:val="231F20"/>
                <w:sz w:val="18"/>
                <w:szCs w:val="18"/>
                <w:highlight w:val="none"/>
              </w:rPr>
            </w:pPr>
          </w:p>
        </w:tc>
        <w:tc>
          <w:tcPr>
            <w:tcW w:w="630" w:type="dxa"/>
            <w:tcBorders>
              <w:top w:val="single" w:color="000000" w:sz="6" w:space="0"/>
              <w:bottom w:val="single" w:color="auto" w:sz="6" w:space="0"/>
              <w:tl2br w:val="nil"/>
              <w:tr2bl w:val="nil"/>
            </w:tcBorders>
            <w:noWrap/>
            <w:vAlign w:val="center"/>
          </w:tcPr>
          <w:p w14:paraId="3D516F7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2018</w:t>
            </w:r>
          </w:p>
        </w:tc>
        <w:tc>
          <w:tcPr>
            <w:tcW w:w="636" w:type="dxa"/>
            <w:tcBorders>
              <w:top w:val="single" w:color="000000" w:sz="6" w:space="0"/>
              <w:bottom w:val="single" w:color="auto" w:sz="6" w:space="0"/>
              <w:tl2br w:val="nil"/>
              <w:tr2bl w:val="nil"/>
            </w:tcBorders>
            <w:noWrap/>
            <w:vAlign w:val="center"/>
          </w:tcPr>
          <w:p w14:paraId="782D9EA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2023</w:t>
            </w:r>
          </w:p>
        </w:tc>
        <w:tc>
          <w:tcPr>
            <w:tcW w:w="774" w:type="dxa"/>
            <w:vMerge w:val="continue"/>
            <w:tcBorders>
              <w:bottom w:val="single" w:color="auto" w:sz="6" w:space="0"/>
              <w:tl2br w:val="nil"/>
              <w:tr2bl w:val="nil"/>
            </w:tcBorders>
            <w:vAlign w:val="center"/>
          </w:tcPr>
          <w:p w14:paraId="092BC9D4">
            <w:pPr>
              <w:jc w:val="center"/>
              <w:rPr>
                <w:rFonts w:ascii="Times New Roman" w:hAnsi="Times New Roman" w:eastAsia="宋体" w:cs="Times New Roman"/>
                <w:color w:val="231F20"/>
                <w:sz w:val="18"/>
                <w:szCs w:val="18"/>
                <w:highlight w:val="none"/>
              </w:rPr>
            </w:pPr>
          </w:p>
        </w:tc>
        <w:tc>
          <w:tcPr>
            <w:tcW w:w="1200" w:type="dxa"/>
            <w:vMerge w:val="continue"/>
            <w:tcBorders>
              <w:bottom w:val="single" w:color="auto" w:sz="6" w:space="0"/>
              <w:tl2br w:val="nil"/>
              <w:tr2bl w:val="nil"/>
            </w:tcBorders>
            <w:vAlign w:val="center"/>
          </w:tcPr>
          <w:p w14:paraId="6FEA922B">
            <w:pPr>
              <w:jc w:val="center"/>
              <w:rPr>
                <w:rFonts w:ascii="Times New Roman" w:hAnsi="Times New Roman" w:eastAsia="宋体" w:cs="Times New Roman"/>
                <w:color w:val="231F20"/>
                <w:sz w:val="18"/>
                <w:szCs w:val="18"/>
                <w:highlight w:val="none"/>
              </w:rPr>
            </w:pPr>
          </w:p>
        </w:tc>
        <w:tc>
          <w:tcPr>
            <w:tcW w:w="762" w:type="dxa"/>
            <w:vMerge w:val="continue"/>
            <w:tcBorders>
              <w:bottom w:val="single" w:color="auto" w:sz="6" w:space="0"/>
              <w:tl2br w:val="nil"/>
              <w:tr2bl w:val="nil"/>
            </w:tcBorders>
            <w:vAlign w:val="center"/>
          </w:tcPr>
          <w:p w14:paraId="14F678C1">
            <w:pPr>
              <w:jc w:val="center"/>
              <w:rPr>
                <w:rFonts w:ascii="Times New Roman" w:hAnsi="Times New Roman" w:eastAsia="宋体" w:cs="Times New Roman"/>
                <w:color w:val="231F20"/>
                <w:sz w:val="18"/>
                <w:szCs w:val="18"/>
                <w:highlight w:val="none"/>
              </w:rPr>
            </w:pPr>
          </w:p>
        </w:tc>
        <w:tc>
          <w:tcPr>
            <w:tcW w:w="243" w:type="dxa"/>
            <w:tcBorders>
              <w:bottom w:val="single" w:color="auto" w:sz="6" w:space="0"/>
              <w:tl2br w:val="nil"/>
              <w:tr2bl w:val="nil"/>
            </w:tcBorders>
            <w:noWrap/>
            <w:vAlign w:val="center"/>
          </w:tcPr>
          <w:p w14:paraId="4E8344C7">
            <w:pPr>
              <w:jc w:val="center"/>
              <w:rPr>
                <w:rFonts w:ascii="Times New Roman" w:hAnsi="Times New Roman" w:eastAsia="宋体" w:cs="Times New Roman"/>
                <w:color w:val="000000"/>
                <w:sz w:val="18"/>
                <w:szCs w:val="18"/>
                <w:highlight w:val="none"/>
              </w:rPr>
            </w:pPr>
          </w:p>
        </w:tc>
        <w:tc>
          <w:tcPr>
            <w:tcW w:w="1272" w:type="dxa"/>
            <w:vMerge w:val="continue"/>
            <w:tcBorders>
              <w:bottom w:val="single" w:color="auto" w:sz="6" w:space="0"/>
              <w:tl2br w:val="nil"/>
              <w:tr2bl w:val="nil"/>
            </w:tcBorders>
            <w:noWrap/>
            <w:vAlign w:val="center"/>
          </w:tcPr>
          <w:p w14:paraId="1CF256C5">
            <w:pPr>
              <w:jc w:val="center"/>
              <w:rPr>
                <w:rFonts w:ascii="Times New Roman" w:hAnsi="Times New Roman" w:eastAsia="宋体" w:cs="Times New Roman"/>
                <w:color w:val="231F20"/>
                <w:sz w:val="18"/>
                <w:szCs w:val="18"/>
                <w:highlight w:val="none"/>
              </w:rPr>
            </w:pPr>
          </w:p>
        </w:tc>
        <w:tc>
          <w:tcPr>
            <w:tcW w:w="630" w:type="dxa"/>
            <w:tcBorders>
              <w:top w:val="single" w:color="000000" w:sz="6" w:space="0"/>
              <w:bottom w:val="single" w:color="auto" w:sz="6" w:space="0"/>
              <w:tl2br w:val="nil"/>
              <w:tr2bl w:val="nil"/>
            </w:tcBorders>
            <w:noWrap/>
            <w:vAlign w:val="center"/>
          </w:tcPr>
          <w:p w14:paraId="17F77A3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2018</w:t>
            </w:r>
          </w:p>
        </w:tc>
        <w:tc>
          <w:tcPr>
            <w:tcW w:w="675" w:type="dxa"/>
            <w:tcBorders>
              <w:top w:val="single" w:color="000000" w:sz="6" w:space="0"/>
              <w:bottom w:val="single" w:color="auto" w:sz="6" w:space="0"/>
              <w:tl2br w:val="nil"/>
              <w:tr2bl w:val="nil"/>
            </w:tcBorders>
            <w:noWrap/>
            <w:vAlign w:val="center"/>
          </w:tcPr>
          <w:p w14:paraId="0C176D3D">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2023</w:t>
            </w:r>
          </w:p>
        </w:tc>
        <w:tc>
          <w:tcPr>
            <w:tcW w:w="750" w:type="dxa"/>
            <w:vMerge w:val="continue"/>
            <w:tcBorders>
              <w:bottom w:val="single" w:color="auto" w:sz="6" w:space="0"/>
              <w:tl2br w:val="nil"/>
              <w:tr2bl w:val="nil"/>
            </w:tcBorders>
            <w:vAlign w:val="center"/>
          </w:tcPr>
          <w:p w14:paraId="79C682EA">
            <w:pPr>
              <w:jc w:val="center"/>
              <w:rPr>
                <w:rFonts w:ascii="Times New Roman" w:hAnsi="Times New Roman" w:eastAsia="宋体" w:cs="Times New Roman"/>
                <w:color w:val="231F20"/>
                <w:sz w:val="18"/>
                <w:szCs w:val="18"/>
                <w:highlight w:val="none"/>
              </w:rPr>
            </w:pPr>
          </w:p>
        </w:tc>
        <w:tc>
          <w:tcPr>
            <w:tcW w:w="1172" w:type="dxa"/>
            <w:vMerge w:val="continue"/>
            <w:tcBorders>
              <w:bottom w:val="single" w:color="auto" w:sz="6" w:space="0"/>
              <w:tl2br w:val="nil"/>
              <w:tr2bl w:val="nil"/>
            </w:tcBorders>
            <w:vAlign w:val="center"/>
          </w:tcPr>
          <w:p w14:paraId="4F994F55">
            <w:pPr>
              <w:jc w:val="center"/>
              <w:rPr>
                <w:rFonts w:ascii="Times New Roman" w:hAnsi="Times New Roman" w:eastAsia="宋体" w:cs="Times New Roman"/>
                <w:color w:val="231F20"/>
                <w:sz w:val="18"/>
                <w:szCs w:val="18"/>
                <w:highlight w:val="none"/>
              </w:rPr>
            </w:pPr>
          </w:p>
        </w:tc>
        <w:tc>
          <w:tcPr>
            <w:tcW w:w="763" w:type="dxa"/>
            <w:vMerge w:val="continue"/>
            <w:tcBorders>
              <w:bottom w:val="single" w:color="auto" w:sz="6" w:space="0"/>
              <w:tl2br w:val="nil"/>
              <w:tr2bl w:val="nil"/>
            </w:tcBorders>
            <w:vAlign w:val="center"/>
          </w:tcPr>
          <w:p w14:paraId="47854153">
            <w:pPr>
              <w:jc w:val="center"/>
              <w:rPr>
                <w:rFonts w:ascii="Times New Roman" w:hAnsi="Times New Roman" w:eastAsia="宋体" w:cs="Times New Roman"/>
                <w:color w:val="231F20"/>
                <w:sz w:val="18"/>
                <w:szCs w:val="18"/>
                <w:highlight w:val="none"/>
              </w:rPr>
            </w:pPr>
          </w:p>
        </w:tc>
        <w:tc>
          <w:tcPr>
            <w:tcW w:w="240" w:type="dxa"/>
            <w:tcBorders>
              <w:bottom w:val="single" w:color="auto" w:sz="6" w:space="0"/>
              <w:tl2br w:val="nil"/>
              <w:tr2bl w:val="nil"/>
            </w:tcBorders>
            <w:noWrap/>
            <w:vAlign w:val="center"/>
          </w:tcPr>
          <w:p w14:paraId="5E27F800">
            <w:pPr>
              <w:jc w:val="center"/>
              <w:rPr>
                <w:rFonts w:ascii="Times New Roman" w:hAnsi="Times New Roman" w:eastAsia="宋体" w:cs="Times New Roman"/>
                <w:color w:val="000000"/>
                <w:sz w:val="18"/>
                <w:szCs w:val="18"/>
                <w:highlight w:val="none"/>
              </w:rPr>
            </w:pPr>
          </w:p>
        </w:tc>
        <w:tc>
          <w:tcPr>
            <w:tcW w:w="1200" w:type="dxa"/>
            <w:vMerge w:val="continue"/>
            <w:tcBorders>
              <w:bottom w:val="single" w:color="auto" w:sz="6" w:space="0"/>
              <w:tl2br w:val="nil"/>
              <w:tr2bl w:val="nil"/>
            </w:tcBorders>
            <w:noWrap/>
            <w:vAlign w:val="center"/>
          </w:tcPr>
          <w:p w14:paraId="3E61F297">
            <w:pPr>
              <w:jc w:val="center"/>
              <w:rPr>
                <w:rFonts w:ascii="Times New Roman" w:hAnsi="Times New Roman" w:eastAsia="宋体" w:cs="Times New Roman"/>
                <w:color w:val="231F20"/>
                <w:sz w:val="18"/>
                <w:szCs w:val="18"/>
                <w:highlight w:val="none"/>
              </w:rPr>
            </w:pPr>
          </w:p>
        </w:tc>
        <w:tc>
          <w:tcPr>
            <w:tcW w:w="645" w:type="dxa"/>
            <w:tcBorders>
              <w:top w:val="single" w:color="000000" w:sz="6" w:space="0"/>
              <w:bottom w:val="single" w:color="auto" w:sz="6" w:space="0"/>
              <w:tl2br w:val="nil"/>
              <w:tr2bl w:val="nil"/>
            </w:tcBorders>
            <w:noWrap/>
            <w:vAlign w:val="center"/>
          </w:tcPr>
          <w:p w14:paraId="4EA4557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2018</w:t>
            </w:r>
          </w:p>
        </w:tc>
        <w:tc>
          <w:tcPr>
            <w:tcW w:w="630" w:type="dxa"/>
            <w:tcBorders>
              <w:top w:val="single" w:color="000000" w:sz="6" w:space="0"/>
              <w:bottom w:val="single" w:color="auto" w:sz="6" w:space="0"/>
              <w:tl2br w:val="nil"/>
              <w:tr2bl w:val="nil"/>
            </w:tcBorders>
            <w:noWrap/>
            <w:vAlign w:val="center"/>
          </w:tcPr>
          <w:p w14:paraId="11704C9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2023</w:t>
            </w:r>
          </w:p>
        </w:tc>
        <w:tc>
          <w:tcPr>
            <w:tcW w:w="701" w:type="dxa"/>
            <w:vMerge w:val="continue"/>
            <w:tcBorders>
              <w:bottom w:val="single" w:color="auto" w:sz="6" w:space="0"/>
              <w:tl2br w:val="nil"/>
              <w:tr2bl w:val="nil"/>
            </w:tcBorders>
            <w:vAlign w:val="center"/>
          </w:tcPr>
          <w:p w14:paraId="1C370ED4">
            <w:pPr>
              <w:jc w:val="center"/>
              <w:rPr>
                <w:rFonts w:ascii="Times New Roman" w:hAnsi="Times New Roman" w:eastAsia="宋体" w:cs="Times New Roman"/>
                <w:color w:val="231F20"/>
                <w:sz w:val="18"/>
                <w:szCs w:val="18"/>
                <w:highlight w:val="none"/>
              </w:rPr>
            </w:pPr>
          </w:p>
        </w:tc>
        <w:tc>
          <w:tcPr>
            <w:tcW w:w="1245" w:type="dxa"/>
            <w:vMerge w:val="continue"/>
            <w:tcBorders>
              <w:bottom w:val="single" w:color="auto" w:sz="6" w:space="0"/>
              <w:tl2br w:val="nil"/>
              <w:tr2bl w:val="nil"/>
            </w:tcBorders>
            <w:vAlign w:val="center"/>
          </w:tcPr>
          <w:p w14:paraId="0740A9EB">
            <w:pPr>
              <w:jc w:val="center"/>
              <w:rPr>
                <w:rFonts w:ascii="Times New Roman" w:hAnsi="Times New Roman" w:eastAsia="宋体" w:cs="Times New Roman"/>
                <w:color w:val="231F20"/>
                <w:sz w:val="18"/>
                <w:szCs w:val="18"/>
                <w:highlight w:val="none"/>
              </w:rPr>
            </w:pPr>
          </w:p>
        </w:tc>
        <w:tc>
          <w:tcPr>
            <w:tcW w:w="840" w:type="dxa"/>
            <w:vMerge w:val="continue"/>
            <w:tcBorders>
              <w:bottom w:val="single" w:color="auto" w:sz="6" w:space="0"/>
              <w:tl2br w:val="nil"/>
              <w:tr2bl w:val="nil"/>
            </w:tcBorders>
            <w:vAlign w:val="center"/>
          </w:tcPr>
          <w:p w14:paraId="56C35A1C">
            <w:pPr>
              <w:jc w:val="center"/>
              <w:rPr>
                <w:rFonts w:ascii="Times New Roman" w:hAnsi="Times New Roman" w:eastAsia="宋体" w:cs="Times New Roman"/>
                <w:color w:val="231F20"/>
                <w:sz w:val="18"/>
                <w:szCs w:val="18"/>
                <w:highlight w:val="none"/>
              </w:rPr>
            </w:pPr>
          </w:p>
        </w:tc>
      </w:tr>
      <w:tr w14:paraId="5A30C03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00" w:type="dxa"/>
            <w:tcBorders>
              <w:top w:val="single" w:color="auto" w:sz="6" w:space="0"/>
            </w:tcBorders>
            <w:noWrap/>
            <w:vAlign w:val="center"/>
          </w:tcPr>
          <w:p w14:paraId="7AB71E4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Lung</w:t>
            </w:r>
          </w:p>
        </w:tc>
        <w:tc>
          <w:tcPr>
            <w:tcW w:w="630" w:type="dxa"/>
            <w:tcBorders>
              <w:top w:val="single" w:color="auto" w:sz="6" w:space="0"/>
            </w:tcBorders>
            <w:noWrap/>
            <w:vAlign w:val="center"/>
          </w:tcPr>
          <w:p w14:paraId="5E113E9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47.68</w:t>
            </w:r>
          </w:p>
        </w:tc>
        <w:tc>
          <w:tcPr>
            <w:tcW w:w="636" w:type="dxa"/>
            <w:tcBorders>
              <w:top w:val="single" w:color="auto" w:sz="6" w:space="0"/>
            </w:tcBorders>
            <w:noWrap/>
            <w:vAlign w:val="center"/>
          </w:tcPr>
          <w:p w14:paraId="569C0F7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53.15</w:t>
            </w:r>
          </w:p>
        </w:tc>
        <w:tc>
          <w:tcPr>
            <w:tcW w:w="774" w:type="dxa"/>
            <w:tcBorders>
              <w:top w:val="single" w:color="auto" w:sz="6" w:space="0"/>
            </w:tcBorders>
            <w:noWrap/>
            <w:vAlign w:val="center"/>
          </w:tcPr>
          <w:p w14:paraId="3C0AEAF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1.93 </w:t>
            </w:r>
          </w:p>
        </w:tc>
        <w:tc>
          <w:tcPr>
            <w:tcW w:w="1200" w:type="dxa"/>
            <w:tcBorders>
              <w:top w:val="single" w:color="auto" w:sz="6" w:space="0"/>
            </w:tcBorders>
            <w:noWrap/>
            <w:vAlign w:val="center"/>
          </w:tcPr>
          <w:p w14:paraId="09E4637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-2.61~6.78</w:t>
            </w:r>
          </w:p>
        </w:tc>
        <w:tc>
          <w:tcPr>
            <w:tcW w:w="762" w:type="dxa"/>
            <w:tcBorders>
              <w:top w:val="single" w:color="auto" w:sz="6" w:space="0"/>
            </w:tcBorders>
            <w:noWrap/>
            <w:vAlign w:val="center"/>
          </w:tcPr>
          <w:p w14:paraId="19C98BE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0.338 </w:t>
            </w:r>
          </w:p>
        </w:tc>
        <w:tc>
          <w:tcPr>
            <w:tcW w:w="243" w:type="dxa"/>
            <w:tcBorders>
              <w:top w:val="single" w:color="auto" w:sz="6" w:space="0"/>
            </w:tcBorders>
            <w:noWrap/>
            <w:vAlign w:val="center"/>
          </w:tcPr>
          <w:p w14:paraId="6407E591">
            <w:pPr>
              <w:jc w:val="center"/>
              <w:rPr>
                <w:rFonts w:ascii="Times New Roman" w:hAnsi="Times New Roman" w:eastAsia="宋体" w:cs="Times New Roman"/>
                <w:color w:val="000000"/>
                <w:sz w:val="18"/>
                <w:szCs w:val="18"/>
                <w:highlight w:val="none"/>
              </w:rPr>
            </w:pPr>
          </w:p>
        </w:tc>
        <w:tc>
          <w:tcPr>
            <w:tcW w:w="1272" w:type="dxa"/>
            <w:tcBorders>
              <w:top w:val="single" w:color="auto" w:sz="6" w:space="0"/>
            </w:tcBorders>
            <w:noWrap/>
            <w:vAlign w:val="center"/>
          </w:tcPr>
          <w:p w14:paraId="1DFED9A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Lung</w:t>
            </w:r>
          </w:p>
        </w:tc>
        <w:tc>
          <w:tcPr>
            <w:tcW w:w="630" w:type="dxa"/>
            <w:tcBorders>
              <w:top w:val="single" w:color="auto" w:sz="6" w:space="0"/>
            </w:tcBorders>
            <w:noWrap/>
            <w:vAlign w:val="center"/>
          </w:tcPr>
          <w:p w14:paraId="54F167D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66.03</w:t>
            </w:r>
          </w:p>
        </w:tc>
        <w:tc>
          <w:tcPr>
            <w:tcW w:w="675" w:type="dxa"/>
            <w:tcBorders>
              <w:top w:val="single" w:color="auto" w:sz="6" w:space="0"/>
            </w:tcBorders>
            <w:noWrap/>
            <w:vAlign w:val="center"/>
          </w:tcPr>
          <w:p w14:paraId="4C295A1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75.9</w:t>
            </w:r>
          </w:p>
        </w:tc>
        <w:tc>
          <w:tcPr>
            <w:tcW w:w="750" w:type="dxa"/>
            <w:tcBorders>
              <w:top w:val="single" w:color="auto" w:sz="6" w:space="0"/>
            </w:tcBorders>
            <w:noWrap/>
            <w:vAlign w:val="center"/>
          </w:tcPr>
          <w:p w14:paraId="69727DB8">
            <w:pPr>
              <w:widowControl/>
              <w:jc w:val="center"/>
              <w:textAlignment w:val="center"/>
              <w:rPr>
                <w:rFonts w:ascii="Times New Roman" w:hAnsi="Times New Roman" w:eastAsia="宋体" w:cs="Times New Roman"/>
                <w:color w:val="000000"/>
                <w:sz w:val="18"/>
                <w:szCs w:val="18"/>
                <w:highlight w:val="none"/>
              </w:rPr>
            </w:pPr>
            <w:r>
              <w:rPr>
                <w:rFonts w:ascii="Times New Roman" w:hAnsi="Times New Roman" w:eastAsia="宋体" w:cs="Times New Roman"/>
                <w:color w:val="000000"/>
                <w:kern w:val="0"/>
                <w:sz w:val="18"/>
                <w:szCs w:val="18"/>
                <w:highlight w:val="none"/>
                <w:lang w:bidi="ar"/>
              </w:rPr>
              <w:t xml:space="preserve">2.57 </w:t>
            </w:r>
          </w:p>
        </w:tc>
        <w:tc>
          <w:tcPr>
            <w:tcW w:w="1172" w:type="dxa"/>
            <w:tcBorders>
              <w:top w:val="single" w:color="auto" w:sz="6" w:space="0"/>
            </w:tcBorders>
            <w:noWrap/>
            <w:vAlign w:val="center"/>
          </w:tcPr>
          <w:p w14:paraId="684DF9B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-3.1</w:t>
            </w:r>
            <w:r>
              <w:rPr>
                <w:rFonts w:hint="eastAsia" w:ascii="Times New Roman" w:hAnsi="Times New Roman" w:eastAsia="宋体" w:cs="Times New Roman"/>
                <w:color w:val="231F20"/>
                <w:kern w:val="0"/>
                <w:sz w:val="18"/>
                <w:szCs w:val="18"/>
                <w:highlight w:val="none"/>
                <w:lang w:bidi="ar"/>
              </w:rPr>
              <w:t>0</w:t>
            </w:r>
            <w:r>
              <w:rPr>
                <w:rFonts w:ascii="Times New Roman" w:hAnsi="Times New Roman" w:eastAsia="宋体" w:cs="Times New Roman"/>
                <w:color w:val="231F20"/>
                <w:kern w:val="0"/>
                <w:sz w:val="18"/>
                <w:szCs w:val="18"/>
                <w:highlight w:val="none"/>
                <w:lang w:bidi="ar"/>
              </w:rPr>
              <w:t>~8.71</w:t>
            </w:r>
          </w:p>
        </w:tc>
        <w:tc>
          <w:tcPr>
            <w:tcW w:w="763" w:type="dxa"/>
            <w:tcBorders>
              <w:top w:val="single" w:color="auto" w:sz="6" w:space="0"/>
            </w:tcBorders>
            <w:noWrap/>
            <w:vAlign w:val="center"/>
          </w:tcPr>
          <w:p w14:paraId="12720E0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0.320 </w:t>
            </w:r>
          </w:p>
        </w:tc>
        <w:tc>
          <w:tcPr>
            <w:tcW w:w="240" w:type="dxa"/>
            <w:tcBorders>
              <w:top w:val="single" w:color="auto" w:sz="6" w:space="0"/>
            </w:tcBorders>
            <w:noWrap/>
            <w:vAlign w:val="center"/>
          </w:tcPr>
          <w:p w14:paraId="3C917BB0">
            <w:pPr>
              <w:jc w:val="center"/>
              <w:rPr>
                <w:rFonts w:ascii="Times New Roman" w:hAnsi="Times New Roman" w:eastAsia="宋体" w:cs="Times New Roman"/>
                <w:color w:val="000000"/>
                <w:sz w:val="18"/>
                <w:szCs w:val="18"/>
                <w:highlight w:val="none"/>
              </w:rPr>
            </w:pPr>
          </w:p>
        </w:tc>
        <w:tc>
          <w:tcPr>
            <w:tcW w:w="1200" w:type="dxa"/>
            <w:tcBorders>
              <w:top w:val="single" w:color="auto" w:sz="6" w:space="0"/>
            </w:tcBorders>
            <w:noWrap/>
            <w:vAlign w:val="center"/>
          </w:tcPr>
          <w:p w14:paraId="3442D18D">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Lung</w:t>
            </w:r>
          </w:p>
        </w:tc>
        <w:tc>
          <w:tcPr>
            <w:tcW w:w="645" w:type="dxa"/>
            <w:tcBorders>
              <w:top w:val="single" w:color="auto" w:sz="6" w:space="0"/>
            </w:tcBorders>
            <w:noWrap/>
            <w:vAlign w:val="center"/>
          </w:tcPr>
          <w:p w14:paraId="026DD40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28.01</w:t>
            </w:r>
          </w:p>
        </w:tc>
        <w:tc>
          <w:tcPr>
            <w:tcW w:w="630" w:type="dxa"/>
            <w:tcBorders>
              <w:top w:val="single" w:color="auto" w:sz="6" w:space="0"/>
            </w:tcBorders>
            <w:noWrap/>
            <w:vAlign w:val="center"/>
          </w:tcPr>
          <w:p w14:paraId="4A6D020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28.76</w:t>
            </w:r>
          </w:p>
        </w:tc>
        <w:tc>
          <w:tcPr>
            <w:tcW w:w="701" w:type="dxa"/>
            <w:tcBorders>
              <w:top w:val="single" w:color="auto" w:sz="6" w:space="0"/>
            </w:tcBorders>
            <w:noWrap/>
            <w:vAlign w:val="center"/>
          </w:tcPr>
          <w:p w14:paraId="52F320A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0.14 </w:t>
            </w:r>
          </w:p>
        </w:tc>
        <w:tc>
          <w:tcPr>
            <w:tcW w:w="1245" w:type="dxa"/>
            <w:tcBorders>
              <w:top w:val="single" w:color="auto" w:sz="6" w:space="0"/>
            </w:tcBorders>
            <w:noWrap/>
            <w:vAlign w:val="center"/>
          </w:tcPr>
          <w:p w14:paraId="5437B4C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-0.64~0.88</w:t>
            </w:r>
          </w:p>
        </w:tc>
        <w:tc>
          <w:tcPr>
            <w:tcW w:w="840" w:type="dxa"/>
            <w:tcBorders>
              <w:top w:val="single" w:color="auto" w:sz="6" w:space="0"/>
            </w:tcBorders>
            <w:noWrap/>
            <w:vAlign w:val="center"/>
          </w:tcPr>
          <w:p w14:paraId="781F0C8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0.731 </w:t>
            </w:r>
          </w:p>
        </w:tc>
      </w:tr>
      <w:tr w14:paraId="0596755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00" w:type="dxa"/>
            <w:noWrap/>
            <w:vAlign w:val="center"/>
          </w:tcPr>
          <w:p w14:paraId="1B4B76F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Liver</w:t>
            </w:r>
          </w:p>
        </w:tc>
        <w:tc>
          <w:tcPr>
            <w:tcW w:w="630" w:type="dxa"/>
            <w:noWrap/>
            <w:vAlign w:val="center"/>
          </w:tcPr>
          <w:p w14:paraId="391FD24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31.42</w:t>
            </w:r>
          </w:p>
        </w:tc>
        <w:tc>
          <w:tcPr>
            <w:tcW w:w="636" w:type="dxa"/>
            <w:noWrap/>
            <w:vAlign w:val="center"/>
          </w:tcPr>
          <w:p w14:paraId="14D29A8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30.33</w:t>
            </w:r>
          </w:p>
        </w:tc>
        <w:tc>
          <w:tcPr>
            <w:tcW w:w="774" w:type="dxa"/>
            <w:noWrap/>
            <w:vAlign w:val="center"/>
          </w:tcPr>
          <w:p w14:paraId="6E7EF16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-1.48 </w:t>
            </w:r>
          </w:p>
        </w:tc>
        <w:tc>
          <w:tcPr>
            <w:tcW w:w="1200" w:type="dxa"/>
            <w:noWrap/>
            <w:vAlign w:val="center"/>
          </w:tcPr>
          <w:p w14:paraId="16FEE2E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-5.6</w:t>
            </w:r>
            <w:r>
              <w:rPr>
                <w:rFonts w:hint="eastAsia" w:ascii="Times New Roman" w:hAnsi="Times New Roman" w:eastAsia="宋体" w:cs="Times New Roman"/>
                <w:color w:val="231F20"/>
                <w:kern w:val="0"/>
                <w:sz w:val="18"/>
                <w:szCs w:val="18"/>
                <w:highlight w:val="none"/>
                <w:lang w:bidi="ar"/>
              </w:rPr>
              <w:t>0</w:t>
            </w:r>
            <w:r>
              <w:rPr>
                <w:rFonts w:ascii="Times New Roman" w:hAnsi="Times New Roman" w:eastAsia="宋体" w:cs="Times New Roman"/>
                <w:color w:val="231F20"/>
                <w:kern w:val="0"/>
                <w:sz w:val="18"/>
                <w:szCs w:val="18"/>
                <w:highlight w:val="none"/>
                <w:lang w:bidi="ar"/>
              </w:rPr>
              <w:t>~2.6</w:t>
            </w:r>
            <w:r>
              <w:rPr>
                <w:rFonts w:hint="eastAsia" w:ascii="Times New Roman" w:hAnsi="Times New Roman" w:eastAsia="宋体" w:cs="Times New Roman"/>
                <w:color w:val="231F20"/>
                <w:kern w:val="0"/>
                <w:sz w:val="18"/>
                <w:szCs w:val="18"/>
                <w:highlight w:val="none"/>
                <w:lang w:bidi="ar"/>
              </w:rPr>
              <w:t>0</w:t>
            </w:r>
          </w:p>
        </w:tc>
        <w:tc>
          <w:tcPr>
            <w:tcW w:w="762" w:type="dxa"/>
            <w:noWrap/>
            <w:vAlign w:val="center"/>
          </w:tcPr>
          <w:p w14:paraId="4B5317C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0.380 </w:t>
            </w:r>
          </w:p>
        </w:tc>
        <w:tc>
          <w:tcPr>
            <w:tcW w:w="243" w:type="dxa"/>
            <w:noWrap/>
            <w:vAlign w:val="center"/>
          </w:tcPr>
          <w:p w14:paraId="4DC3E3B1">
            <w:pPr>
              <w:jc w:val="center"/>
              <w:rPr>
                <w:rFonts w:ascii="Times New Roman" w:hAnsi="Times New Roman" w:eastAsia="宋体" w:cs="Times New Roman"/>
                <w:color w:val="000000"/>
                <w:sz w:val="18"/>
                <w:szCs w:val="18"/>
                <w:highlight w:val="none"/>
              </w:rPr>
            </w:pPr>
          </w:p>
        </w:tc>
        <w:tc>
          <w:tcPr>
            <w:tcW w:w="1272" w:type="dxa"/>
            <w:noWrap/>
            <w:vAlign w:val="center"/>
          </w:tcPr>
          <w:p w14:paraId="6F02D23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Liver</w:t>
            </w:r>
          </w:p>
        </w:tc>
        <w:tc>
          <w:tcPr>
            <w:tcW w:w="630" w:type="dxa"/>
            <w:noWrap/>
            <w:vAlign w:val="center"/>
          </w:tcPr>
          <w:p w14:paraId="5A469A4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45.71</w:t>
            </w:r>
          </w:p>
        </w:tc>
        <w:tc>
          <w:tcPr>
            <w:tcW w:w="675" w:type="dxa"/>
            <w:noWrap/>
            <w:vAlign w:val="center"/>
          </w:tcPr>
          <w:p w14:paraId="6199BF5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45.53</w:t>
            </w:r>
          </w:p>
        </w:tc>
        <w:tc>
          <w:tcPr>
            <w:tcW w:w="750" w:type="dxa"/>
            <w:noWrap/>
            <w:vAlign w:val="center"/>
          </w:tcPr>
          <w:p w14:paraId="624EE1E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-0.74 </w:t>
            </w:r>
          </w:p>
        </w:tc>
        <w:tc>
          <w:tcPr>
            <w:tcW w:w="1172" w:type="dxa"/>
            <w:noWrap/>
            <w:vAlign w:val="center"/>
          </w:tcPr>
          <w:p w14:paraId="073DE8BD">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-5.04~3.66</w:t>
            </w:r>
          </w:p>
        </w:tc>
        <w:tc>
          <w:tcPr>
            <w:tcW w:w="763" w:type="dxa"/>
            <w:noWrap/>
            <w:vAlign w:val="center"/>
          </w:tcPr>
          <w:p w14:paraId="6D16518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0.612 </w:t>
            </w:r>
          </w:p>
        </w:tc>
        <w:tc>
          <w:tcPr>
            <w:tcW w:w="240" w:type="dxa"/>
            <w:noWrap/>
            <w:vAlign w:val="center"/>
          </w:tcPr>
          <w:p w14:paraId="0C41C092">
            <w:pPr>
              <w:jc w:val="center"/>
              <w:rPr>
                <w:rFonts w:ascii="Times New Roman" w:hAnsi="Times New Roman" w:eastAsia="宋体" w:cs="Times New Roman"/>
                <w:color w:val="000000"/>
                <w:sz w:val="18"/>
                <w:szCs w:val="18"/>
                <w:highlight w:val="none"/>
              </w:rPr>
            </w:pPr>
          </w:p>
        </w:tc>
        <w:tc>
          <w:tcPr>
            <w:tcW w:w="1200" w:type="dxa"/>
            <w:noWrap/>
            <w:vAlign w:val="center"/>
          </w:tcPr>
          <w:p w14:paraId="51855A8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Stomach</w:t>
            </w:r>
          </w:p>
        </w:tc>
        <w:tc>
          <w:tcPr>
            <w:tcW w:w="645" w:type="dxa"/>
            <w:noWrap/>
            <w:vAlign w:val="center"/>
          </w:tcPr>
          <w:p w14:paraId="03EE134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16.67</w:t>
            </w:r>
          </w:p>
        </w:tc>
        <w:tc>
          <w:tcPr>
            <w:tcW w:w="630" w:type="dxa"/>
            <w:noWrap/>
            <w:vAlign w:val="center"/>
          </w:tcPr>
          <w:p w14:paraId="5F6673C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14.97</w:t>
            </w:r>
          </w:p>
        </w:tc>
        <w:tc>
          <w:tcPr>
            <w:tcW w:w="701" w:type="dxa"/>
            <w:noWrap/>
            <w:vAlign w:val="center"/>
          </w:tcPr>
          <w:p w14:paraId="7874126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-2.05 </w:t>
            </w:r>
          </w:p>
        </w:tc>
        <w:tc>
          <w:tcPr>
            <w:tcW w:w="1245" w:type="dxa"/>
            <w:noWrap/>
            <w:vAlign w:val="center"/>
          </w:tcPr>
          <w:p w14:paraId="17F2B7F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-9.82~5.85</w:t>
            </w:r>
          </w:p>
        </w:tc>
        <w:tc>
          <w:tcPr>
            <w:tcW w:w="840" w:type="dxa"/>
            <w:noWrap/>
            <w:vAlign w:val="center"/>
          </w:tcPr>
          <w:p w14:paraId="55890BC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0.542 </w:t>
            </w:r>
          </w:p>
        </w:tc>
      </w:tr>
      <w:tr w14:paraId="1984374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00" w:type="dxa"/>
            <w:tcBorders>
              <w:tl2br w:val="nil"/>
              <w:tr2bl w:val="nil"/>
            </w:tcBorders>
            <w:noWrap/>
            <w:vAlign w:val="center"/>
          </w:tcPr>
          <w:p w14:paraId="78214BF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Stomach</w:t>
            </w:r>
          </w:p>
        </w:tc>
        <w:tc>
          <w:tcPr>
            <w:tcW w:w="630" w:type="dxa"/>
            <w:tcBorders>
              <w:tl2br w:val="nil"/>
              <w:tr2bl w:val="nil"/>
            </w:tcBorders>
            <w:noWrap/>
            <w:vAlign w:val="center"/>
          </w:tcPr>
          <w:p w14:paraId="306C6B7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30.57</w:t>
            </w:r>
          </w:p>
        </w:tc>
        <w:tc>
          <w:tcPr>
            <w:tcW w:w="636" w:type="dxa"/>
            <w:tcBorders>
              <w:tl2br w:val="nil"/>
              <w:tr2bl w:val="nil"/>
            </w:tcBorders>
            <w:noWrap/>
            <w:vAlign w:val="center"/>
          </w:tcPr>
          <w:p w14:paraId="4A63B68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29.93</w:t>
            </w:r>
          </w:p>
        </w:tc>
        <w:tc>
          <w:tcPr>
            <w:tcW w:w="774" w:type="dxa"/>
            <w:tcBorders>
              <w:tl2br w:val="nil"/>
              <w:tr2bl w:val="nil"/>
            </w:tcBorders>
            <w:noWrap/>
            <w:vAlign w:val="center"/>
          </w:tcPr>
          <w:p w14:paraId="6E5E545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-0.35 </w:t>
            </w:r>
          </w:p>
        </w:tc>
        <w:tc>
          <w:tcPr>
            <w:tcW w:w="1200" w:type="dxa"/>
            <w:tcBorders>
              <w:tl2br w:val="nil"/>
              <w:tr2bl w:val="nil"/>
            </w:tcBorders>
            <w:noWrap/>
            <w:vAlign w:val="center"/>
          </w:tcPr>
          <w:p w14:paraId="33D7BFF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-5.93~5.52</w:t>
            </w:r>
          </w:p>
        </w:tc>
        <w:tc>
          <w:tcPr>
            <w:tcW w:w="762" w:type="dxa"/>
            <w:tcBorders>
              <w:tl2br w:val="nil"/>
              <w:tr2bl w:val="nil"/>
            </w:tcBorders>
            <w:noWrap/>
            <w:vAlign w:val="center"/>
          </w:tcPr>
          <w:p w14:paraId="76EC3F8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0.836 </w:t>
            </w:r>
          </w:p>
        </w:tc>
        <w:tc>
          <w:tcPr>
            <w:tcW w:w="243" w:type="dxa"/>
            <w:tcBorders>
              <w:tl2br w:val="nil"/>
              <w:tr2bl w:val="nil"/>
            </w:tcBorders>
            <w:noWrap/>
            <w:vAlign w:val="center"/>
          </w:tcPr>
          <w:p w14:paraId="604DB485">
            <w:pPr>
              <w:jc w:val="center"/>
              <w:rPr>
                <w:rFonts w:ascii="Times New Roman" w:hAnsi="Times New Roman" w:eastAsia="宋体" w:cs="Times New Roman"/>
                <w:color w:val="000000"/>
                <w:sz w:val="18"/>
                <w:szCs w:val="18"/>
                <w:highlight w:val="none"/>
              </w:rPr>
            </w:pPr>
          </w:p>
        </w:tc>
        <w:tc>
          <w:tcPr>
            <w:tcW w:w="1272" w:type="dxa"/>
            <w:tcBorders>
              <w:tl2br w:val="nil"/>
              <w:tr2bl w:val="nil"/>
            </w:tcBorders>
            <w:noWrap/>
            <w:vAlign w:val="center"/>
          </w:tcPr>
          <w:p w14:paraId="20133F0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Stomach</w:t>
            </w:r>
          </w:p>
        </w:tc>
        <w:tc>
          <w:tcPr>
            <w:tcW w:w="630" w:type="dxa"/>
            <w:tcBorders>
              <w:tl2br w:val="nil"/>
              <w:tr2bl w:val="nil"/>
            </w:tcBorders>
            <w:noWrap/>
            <w:vAlign w:val="center"/>
          </w:tcPr>
          <w:p w14:paraId="1D662B9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43.54</w:t>
            </w:r>
          </w:p>
        </w:tc>
        <w:tc>
          <w:tcPr>
            <w:tcW w:w="675" w:type="dxa"/>
            <w:tcBorders>
              <w:tl2br w:val="nil"/>
              <w:tr2bl w:val="nil"/>
            </w:tcBorders>
            <w:noWrap/>
            <w:vAlign w:val="center"/>
          </w:tcPr>
          <w:p w14:paraId="73A3FCB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43.89</w:t>
            </w:r>
          </w:p>
        </w:tc>
        <w:tc>
          <w:tcPr>
            <w:tcW w:w="750" w:type="dxa"/>
            <w:tcBorders>
              <w:tl2br w:val="nil"/>
              <w:tr2bl w:val="nil"/>
            </w:tcBorders>
            <w:noWrap/>
            <w:vAlign w:val="center"/>
          </w:tcPr>
          <w:p w14:paraId="75234B7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0.29 </w:t>
            </w:r>
          </w:p>
        </w:tc>
        <w:tc>
          <w:tcPr>
            <w:tcW w:w="1172" w:type="dxa"/>
            <w:tcBorders>
              <w:tl2br w:val="nil"/>
              <w:tr2bl w:val="nil"/>
            </w:tcBorders>
            <w:noWrap/>
            <w:vAlign w:val="center"/>
          </w:tcPr>
          <w:p w14:paraId="6613745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-2.24~2.87</w:t>
            </w:r>
          </w:p>
        </w:tc>
        <w:tc>
          <w:tcPr>
            <w:tcW w:w="763" w:type="dxa"/>
            <w:tcBorders>
              <w:tl2br w:val="nil"/>
              <w:tr2bl w:val="nil"/>
            </w:tcBorders>
            <w:noWrap/>
            <w:vAlign w:val="center"/>
          </w:tcPr>
          <w:p w14:paraId="1363128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0.834 </w:t>
            </w:r>
          </w:p>
        </w:tc>
        <w:tc>
          <w:tcPr>
            <w:tcW w:w="240" w:type="dxa"/>
            <w:tcBorders>
              <w:tl2br w:val="nil"/>
              <w:tr2bl w:val="nil"/>
            </w:tcBorders>
            <w:noWrap/>
            <w:vAlign w:val="center"/>
          </w:tcPr>
          <w:p w14:paraId="5ACADEF2">
            <w:pPr>
              <w:jc w:val="center"/>
              <w:rPr>
                <w:rFonts w:ascii="Times New Roman" w:hAnsi="Times New Roman" w:eastAsia="宋体" w:cs="Times New Roman"/>
                <w:color w:val="000000"/>
                <w:sz w:val="18"/>
                <w:szCs w:val="18"/>
                <w:highlight w:val="none"/>
              </w:rPr>
            </w:pPr>
          </w:p>
        </w:tc>
        <w:tc>
          <w:tcPr>
            <w:tcW w:w="1200" w:type="dxa"/>
            <w:tcBorders>
              <w:tl2br w:val="nil"/>
              <w:tr2bl w:val="nil"/>
            </w:tcBorders>
            <w:noWrap/>
            <w:vAlign w:val="center"/>
          </w:tcPr>
          <w:p w14:paraId="33D7C73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Liver</w:t>
            </w:r>
          </w:p>
        </w:tc>
        <w:tc>
          <w:tcPr>
            <w:tcW w:w="645" w:type="dxa"/>
            <w:tcBorders>
              <w:tl2br w:val="nil"/>
              <w:tr2bl w:val="nil"/>
            </w:tcBorders>
            <w:noWrap/>
            <w:vAlign w:val="center"/>
          </w:tcPr>
          <w:p w14:paraId="7801CED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16.04</w:t>
            </w:r>
          </w:p>
        </w:tc>
        <w:tc>
          <w:tcPr>
            <w:tcW w:w="630" w:type="dxa"/>
            <w:tcBorders>
              <w:tl2br w:val="nil"/>
              <w:tr2bl w:val="nil"/>
            </w:tcBorders>
            <w:noWrap/>
            <w:vAlign w:val="center"/>
          </w:tcPr>
          <w:p w14:paraId="7868C36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14.03</w:t>
            </w:r>
          </w:p>
        </w:tc>
        <w:tc>
          <w:tcPr>
            <w:tcW w:w="701" w:type="dxa"/>
            <w:tcBorders>
              <w:tl2br w:val="nil"/>
              <w:tr2bl w:val="nil"/>
            </w:tcBorders>
            <w:noWrap/>
            <w:vAlign w:val="center"/>
          </w:tcPr>
          <w:p w14:paraId="661C3FC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-3.81 </w:t>
            </w:r>
          </w:p>
        </w:tc>
        <w:tc>
          <w:tcPr>
            <w:tcW w:w="1245" w:type="dxa"/>
            <w:tcBorders>
              <w:tl2br w:val="nil"/>
              <w:tr2bl w:val="nil"/>
            </w:tcBorders>
            <w:noWrap/>
            <w:vAlign w:val="center"/>
          </w:tcPr>
          <w:p w14:paraId="64C7592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-8.31~0.43</w:t>
            </w:r>
          </w:p>
        </w:tc>
        <w:tc>
          <w:tcPr>
            <w:tcW w:w="840" w:type="dxa"/>
            <w:tcBorders>
              <w:tl2br w:val="nil"/>
              <w:tr2bl w:val="nil"/>
            </w:tcBorders>
            <w:noWrap/>
            <w:vAlign w:val="center"/>
          </w:tcPr>
          <w:p w14:paraId="4EB53A2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0.082 </w:t>
            </w:r>
          </w:p>
        </w:tc>
      </w:tr>
      <w:tr w14:paraId="0D3E80D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00" w:type="dxa"/>
            <w:tcBorders>
              <w:tl2br w:val="nil"/>
              <w:tr2bl w:val="nil"/>
            </w:tcBorders>
            <w:noWrap/>
            <w:vAlign w:val="center"/>
          </w:tcPr>
          <w:p w14:paraId="004A054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Esophagus</w:t>
            </w:r>
          </w:p>
        </w:tc>
        <w:tc>
          <w:tcPr>
            <w:tcW w:w="630" w:type="dxa"/>
            <w:tcBorders>
              <w:tl2br w:val="nil"/>
              <w:tr2bl w:val="nil"/>
            </w:tcBorders>
            <w:noWrap/>
            <w:vAlign w:val="center"/>
          </w:tcPr>
          <w:p w14:paraId="32B91DC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23.35</w:t>
            </w:r>
          </w:p>
        </w:tc>
        <w:tc>
          <w:tcPr>
            <w:tcW w:w="636" w:type="dxa"/>
            <w:tcBorders>
              <w:tl2br w:val="nil"/>
              <w:tr2bl w:val="nil"/>
            </w:tcBorders>
            <w:noWrap/>
            <w:vAlign w:val="center"/>
          </w:tcPr>
          <w:p w14:paraId="02B842D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25.03</w:t>
            </w:r>
          </w:p>
        </w:tc>
        <w:tc>
          <w:tcPr>
            <w:tcW w:w="774" w:type="dxa"/>
            <w:tcBorders>
              <w:tl2br w:val="nil"/>
              <w:tr2bl w:val="nil"/>
            </w:tcBorders>
            <w:noWrap/>
            <w:vAlign w:val="center"/>
          </w:tcPr>
          <w:p w14:paraId="71E941B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1.40 </w:t>
            </w:r>
          </w:p>
        </w:tc>
        <w:tc>
          <w:tcPr>
            <w:tcW w:w="1200" w:type="dxa"/>
            <w:tcBorders>
              <w:tl2br w:val="nil"/>
              <w:tr2bl w:val="nil"/>
            </w:tcBorders>
            <w:noWrap/>
            <w:vAlign w:val="center"/>
          </w:tcPr>
          <w:p w14:paraId="1C8BF7B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-0.88~3.69</w:t>
            </w:r>
          </w:p>
        </w:tc>
        <w:tc>
          <w:tcPr>
            <w:tcW w:w="762" w:type="dxa"/>
            <w:tcBorders>
              <w:tl2br w:val="nil"/>
              <w:tr2bl w:val="nil"/>
            </w:tcBorders>
            <w:noWrap/>
            <w:vAlign w:val="center"/>
          </w:tcPr>
          <w:p w14:paraId="40ABAC7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0.246 </w:t>
            </w:r>
          </w:p>
        </w:tc>
        <w:tc>
          <w:tcPr>
            <w:tcW w:w="243" w:type="dxa"/>
            <w:tcBorders>
              <w:tl2br w:val="nil"/>
              <w:tr2bl w:val="nil"/>
            </w:tcBorders>
            <w:noWrap/>
            <w:vAlign w:val="center"/>
          </w:tcPr>
          <w:p w14:paraId="1503D115">
            <w:pPr>
              <w:jc w:val="center"/>
              <w:rPr>
                <w:rFonts w:ascii="Times New Roman" w:hAnsi="Times New Roman" w:eastAsia="宋体" w:cs="Times New Roman"/>
                <w:color w:val="000000"/>
                <w:sz w:val="18"/>
                <w:szCs w:val="18"/>
                <w:highlight w:val="none"/>
              </w:rPr>
            </w:pPr>
          </w:p>
        </w:tc>
        <w:tc>
          <w:tcPr>
            <w:tcW w:w="1272" w:type="dxa"/>
            <w:tcBorders>
              <w:tl2br w:val="nil"/>
              <w:tr2bl w:val="nil"/>
            </w:tcBorders>
            <w:noWrap/>
            <w:vAlign w:val="center"/>
          </w:tcPr>
          <w:p w14:paraId="4E78DE88">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Esophagus</w:t>
            </w:r>
          </w:p>
        </w:tc>
        <w:tc>
          <w:tcPr>
            <w:tcW w:w="630" w:type="dxa"/>
            <w:tcBorders>
              <w:tl2br w:val="nil"/>
              <w:tr2bl w:val="nil"/>
            </w:tcBorders>
            <w:noWrap/>
            <w:vAlign w:val="center"/>
          </w:tcPr>
          <w:p w14:paraId="0DFDE15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32.12</w:t>
            </w:r>
          </w:p>
        </w:tc>
        <w:tc>
          <w:tcPr>
            <w:tcW w:w="675" w:type="dxa"/>
            <w:tcBorders>
              <w:tl2br w:val="nil"/>
              <w:tr2bl w:val="nil"/>
            </w:tcBorders>
            <w:noWrap/>
            <w:vAlign w:val="center"/>
          </w:tcPr>
          <w:p w14:paraId="5FB9DF6D">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34.91</w:t>
            </w:r>
          </w:p>
        </w:tc>
        <w:tc>
          <w:tcPr>
            <w:tcW w:w="750" w:type="dxa"/>
            <w:tcBorders>
              <w:tl2br w:val="nil"/>
              <w:tr2bl w:val="nil"/>
            </w:tcBorders>
            <w:noWrap/>
            <w:vAlign w:val="center"/>
          </w:tcPr>
          <w:p w14:paraId="78BD543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1.85 </w:t>
            </w:r>
          </w:p>
        </w:tc>
        <w:tc>
          <w:tcPr>
            <w:tcW w:w="1172" w:type="dxa"/>
            <w:tcBorders>
              <w:tl2br w:val="nil"/>
              <w:tr2bl w:val="nil"/>
            </w:tcBorders>
            <w:noWrap/>
            <w:vAlign w:val="center"/>
          </w:tcPr>
          <w:p w14:paraId="12552A0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-1.95~5.67</w:t>
            </w:r>
          </w:p>
        </w:tc>
        <w:tc>
          <w:tcPr>
            <w:tcW w:w="763" w:type="dxa"/>
            <w:tcBorders>
              <w:tl2br w:val="nil"/>
              <w:tr2bl w:val="nil"/>
            </w:tcBorders>
            <w:noWrap/>
            <w:vAlign w:val="center"/>
          </w:tcPr>
          <w:p w14:paraId="683A639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0.337 </w:t>
            </w:r>
          </w:p>
        </w:tc>
        <w:tc>
          <w:tcPr>
            <w:tcW w:w="240" w:type="dxa"/>
            <w:tcBorders>
              <w:tl2br w:val="nil"/>
              <w:tr2bl w:val="nil"/>
            </w:tcBorders>
            <w:noWrap/>
            <w:vAlign w:val="center"/>
          </w:tcPr>
          <w:p w14:paraId="230AE31C">
            <w:pPr>
              <w:jc w:val="center"/>
              <w:rPr>
                <w:rFonts w:ascii="Times New Roman" w:hAnsi="Times New Roman" w:eastAsia="宋体" w:cs="Times New Roman"/>
                <w:color w:val="000000"/>
                <w:sz w:val="18"/>
                <w:szCs w:val="18"/>
                <w:highlight w:val="none"/>
              </w:rPr>
            </w:pPr>
          </w:p>
        </w:tc>
        <w:tc>
          <w:tcPr>
            <w:tcW w:w="1200" w:type="dxa"/>
            <w:tcBorders>
              <w:tl2br w:val="nil"/>
              <w:tr2bl w:val="nil"/>
            </w:tcBorders>
            <w:noWrap/>
            <w:vAlign w:val="center"/>
          </w:tcPr>
          <w:p w14:paraId="73B7617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Esophagus</w:t>
            </w:r>
          </w:p>
        </w:tc>
        <w:tc>
          <w:tcPr>
            <w:tcW w:w="645" w:type="dxa"/>
            <w:tcBorders>
              <w:tl2br w:val="nil"/>
              <w:tr2bl w:val="nil"/>
            </w:tcBorders>
            <w:noWrap/>
            <w:vAlign w:val="center"/>
          </w:tcPr>
          <w:p w14:paraId="5D2215B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13.95</w:t>
            </w:r>
          </w:p>
        </w:tc>
        <w:tc>
          <w:tcPr>
            <w:tcW w:w="630" w:type="dxa"/>
            <w:tcBorders>
              <w:tl2br w:val="nil"/>
              <w:tr2bl w:val="nil"/>
            </w:tcBorders>
            <w:noWrap/>
            <w:vAlign w:val="center"/>
          </w:tcPr>
          <w:p w14:paraId="7FA7525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14.44</w:t>
            </w:r>
          </w:p>
        </w:tc>
        <w:tc>
          <w:tcPr>
            <w:tcW w:w="701" w:type="dxa"/>
            <w:tcBorders>
              <w:tl2br w:val="nil"/>
              <w:tr2bl w:val="nil"/>
            </w:tcBorders>
            <w:noWrap/>
            <w:vAlign w:val="center"/>
          </w:tcPr>
          <w:p w14:paraId="510F878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0.22 </w:t>
            </w:r>
          </w:p>
        </w:tc>
        <w:tc>
          <w:tcPr>
            <w:tcW w:w="1245" w:type="dxa"/>
            <w:tcBorders>
              <w:tl2br w:val="nil"/>
              <w:tr2bl w:val="nil"/>
            </w:tcBorders>
            <w:noWrap/>
            <w:vAlign w:val="center"/>
          </w:tcPr>
          <w:p w14:paraId="5BD067C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-2.66~2.99</w:t>
            </w:r>
          </w:p>
        </w:tc>
        <w:tc>
          <w:tcPr>
            <w:tcW w:w="840" w:type="dxa"/>
            <w:tcBorders>
              <w:tl2br w:val="nil"/>
              <w:tr2bl w:val="nil"/>
            </w:tcBorders>
            <w:noWrap/>
            <w:vAlign w:val="center"/>
          </w:tcPr>
          <w:p w14:paraId="6529BCD7">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0.875 </w:t>
            </w:r>
          </w:p>
        </w:tc>
      </w:tr>
      <w:tr w14:paraId="26E8986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00" w:type="dxa"/>
            <w:tcBorders>
              <w:tl2br w:val="nil"/>
              <w:tr2bl w:val="nil"/>
            </w:tcBorders>
            <w:noWrap/>
            <w:vAlign w:val="center"/>
          </w:tcPr>
          <w:p w14:paraId="31E2625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Colorectum</w:t>
            </w:r>
          </w:p>
        </w:tc>
        <w:tc>
          <w:tcPr>
            <w:tcW w:w="630" w:type="dxa"/>
            <w:tcBorders>
              <w:tl2br w:val="nil"/>
              <w:tr2bl w:val="nil"/>
            </w:tcBorders>
            <w:noWrap/>
            <w:vAlign w:val="center"/>
          </w:tcPr>
          <w:p w14:paraId="54E2BAE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10.57</w:t>
            </w:r>
          </w:p>
        </w:tc>
        <w:tc>
          <w:tcPr>
            <w:tcW w:w="636" w:type="dxa"/>
            <w:tcBorders>
              <w:tl2br w:val="nil"/>
              <w:tr2bl w:val="nil"/>
            </w:tcBorders>
            <w:noWrap/>
            <w:vAlign w:val="center"/>
          </w:tcPr>
          <w:p w14:paraId="192A1FD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14.56</w:t>
            </w:r>
          </w:p>
        </w:tc>
        <w:tc>
          <w:tcPr>
            <w:tcW w:w="774" w:type="dxa"/>
            <w:tcBorders>
              <w:tl2br w:val="nil"/>
              <w:tr2bl w:val="nil"/>
            </w:tcBorders>
            <w:noWrap/>
            <w:vAlign w:val="center"/>
          </w:tcPr>
          <w:p w14:paraId="00136939">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5.43 </w:t>
            </w:r>
          </w:p>
        </w:tc>
        <w:tc>
          <w:tcPr>
            <w:tcW w:w="1200" w:type="dxa"/>
            <w:tcBorders>
              <w:tl2br w:val="nil"/>
              <w:tr2bl w:val="nil"/>
            </w:tcBorders>
            <w:noWrap/>
            <w:vAlign w:val="center"/>
          </w:tcPr>
          <w:p w14:paraId="03B87073">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0.6</w:t>
            </w:r>
            <w:r>
              <w:rPr>
                <w:rFonts w:hint="eastAsia" w:ascii="Times New Roman" w:hAnsi="Times New Roman" w:eastAsia="宋体" w:cs="Times New Roman"/>
                <w:color w:val="231F20"/>
                <w:kern w:val="0"/>
                <w:sz w:val="18"/>
                <w:szCs w:val="18"/>
                <w:highlight w:val="none"/>
                <w:lang w:bidi="ar"/>
              </w:rPr>
              <w:t>0</w:t>
            </w:r>
            <w:r>
              <w:rPr>
                <w:rFonts w:ascii="Times New Roman" w:hAnsi="Times New Roman" w:eastAsia="宋体" w:cs="Times New Roman"/>
                <w:color w:val="231F20"/>
                <w:kern w:val="0"/>
                <w:sz w:val="18"/>
                <w:szCs w:val="18"/>
                <w:highlight w:val="none"/>
                <w:lang w:bidi="ar"/>
              </w:rPr>
              <w:t>~10.56</w:t>
            </w:r>
          </w:p>
        </w:tc>
        <w:tc>
          <w:tcPr>
            <w:tcW w:w="762" w:type="dxa"/>
            <w:tcBorders>
              <w:tl2br w:val="nil"/>
              <w:tr2bl w:val="nil"/>
            </w:tcBorders>
            <w:noWrap/>
            <w:vAlign w:val="center"/>
          </w:tcPr>
          <w:p w14:paraId="55BE9CDB">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0.028 </w:t>
            </w:r>
          </w:p>
        </w:tc>
        <w:tc>
          <w:tcPr>
            <w:tcW w:w="243" w:type="dxa"/>
            <w:tcBorders>
              <w:tl2br w:val="nil"/>
              <w:tr2bl w:val="nil"/>
            </w:tcBorders>
            <w:noWrap/>
            <w:vAlign w:val="center"/>
          </w:tcPr>
          <w:p w14:paraId="0C946415">
            <w:pPr>
              <w:jc w:val="center"/>
              <w:rPr>
                <w:rFonts w:ascii="Times New Roman" w:hAnsi="Times New Roman" w:eastAsia="宋体" w:cs="Times New Roman"/>
                <w:color w:val="000000"/>
                <w:sz w:val="18"/>
                <w:szCs w:val="18"/>
                <w:highlight w:val="none"/>
              </w:rPr>
            </w:pPr>
          </w:p>
        </w:tc>
        <w:tc>
          <w:tcPr>
            <w:tcW w:w="1272" w:type="dxa"/>
            <w:tcBorders>
              <w:tl2br w:val="nil"/>
              <w:tr2bl w:val="nil"/>
            </w:tcBorders>
            <w:noWrap/>
            <w:vAlign w:val="center"/>
          </w:tcPr>
          <w:p w14:paraId="33D037D2">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Colorectum</w:t>
            </w:r>
          </w:p>
        </w:tc>
        <w:tc>
          <w:tcPr>
            <w:tcW w:w="630" w:type="dxa"/>
            <w:tcBorders>
              <w:tl2br w:val="nil"/>
              <w:tr2bl w:val="nil"/>
            </w:tcBorders>
            <w:noWrap/>
            <w:vAlign w:val="center"/>
          </w:tcPr>
          <w:p w14:paraId="55FA43FC">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12.75</w:t>
            </w:r>
          </w:p>
        </w:tc>
        <w:tc>
          <w:tcPr>
            <w:tcW w:w="675" w:type="dxa"/>
            <w:tcBorders>
              <w:tl2br w:val="nil"/>
              <w:tr2bl w:val="nil"/>
            </w:tcBorders>
            <w:noWrap/>
            <w:vAlign w:val="center"/>
          </w:tcPr>
          <w:p w14:paraId="7D0F0C6F">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17.18</w:t>
            </w:r>
          </w:p>
        </w:tc>
        <w:tc>
          <w:tcPr>
            <w:tcW w:w="750" w:type="dxa"/>
            <w:tcBorders>
              <w:tl2br w:val="nil"/>
              <w:tr2bl w:val="nil"/>
            </w:tcBorders>
            <w:noWrap/>
            <w:vAlign w:val="center"/>
          </w:tcPr>
          <w:p w14:paraId="455D0220">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6.46 </w:t>
            </w:r>
          </w:p>
        </w:tc>
        <w:tc>
          <w:tcPr>
            <w:tcW w:w="1172" w:type="dxa"/>
            <w:tcBorders>
              <w:tl2br w:val="nil"/>
              <w:tr2bl w:val="nil"/>
            </w:tcBorders>
            <w:noWrap/>
            <w:vAlign w:val="center"/>
          </w:tcPr>
          <w:p w14:paraId="1C274C96">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2.8</w:t>
            </w:r>
            <w:r>
              <w:rPr>
                <w:rFonts w:hint="eastAsia" w:ascii="Times New Roman" w:hAnsi="Times New Roman" w:eastAsia="宋体" w:cs="Times New Roman"/>
                <w:color w:val="231F20"/>
                <w:kern w:val="0"/>
                <w:sz w:val="18"/>
                <w:szCs w:val="18"/>
                <w:highlight w:val="none"/>
                <w:lang w:bidi="ar"/>
              </w:rPr>
              <w:t>0</w:t>
            </w:r>
            <w:r>
              <w:rPr>
                <w:rFonts w:ascii="Times New Roman" w:hAnsi="Times New Roman" w:eastAsia="宋体" w:cs="Times New Roman"/>
                <w:color w:val="231F20"/>
                <w:kern w:val="0"/>
                <w:sz w:val="18"/>
                <w:szCs w:val="18"/>
                <w:highlight w:val="none"/>
                <w:lang w:bidi="ar"/>
              </w:rPr>
              <w:t>~10.38</w:t>
            </w:r>
          </w:p>
        </w:tc>
        <w:tc>
          <w:tcPr>
            <w:tcW w:w="763" w:type="dxa"/>
            <w:tcBorders>
              <w:tl2br w:val="nil"/>
              <w:tr2bl w:val="nil"/>
            </w:tcBorders>
            <w:noWrap/>
            <w:vAlign w:val="center"/>
          </w:tcPr>
          <w:p w14:paraId="2AB1CA7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0.001 </w:t>
            </w:r>
          </w:p>
        </w:tc>
        <w:tc>
          <w:tcPr>
            <w:tcW w:w="240" w:type="dxa"/>
            <w:tcBorders>
              <w:tl2br w:val="nil"/>
              <w:tr2bl w:val="nil"/>
            </w:tcBorders>
            <w:noWrap/>
            <w:vAlign w:val="center"/>
          </w:tcPr>
          <w:p w14:paraId="01B21FDD">
            <w:pPr>
              <w:jc w:val="center"/>
              <w:rPr>
                <w:rFonts w:ascii="Times New Roman" w:hAnsi="Times New Roman" w:eastAsia="宋体" w:cs="Times New Roman"/>
                <w:color w:val="000000"/>
                <w:sz w:val="18"/>
                <w:szCs w:val="18"/>
                <w:highlight w:val="none"/>
              </w:rPr>
            </w:pPr>
          </w:p>
        </w:tc>
        <w:tc>
          <w:tcPr>
            <w:tcW w:w="1200" w:type="dxa"/>
            <w:tcBorders>
              <w:tl2br w:val="nil"/>
              <w:tr2bl w:val="nil"/>
            </w:tcBorders>
            <w:noWrap/>
            <w:vAlign w:val="center"/>
          </w:tcPr>
          <w:p w14:paraId="297D1DD4">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Colorectum</w:t>
            </w:r>
          </w:p>
        </w:tc>
        <w:tc>
          <w:tcPr>
            <w:tcW w:w="645" w:type="dxa"/>
            <w:tcBorders>
              <w:tl2br w:val="nil"/>
              <w:tr2bl w:val="nil"/>
            </w:tcBorders>
            <w:noWrap/>
            <w:vAlign w:val="center"/>
          </w:tcPr>
          <w:p w14:paraId="3FEE1ED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8.22</w:t>
            </w:r>
          </w:p>
        </w:tc>
        <w:tc>
          <w:tcPr>
            <w:tcW w:w="630" w:type="dxa"/>
            <w:tcBorders>
              <w:tl2br w:val="nil"/>
              <w:tr2bl w:val="nil"/>
            </w:tcBorders>
            <w:noWrap/>
            <w:vAlign w:val="center"/>
          </w:tcPr>
          <w:p w14:paraId="2D22F4C1">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11.74</w:t>
            </w:r>
          </w:p>
        </w:tc>
        <w:tc>
          <w:tcPr>
            <w:tcW w:w="701" w:type="dxa"/>
            <w:tcBorders>
              <w:tl2br w:val="nil"/>
              <w:tr2bl w:val="nil"/>
            </w:tcBorders>
            <w:noWrap/>
            <w:vAlign w:val="center"/>
          </w:tcPr>
          <w:p w14:paraId="31145C3E">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 xml:space="preserve">3.80 </w:t>
            </w:r>
          </w:p>
        </w:tc>
        <w:tc>
          <w:tcPr>
            <w:tcW w:w="1245" w:type="dxa"/>
            <w:tcBorders>
              <w:tl2br w:val="nil"/>
              <w:tr2bl w:val="nil"/>
            </w:tcBorders>
            <w:noWrap/>
            <w:vAlign w:val="center"/>
          </w:tcPr>
          <w:p w14:paraId="75237EFA">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231F20"/>
                <w:kern w:val="0"/>
                <w:sz w:val="18"/>
                <w:szCs w:val="18"/>
                <w:highlight w:val="none"/>
                <w:lang w:bidi="ar"/>
              </w:rPr>
              <w:t>-6.76~15.32</w:t>
            </w:r>
          </w:p>
        </w:tc>
        <w:tc>
          <w:tcPr>
            <w:tcW w:w="840" w:type="dxa"/>
            <w:tcBorders>
              <w:tl2br w:val="nil"/>
              <w:tr2bl w:val="nil"/>
            </w:tcBorders>
            <w:noWrap/>
            <w:vAlign w:val="center"/>
          </w:tcPr>
          <w:p w14:paraId="6DCB2F75">
            <w:pPr>
              <w:widowControl/>
              <w:jc w:val="center"/>
              <w:textAlignment w:val="center"/>
              <w:rPr>
                <w:rFonts w:ascii="Times New Roman" w:hAnsi="Times New Roman" w:eastAsia="宋体" w:cs="Times New Roman"/>
                <w:color w:val="231F20"/>
                <w:sz w:val="18"/>
                <w:szCs w:val="18"/>
                <w:highlight w:val="none"/>
              </w:rPr>
            </w:pPr>
            <w:r>
              <w:rPr>
                <w:rFonts w:ascii="Times New Roman" w:hAnsi="Times New Roman" w:eastAsia="宋体" w:cs="Times New Roman"/>
                <w:color w:val="000000"/>
                <w:kern w:val="0"/>
                <w:sz w:val="18"/>
                <w:szCs w:val="18"/>
                <w:highlight w:val="none"/>
                <w:lang w:bidi="ar"/>
              </w:rPr>
              <w:t xml:space="preserve">0.422 </w:t>
            </w:r>
          </w:p>
        </w:tc>
      </w:tr>
      <w:tr w14:paraId="0869E05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00" w:type="dxa"/>
            <w:tcBorders>
              <w:tl2br w:val="nil"/>
              <w:tr2bl w:val="nil"/>
            </w:tcBorders>
            <w:noWrap/>
            <w:vAlign w:val="center"/>
          </w:tcPr>
          <w:p w14:paraId="442BC631">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Breast</w:t>
            </w:r>
          </w:p>
        </w:tc>
        <w:tc>
          <w:tcPr>
            <w:tcW w:w="630" w:type="dxa"/>
            <w:tcBorders>
              <w:tl2br w:val="nil"/>
              <w:tr2bl w:val="nil"/>
            </w:tcBorders>
            <w:noWrap/>
            <w:vAlign w:val="center"/>
          </w:tcPr>
          <w:p w14:paraId="5E5F1BAB">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5.05</w:t>
            </w:r>
          </w:p>
        </w:tc>
        <w:tc>
          <w:tcPr>
            <w:tcW w:w="636" w:type="dxa"/>
            <w:tcBorders>
              <w:tl2br w:val="nil"/>
              <w:tr2bl w:val="nil"/>
            </w:tcBorders>
            <w:noWrap/>
            <w:vAlign w:val="center"/>
          </w:tcPr>
          <w:p w14:paraId="01B54F1C">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6.57</w:t>
            </w:r>
          </w:p>
        </w:tc>
        <w:tc>
          <w:tcPr>
            <w:tcW w:w="774" w:type="dxa"/>
            <w:tcBorders>
              <w:tl2br w:val="nil"/>
              <w:tr2bl w:val="nil"/>
            </w:tcBorders>
            <w:noWrap/>
            <w:vAlign w:val="center"/>
          </w:tcPr>
          <w:p w14:paraId="23A88C70">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4.32 </w:t>
            </w:r>
          </w:p>
        </w:tc>
        <w:tc>
          <w:tcPr>
            <w:tcW w:w="1200" w:type="dxa"/>
            <w:tcBorders>
              <w:tl2br w:val="nil"/>
              <w:tr2bl w:val="nil"/>
            </w:tcBorders>
            <w:noWrap/>
            <w:vAlign w:val="center"/>
          </w:tcPr>
          <w:p w14:paraId="14205F10">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-1.09~10.26</w:t>
            </w:r>
          </w:p>
        </w:tc>
        <w:tc>
          <w:tcPr>
            <w:tcW w:w="762" w:type="dxa"/>
            <w:tcBorders>
              <w:tl2br w:val="nil"/>
              <w:tr2bl w:val="nil"/>
            </w:tcBorders>
            <w:noWrap/>
            <w:vAlign w:val="center"/>
          </w:tcPr>
          <w:p w14:paraId="38EBA009">
            <w:pPr>
              <w:widowControl/>
              <w:jc w:val="center"/>
              <w:textAlignment w:val="center"/>
              <w:rPr>
                <w:rFonts w:ascii="Times New Roman" w:hAnsi="Times New Roman" w:eastAsia="宋体" w:cs="Times New Roman"/>
                <w:color w:val="00000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0.126 </w:t>
            </w:r>
          </w:p>
        </w:tc>
        <w:tc>
          <w:tcPr>
            <w:tcW w:w="243" w:type="dxa"/>
            <w:tcBorders>
              <w:tl2br w:val="nil"/>
              <w:tr2bl w:val="nil"/>
            </w:tcBorders>
            <w:noWrap/>
            <w:vAlign w:val="center"/>
          </w:tcPr>
          <w:p w14:paraId="42674E17">
            <w:pPr>
              <w:jc w:val="center"/>
              <w:rPr>
                <w:rFonts w:ascii="Times New Roman" w:hAnsi="Times New Roman" w:eastAsia="宋体" w:cs="Times New Roman"/>
                <w:color w:val="000000"/>
                <w:sz w:val="18"/>
                <w:szCs w:val="18"/>
                <w:highlight w:val="none"/>
              </w:rPr>
            </w:pPr>
          </w:p>
        </w:tc>
        <w:tc>
          <w:tcPr>
            <w:tcW w:w="1272" w:type="dxa"/>
            <w:tcBorders>
              <w:tl2br w:val="nil"/>
              <w:tr2bl w:val="nil"/>
            </w:tcBorders>
            <w:noWrap/>
            <w:vAlign w:val="center"/>
          </w:tcPr>
          <w:p w14:paraId="102B9383">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Pancreas</w:t>
            </w:r>
          </w:p>
        </w:tc>
        <w:tc>
          <w:tcPr>
            <w:tcW w:w="630" w:type="dxa"/>
            <w:tcBorders>
              <w:tl2br w:val="nil"/>
              <w:tr2bl w:val="nil"/>
            </w:tcBorders>
            <w:noWrap/>
            <w:vAlign w:val="center"/>
          </w:tcPr>
          <w:p w14:paraId="72C6C32E">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4.39</w:t>
            </w:r>
          </w:p>
        </w:tc>
        <w:tc>
          <w:tcPr>
            <w:tcW w:w="675" w:type="dxa"/>
            <w:tcBorders>
              <w:tl2br w:val="nil"/>
              <w:tr2bl w:val="nil"/>
            </w:tcBorders>
            <w:noWrap/>
            <w:vAlign w:val="center"/>
          </w:tcPr>
          <w:p w14:paraId="4E3ABD90">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7.06</w:t>
            </w:r>
          </w:p>
        </w:tc>
        <w:tc>
          <w:tcPr>
            <w:tcW w:w="750" w:type="dxa"/>
            <w:tcBorders>
              <w:tl2br w:val="nil"/>
              <w:tr2bl w:val="nil"/>
            </w:tcBorders>
            <w:noWrap/>
            <w:vAlign w:val="center"/>
          </w:tcPr>
          <w:p w14:paraId="3E870EE9">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7.43 </w:t>
            </w:r>
          </w:p>
        </w:tc>
        <w:tc>
          <w:tcPr>
            <w:tcW w:w="1172" w:type="dxa"/>
            <w:tcBorders>
              <w:tl2br w:val="nil"/>
              <w:tr2bl w:val="nil"/>
            </w:tcBorders>
            <w:noWrap/>
            <w:vAlign w:val="center"/>
          </w:tcPr>
          <w:p w14:paraId="5E53D310">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0.41~15.16</w:t>
            </w:r>
          </w:p>
        </w:tc>
        <w:tc>
          <w:tcPr>
            <w:tcW w:w="763" w:type="dxa"/>
            <w:tcBorders>
              <w:tl2br w:val="nil"/>
              <w:tr2bl w:val="nil"/>
            </w:tcBorders>
            <w:noWrap/>
            <w:vAlign w:val="center"/>
          </w:tcPr>
          <w:p w14:paraId="50D50585">
            <w:pPr>
              <w:widowControl/>
              <w:jc w:val="center"/>
              <w:textAlignment w:val="center"/>
              <w:rPr>
                <w:rFonts w:ascii="Times New Roman" w:hAnsi="Times New Roman" w:eastAsia="宋体" w:cs="Times New Roman"/>
                <w:color w:val="00000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0.035 </w:t>
            </w:r>
          </w:p>
        </w:tc>
        <w:tc>
          <w:tcPr>
            <w:tcW w:w="240" w:type="dxa"/>
            <w:tcBorders>
              <w:tl2br w:val="nil"/>
              <w:tr2bl w:val="nil"/>
            </w:tcBorders>
            <w:noWrap/>
            <w:vAlign w:val="center"/>
          </w:tcPr>
          <w:p w14:paraId="1741B10F">
            <w:pPr>
              <w:jc w:val="center"/>
              <w:rPr>
                <w:rFonts w:ascii="Times New Roman" w:hAnsi="Times New Roman" w:eastAsia="宋体" w:cs="Times New Roman"/>
                <w:color w:val="000000"/>
                <w:sz w:val="18"/>
                <w:szCs w:val="18"/>
                <w:highlight w:val="none"/>
              </w:rPr>
            </w:pPr>
          </w:p>
        </w:tc>
        <w:tc>
          <w:tcPr>
            <w:tcW w:w="1200" w:type="dxa"/>
            <w:tcBorders>
              <w:tl2br w:val="nil"/>
              <w:tr2bl w:val="nil"/>
            </w:tcBorders>
            <w:noWrap/>
            <w:vAlign w:val="center"/>
          </w:tcPr>
          <w:p w14:paraId="4E325BF3">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Breast</w:t>
            </w:r>
          </w:p>
        </w:tc>
        <w:tc>
          <w:tcPr>
            <w:tcW w:w="645" w:type="dxa"/>
            <w:tcBorders>
              <w:tl2br w:val="nil"/>
              <w:tr2bl w:val="nil"/>
            </w:tcBorders>
            <w:noWrap/>
            <w:vAlign w:val="center"/>
          </w:tcPr>
          <w:p w14:paraId="7CFE4866">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5.05</w:t>
            </w:r>
          </w:p>
        </w:tc>
        <w:tc>
          <w:tcPr>
            <w:tcW w:w="630" w:type="dxa"/>
            <w:tcBorders>
              <w:tl2br w:val="nil"/>
              <w:tr2bl w:val="nil"/>
            </w:tcBorders>
            <w:noWrap/>
            <w:vAlign w:val="center"/>
          </w:tcPr>
          <w:p w14:paraId="422C6A10">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6.46</w:t>
            </w:r>
          </w:p>
        </w:tc>
        <w:tc>
          <w:tcPr>
            <w:tcW w:w="701" w:type="dxa"/>
            <w:tcBorders>
              <w:tl2br w:val="nil"/>
              <w:tr2bl w:val="nil"/>
            </w:tcBorders>
            <w:noWrap/>
            <w:vAlign w:val="center"/>
          </w:tcPr>
          <w:p w14:paraId="3CEDCF24">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4.54 </w:t>
            </w:r>
          </w:p>
        </w:tc>
        <w:tc>
          <w:tcPr>
            <w:tcW w:w="1245" w:type="dxa"/>
            <w:tcBorders>
              <w:tl2br w:val="nil"/>
              <w:tr2bl w:val="nil"/>
            </w:tcBorders>
            <w:noWrap/>
            <w:vAlign w:val="center"/>
          </w:tcPr>
          <w:p w14:paraId="0A305E11">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-1.31~11.12</w:t>
            </w:r>
          </w:p>
        </w:tc>
        <w:tc>
          <w:tcPr>
            <w:tcW w:w="840" w:type="dxa"/>
            <w:tcBorders>
              <w:tl2br w:val="nil"/>
              <w:tr2bl w:val="nil"/>
            </w:tcBorders>
            <w:noWrap/>
            <w:vAlign w:val="center"/>
          </w:tcPr>
          <w:p w14:paraId="7C955850">
            <w:pPr>
              <w:widowControl/>
              <w:jc w:val="center"/>
              <w:textAlignment w:val="center"/>
              <w:rPr>
                <w:rFonts w:ascii="Times New Roman" w:hAnsi="Times New Roman" w:eastAsia="宋体" w:cs="Times New Roman"/>
                <w:color w:val="00000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0.135 </w:t>
            </w:r>
          </w:p>
        </w:tc>
      </w:tr>
      <w:tr w14:paraId="092FFBF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00" w:type="dxa"/>
            <w:tcBorders>
              <w:tl2br w:val="nil"/>
              <w:tr2bl w:val="nil"/>
            </w:tcBorders>
            <w:noWrap/>
            <w:vAlign w:val="center"/>
          </w:tcPr>
          <w:p w14:paraId="60D10775">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Cervix uteri</w:t>
            </w:r>
          </w:p>
        </w:tc>
        <w:tc>
          <w:tcPr>
            <w:tcW w:w="630" w:type="dxa"/>
            <w:tcBorders>
              <w:tl2br w:val="nil"/>
              <w:tr2bl w:val="nil"/>
            </w:tcBorders>
            <w:noWrap/>
            <w:vAlign w:val="center"/>
          </w:tcPr>
          <w:p w14:paraId="4E17EBC5">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4.48</w:t>
            </w:r>
          </w:p>
        </w:tc>
        <w:tc>
          <w:tcPr>
            <w:tcW w:w="636" w:type="dxa"/>
            <w:tcBorders>
              <w:tl2br w:val="nil"/>
              <w:tr2bl w:val="nil"/>
            </w:tcBorders>
            <w:noWrap/>
            <w:vAlign w:val="center"/>
          </w:tcPr>
          <w:p w14:paraId="06BCBD5C">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6.22</w:t>
            </w:r>
          </w:p>
        </w:tc>
        <w:tc>
          <w:tcPr>
            <w:tcW w:w="774" w:type="dxa"/>
            <w:tcBorders>
              <w:tl2br w:val="nil"/>
              <w:tr2bl w:val="nil"/>
            </w:tcBorders>
            <w:noWrap/>
            <w:vAlign w:val="center"/>
          </w:tcPr>
          <w:p w14:paraId="11B92F44">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7.94 </w:t>
            </w:r>
          </w:p>
        </w:tc>
        <w:tc>
          <w:tcPr>
            <w:tcW w:w="1200" w:type="dxa"/>
            <w:tcBorders>
              <w:tl2br w:val="nil"/>
              <w:tr2bl w:val="nil"/>
            </w:tcBorders>
            <w:noWrap/>
            <w:vAlign w:val="center"/>
          </w:tcPr>
          <w:p w14:paraId="08570A11">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4.13~12.31</w:t>
            </w:r>
          </w:p>
        </w:tc>
        <w:tc>
          <w:tcPr>
            <w:tcW w:w="762" w:type="dxa"/>
            <w:tcBorders>
              <w:tl2br w:val="nil"/>
              <w:tr2bl w:val="nil"/>
            </w:tcBorders>
            <w:noWrap/>
            <w:vAlign w:val="center"/>
          </w:tcPr>
          <w:p w14:paraId="0E29D0CC">
            <w:pPr>
              <w:widowControl/>
              <w:jc w:val="center"/>
              <w:textAlignment w:val="center"/>
              <w:rPr>
                <w:rFonts w:ascii="Times New Roman" w:hAnsi="Times New Roman" w:eastAsia="宋体" w:cs="Times New Roman"/>
                <w:color w:val="000000"/>
                <w:kern w:val="0"/>
                <w:sz w:val="18"/>
                <w:szCs w:val="18"/>
                <w:highlight w:val="none"/>
                <w:lang w:bidi="ar"/>
              </w:rPr>
            </w:pPr>
            <w:r>
              <w:rPr>
                <w:rFonts w:ascii="Times New Roman" w:hAnsi="Times New Roman" w:eastAsia="宋体" w:cs="Times New Roman"/>
                <w:color w:val="000000"/>
                <w:kern w:val="0"/>
                <w:sz w:val="18"/>
                <w:szCs w:val="18"/>
                <w:highlight w:val="none"/>
                <w:lang w:bidi="ar"/>
              </w:rPr>
              <w:t>&lt;0.001</w:t>
            </w:r>
          </w:p>
        </w:tc>
        <w:tc>
          <w:tcPr>
            <w:tcW w:w="243" w:type="dxa"/>
            <w:tcBorders>
              <w:tl2br w:val="nil"/>
              <w:tr2bl w:val="nil"/>
            </w:tcBorders>
            <w:noWrap/>
            <w:vAlign w:val="center"/>
          </w:tcPr>
          <w:p w14:paraId="753BD26F">
            <w:pPr>
              <w:jc w:val="center"/>
              <w:rPr>
                <w:rFonts w:ascii="Times New Roman" w:hAnsi="Times New Roman" w:eastAsia="宋体" w:cs="Times New Roman"/>
                <w:color w:val="000000"/>
                <w:sz w:val="18"/>
                <w:szCs w:val="18"/>
                <w:highlight w:val="none"/>
              </w:rPr>
            </w:pPr>
          </w:p>
        </w:tc>
        <w:tc>
          <w:tcPr>
            <w:tcW w:w="1272" w:type="dxa"/>
            <w:tcBorders>
              <w:tl2br w:val="nil"/>
              <w:tr2bl w:val="nil"/>
            </w:tcBorders>
            <w:noWrap/>
            <w:vAlign w:val="center"/>
          </w:tcPr>
          <w:p w14:paraId="1304F299">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Brain &amp; CN</w:t>
            </w:r>
          </w:p>
        </w:tc>
        <w:tc>
          <w:tcPr>
            <w:tcW w:w="630" w:type="dxa"/>
            <w:tcBorders>
              <w:tl2br w:val="nil"/>
              <w:tr2bl w:val="nil"/>
            </w:tcBorders>
            <w:noWrap/>
            <w:vAlign w:val="center"/>
          </w:tcPr>
          <w:p w14:paraId="3FDB9E3D">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5.4</w:t>
            </w:r>
          </w:p>
        </w:tc>
        <w:tc>
          <w:tcPr>
            <w:tcW w:w="675" w:type="dxa"/>
            <w:tcBorders>
              <w:tl2br w:val="nil"/>
              <w:tr2bl w:val="nil"/>
            </w:tcBorders>
            <w:noWrap/>
            <w:vAlign w:val="center"/>
          </w:tcPr>
          <w:p w14:paraId="67526F03">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4.32</w:t>
            </w:r>
          </w:p>
        </w:tc>
        <w:tc>
          <w:tcPr>
            <w:tcW w:w="750" w:type="dxa"/>
            <w:tcBorders>
              <w:tl2br w:val="nil"/>
              <w:tr2bl w:val="nil"/>
            </w:tcBorders>
            <w:noWrap/>
            <w:vAlign w:val="center"/>
          </w:tcPr>
          <w:p w14:paraId="6079B2A9">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-5.06 </w:t>
            </w:r>
          </w:p>
        </w:tc>
        <w:tc>
          <w:tcPr>
            <w:tcW w:w="1172" w:type="dxa"/>
            <w:tcBorders>
              <w:tl2br w:val="nil"/>
              <w:tr2bl w:val="nil"/>
            </w:tcBorders>
            <w:noWrap/>
            <w:vAlign w:val="center"/>
          </w:tcPr>
          <w:p w14:paraId="37C7DECD">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-11.67~1.41</w:t>
            </w:r>
          </w:p>
        </w:tc>
        <w:tc>
          <w:tcPr>
            <w:tcW w:w="763" w:type="dxa"/>
            <w:tcBorders>
              <w:tl2br w:val="nil"/>
              <w:tr2bl w:val="nil"/>
            </w:tcBorders>
            <w:noWrap/>
            <w:vAlign w:val="center"/>
          </w:tcPr>
          <w:p w14:paraId="09BB3D69">
            <w:pPr>
              <w:widowControl/>
              <w:jc w:val="center"/>
              <w:textAlignment w:val="center"/>
              <w:rPr>
                <w:rFonts w:ascii="Times New Roman" w:hAnsi="Times New Roman" w:eastAsia="宋体" w:cs="Times New Roman"/>
                <w:color w:val="00000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0.123 </w:t>
            </w:r>
          </w:p>
        </w:tc>
        <w:tc>
          <w:tcPr>
            <w:tcW w:w="240" w:type="dxa"/>
            <w:tcBorders>
              <w:tl2br w:val="nil"/>
              <w:tr2bl w:val="nil"/>
            </w:tcBorders>
            <w:noWrap/>
            <w:vAlign w:val="center"/>
          </w:tcPr>
          <w:p w14:paraId="6F2F9DF0">
            <w:pPr>
              <w:jc w:val="center"/>
              <w:rPr>
                <w:rFonts w:ascii="Times New Roman" w:hAnsi="Times New Roman" w:eastAsia="宋体" w:cs="Times New Roman"/>
                <w:color w:val="000000"/>
                <w:sz w:val="18"/>
                <w:szCs w:val="18"/>
                <w:highlight w:val="none"/>
              </w:rPr>
            </w:pPr>
          </w:p>
        </w:tc>
        <w:tc>
          <w:tcPr>
            <w:tcW w:w="1200" w:type="dxa"/>
            <w:tcBorders>
              <w:tl2br w:val="nil"/>
              <w:tr2bl w:val="nil"/>
            </w:tcBorders>
            <w:noWrap/>
            <w:vAlign w:val="center"/>
          </w:tcPr>
          <w:p w14:paraId="10CAF441">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Cervix uteri</w:t>
            </w:r>
          </w:p>
        </w:tc>
        <w:tc>
          <w:tcPr>
            <w:tcW w:w="645" w:type="dxa"/>
            <w:tcBorders>
              <w:tl2br w:val="nil"/>
              <w:tr2bl w:val="nil"/>
            </w:tcBorders>
            <w:noWrap/>
            <w:vAlign w:val="center"/>
          </w:tcPr>
          <w:p w14:paraId="55092306">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4.48</w:t>
            </w:r>
          </w:p>
        </w:tc>
        <w:tc>
          <w:tcPr>
            <w:tcW w:w="630" w:type="dxa"/>
            <w:tcBorders>
              <w:tl2br w:val="nil"/>
              <w:tr2bl w:val="nil"/>
            </w:tcBorders>
            <w:noWrap/>
            <w:vAlign w:val="center"/>
          </w:tcPr>
          <w:p w14:paraId="5A918CF9">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6.22</w:t>
            </w:r>
          </w:p>
        </w:tc>
        <w:tc>
          <w:tcPr>
            <w:tcW w:w="701" w:type="dxa"/>
            <w:tcBorders>
              <w:tl2br w:val="nil"/>
              <w:tr2bl w:val="nil"/>
            </w:tcBorders>
            <w:noWrap/>
            <w:vAlign w:val="center"/>
          </w:tcPr>
          <w:p w14:paraId="1CDA0699">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7.94 </w:t>
            </w:r>
          </w:p>
        </w:tc>
        <w:tc>
          <w:tcPr>
            <w:tcW w:w="1245" w:type="dxa"/>
            <w:tcBorders>
              <w:tl2br w:val="nil"/>
              <w:tr2bl w:val="nil"/>
            </w:tcBorders>
            <w:noWrap/>
            <w:vAlign w:val="center"/>
          </w:tcPr>
          <w:p w14:paraId="733BE2C3">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4.13~12.31</w:t>
            </w:r>
          </w:p>
        </w:tc>
        <w:tc>
          <w:tcPr>
            <w:tcW w:w="840" w:type="dxa"/>
            <w:tcBorders>
              <w:tl2br w:val="nil"/>
              <w:tr2bl w:val="nil"/>
            </w:tcBorders>
            <w:noWrap/>
            <w:vAlign w:val="center"/>
          </w:tcPr>
          <w:p w14:paraId="5B77421B">
            <w:pPr>
              <w:widowControl/>
              <w:jc w:val="center"/>
              <w:textAlignment w:val="center"/>
              <w:rPr>
                <w:rFonts w:ascii="Times New Roman" w:hAnsi="Times New Roman" w:eastAsia="宋体" w:cs="Times New Roman"/>
                <w:color w:val="000000"/>
                <w:kern w:val="0"/>
                <w:sz w:val="18"/>
                <w:szCs w:val="18"/>
                <w:highlight w:val="none"/>
                <w:lang w:bidi="ar"/>
              </w:rPr>
            </w:pPr>
            <w:r>
              <w:rPr>
                <w:rFonts w:ascii="Times New Roman" w:hAnsi="Times New Roman" w:eastAsia="宋体" w:cs="Times New Roman"/>
                <w:color w:val="000000"/>
                <w:kern w:val="0"/>
                <w:sz w:val="18"/>
                <w:szCs w:val="18"/>
                <w:highlight w:val="none"/>
                <w:lang w:bidi="ar"/>
              </w:rPr>
              <w:t>&lt;0.001</w:t>
            </w:r>
          </w:p>
        </w:tc>
      </w:tr>
      <w:tr w14:paraId="74DDA0B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00" w:type="dxa"/>
            <w:tcBorders>
              <w:tl2br w:val="nil"/>
              <w:tr2bl w:val="nil"/>
            </w:tcBorders>
            <w:noWrap/>
            <w:vAlign w:val="center"/>
          </w:tcPr>
          <w:p w14:paraId="10E24418">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Pancreas</w:t>
            </w:r>
          </w:p>
        </w:tc>
        <w:tc>
          <w:tcPr>
            <w:tcW w:w="630" w:type="dxa"/>
            <w:tcBorders>
              <w:tl2br w:val="nil"/>
              <w:tr2bl w:val="nil"/>
            </w:tcBorders>
            <w:noWrap/>
            <w:vAlign w:val="center"/>
          </w:tcPr>
          <w:p w14:paraId="535B0EE1">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3.59</w:t>
            </w:r>
          </w:p>
        </w:tc>
        <w:tc>
          <w:tcPr>
            <w:tcW w:w="636" w:type="dxa"/>
            <w:tcBorders>
              <w:tl2br w:val="nil"/>
              <w:tr2bl w:val="nil"/>
            </w:tcBorders>
            <w:noWrap/>
            <w:vAlign w:val="center"/>
          </w:tcPr>
          <w:p w14:paraId="6756B67C">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6.23</w:t>
            </w:r>
          </w:p>
        </w:tc>
        <w:tc>
          <w:tcPr>
            <w:tcW w:w="774" w:type="dxa"/>
            <w:tcBorders>
              <w:tl2br w:val="nil"/>
              <w:tr2bl w:val="nil"/>
            </w:tcBorders>
            <w:noWrap/>
            <w:vAlign w:val="center"/>
          </w:tcPr>
          <w:p w14:paraId="04A3B0B5">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10.64 </w:t>
            </w:r>
          </w:p>
        </w:tc>
        <w:tc>
          <w:tcPr>
            <w:tcW w:w="1200" w:type="dxa"/>
            <w:tcBorders>
              <w:tl2br w:val="nil"/>
              <w:tr2bl w:val="nil"/>
            </w:tcBorders>
            <w:noWrap/>
            <w:vAlign w:val="center"/>
          </w:tcPr>
          <w:p w14:paraId="16BEB452">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3.45~19.31</w:t>
            </w:r>
          </w:p>
        </w:tc>
        <w:tc>
          <w:tcPr>
            <w:tcW w:w="762" w:type="dxa"/>
            <w:tcBorders>
              <w:tl2br w:val="nil"/>
              <w:tr2bl w:val="nil"/>
            </w:tcBorders>
            <w:noWrap/>
            <w:vAlign w:val="center"/>
          </w:tcPr>
          <w:p w14:paraId="2D1879D8">
            <w:pPr>
              <w:widowControl/>
              <w:jc w:val="center"/>
              <w:textAlignment w:val="center"/>
              <w:rPr>
                <w:rFonts w:ascii="Times New Roman" w:hAnsi="Times New Roman" w:eastAsia="宋体" w:cs="Times New Roman"/>
                <w:color w:val="00000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0.003 </w:t>
            </w:r>
          </w:p>
        </w:tc>
        <w:tc>
          <w:tcPr>
            <w:tcW w:w="243" w:type="dxa"/>
            <w:tcBorders>
              <w:tl2br w:val="nil"/>
              <w:tr2bl w:val="nil"/>
            </w:tcBorders>
            <w:noWrap/>
            <w:vAlign w:val="center"/>
          </w:tcPr>
          <w:p w14:paraId="1F0714F5">
            <w:pPr>
              <w:jc w:val="center"/>
              <w:rPr>
                <w:rFonts w:ascii="Times New Roman" w:hAnsi="Times New Roman" w:eastAsia="宋体" w:cs="Times New Roman"/>
                <w:color w:val="000000"/>
                <w:sz w:val="18"/>
                <w:szCs w:val="18"/>
                <w:highlight w:val="none"/>
              </w:rPr>
            </w:pPr>
          </w:p>
        </w:tc>
        <w:tc>
          <w:tcPr>
            <w:tcW w:w="1272" w:type="dxa"/>
            <w:tcBorders>
              <w:tl2br w:val="nil"/>
              <w:tr2bl w:val="nil"/>
            </w:tcBorders>
            <w:noWrap/>
            <w:vAlign w:val="center"/>
          </w:tcPr>
          <w:p w14:paraId="6DBBCB66">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Prostate</w:t>
            </w:r>
          </w:p>
        </w:tc>
        <w:tc>
          <w:tcPr>
            <w:tcW w:w="630" w:type="dxa"/>
            <w:tcBorders>
              <w:tl2br w:val="nil"/>
              <w:tr2bl w:val="nil"/>
            </w:tcBorders>
            <w:noWrap/>
            <w:vAlign w:val="center"/>
          </w:tcPr>
          <w:p w14:paraId="5877046F">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2.01</w:t>
            </w:r>
          </w:p>
        </w:tc>
        <w:tc>
          <w:tcPr>
            <w:tcW w:w="675" w:type="dxa"/>
            <w:tcBorders>
              <w:tl2br w:val="nil"/>
              <w:tr2bl w:val="nil"/>
            </w:tcBorders>
            <w:noWrap/>
            <w:vAlign w:val="center"/>
          </w:tcPr>
          <w:p w14:paraId="68F2043E">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6.62</w:t>
            </w:r>
          </w:p>
        </w:tc>
        <w:tc>
          <w:tcPr>
            <w:tcW w:w="750" w:type="dxa"/>
            <w:tcBorders>
              <w:tl2br w:val="nil"/>
              <w:tr2bl w:val="nil"/>
            </w:tcBorders>
            <w:noWrap/>
            <w:vAlign w:val="center"/>
          </w:tcPr>
          <w:p w14:paraId="2799AA46">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23.44 </w:t>
            </w:r>
          </w:p>
        </w:tc>
        <w:tc>
          <w:tcPr>
            <w:tcW w:w="1172" w:type="dxa"/>
            <w:tcBorders>
              <w:tl2br w:val="nil"/>
              <w:tr2bl w:val="nil"/>
            </w:tcBorders>
            <w:noWrap/>
            <w:vAlign w:val="center"/>
          </w:tcPr>
          <w:p w14:paraId="4D25FA8C">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13.73~37.1</w:t>
            </w:r>
            <w:r>
              <w:rPr>
                <w:rFonts w:hint="eastAsia" w:ascii="Times New Roman" w:hAnsi="Times New Roman" w:eastAsia="宋体" w:cs="Times New Roman"/>
                <w:color w:val="000000"/>
                <w:kern w:val="0"/>
                <w:sz w:val="18"/>
                <w:szCs w:val="18"/>
                <w:highlight w:val="none"/>
                <w:lang w:bidi="ar"/>
              </w:rPr>
              <w:t>0</w:t>
            </w:r>
          </w:p>
        </w:tc>
        <w:tc>
          <w:tcPr>
            <w:tcW w:w="763" w:type="dxa"/>
            <w:tcBorders>
              <w:tl2br w:val="nil"/>
              <w:tr2bl w:val="nil"/>
            </w:tcBorders>
            <w:noWrap/>
            <w:vAlign w:val="center"/>
          </w:tcPr>
          <w:p w14:paraId="4509B2C3">
            <w:pPr>
              <w:widowControl/>
              <w:jc w:val="center"/>
              <w:textAlignment w:val="center"/>
              <w:rPr>
                <w:rFonts w:ascii="Times New Roman" w:hAnsi="Times New Roman" w:eastAsia="宋体" w:cs="Times New Roman"/>
                <w:color w:val="000000"/>
                <w:kern w:val="0"/>
                <w:sz w:val="18"/>
                <w:szCs w:val="18"/>
                <w:highlight w:val="none"/>
                <w:lang w:bidi="ar"/>
              </w:rPr>
            </w:pPr>
            <w:r>
              <w:rPr>
                <w:rFonts w:ascii="Times New Roman" w:hAnsi="Times New Roman" w:eastAsia="宋体" w:cs="Times New Roman"/>
                <w:color w:val="000000"/>
                <w:kern w:val="0"/>
                <w:sz w:val="18"/>
                <w:szCs w:val="18"/>
                <w:highlight w:val="none"/>
                <w:lang w:bidi="ar"/>
              </w:rPr>
              <w:t>&lt;0.001</w:t>
            </w:r>
          </w:p>
        </w:tc>
        <w:tc>
          <w:tcPr>
            <w:tcW w:w="240" w:type="dxa"/>
            <w:tcBorders>
              <w:tl2br w:val="nil"/>
              <w:tr2bl w:val="nil"/>
            </w:tcBorders>
            <w:noWrap/>
            <w:vAlign w:val="center"/>
          </w:tcPr>
          <w:p w14:paraId="201BBDE1">
            <w:pPr>
              <w:jc w:val="center"/>
              <w:rPr>
                <w:rFonts w:ascii="Times New Roman" w:hAnsi="Times New Roman" w:eastAsia="宋体" w:cs="Times New Roman"/>
                <w:color w:val="000000"/>
                <w:sz w:val="18"/>
                <w:szCs w:val="18"/>
                <w:highlight w:val="none"/>
              </w:rPr>
            </w:pPr>
          </w:p>
        </w:tc>
        <w:tc>
          <w:tcPr>
            <w:tcW w:w="1200" w:type="dxa"/>
            <w:tcBorders>
              <w:tl2br w:val="nil"/>
              <w:tr2bl w:val="nil"/>
            </w:tcBorders>
            <w:noWrap/>
            <w:vAlign w:val="center"/>
          </w:tcPr>
          <w:p w14:paraId="63502ED0">
            <w:pPr>
              <w:widowControl/>
              <w:jc w:val="center"/>
              <w:textAlignment w:val="center"/>
              <w:rPr>
                <w:rFonts w:hint="eastAsia" w:ascii="Times New Roman" w:hAnsi="Times New Roman" w:eastAsia="宋体" w:cs="Times New Roman"/>
                <w:color w:val="231F20"/>
                <w:kern w:val="0"/>
                <w:sz w:val="18"/>
                <w:szCs w:val="18"/>
                <w:highlight w:val="none"/>
                <w:lang w:val="en-US" w:eastAsia="zh-CN" w:bidi="ar"/>
              </w:rPr>
            </w:pPr>
            <w:r>
              <w:rPr>
                <w:rFonts w:ascii="Times New Roman" w:hAnsi="Times New Roman" w:eastAsia="宋体" w:cs="Times New Roman"/>
                <w:color w:val="231F20"/>
                <w:kern w:val="0"/>
                <w:sz w:val="18"/>
                <w:szCs w:val="18"/>
                <w:highlight w:val="none"/>
                <w:lang w:bidi="ar"/>
              </w:rPr>
              <w:t>Brain &amp; CN</w:t>
            </w:r>
            <w:r>
              <w:rPr>
                <w:rFonts w:hint="eastAsia" w:ascii="Times New Roman" w:hAnsi="Times New Roman" w:eastAsia="宋体" w:cs="Times New Roman"/>
                <w:color w:val="231F20"/>
                <w:kern w:val="0"/>
                <w:sz w:val="18"/>
                <w:szCs w:val="18"/>
                <w:highlight w:val="none"/>
                <w:lang w:val="en-US" w:eastAsia="zh-CN" w:bidi="ar"/>
              </w:rPr>
              <w:t>S</w:t>
            </w:r>
          </w:p>
        </w:tc>
        <w:tc>
          <w:tcPr>
            <w:tcW w:w="645" w:type="dxa"/>
            <w:tcBorders>
              <w:tl2br w:val="nil"/>
              <w:tr2bl w:val="nil"/>
            </w:tcBorders>
            <w:noWrap/>
            <w:vAlign w:val="center"/>
          </w:tcPr>
          <w:p w14:paraId="1620C5BF">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4.14</w:t>
            </w:r>
          </w:p>
        </w:tc>
        <w:tc>
          <w:tcPr>
            <w:tcW w:w="630" w:type="dxa"/>
            <w:tcBorders>
              <w:tl2br w:val="nil"/>
              <w:tr2bl w:val="nil"/>
            </w:tcBorders>
            <w:noWrap/>
            <w:vAlign w:val="center"/>
          </w:tcPr>
          <w:p w14:paraId="024EDE3F">
            <w:pPr>
              <w:widowControl/>
              <w:jc w:val="center"/>
              <w:textAlignment w:val="center"/>
              <w:rPr>
                <w:rFonts w:hint="eastAsia" w:ascii="Times New Roman" w:hAnsi="Times New Roman" w:eastAsia="宋体" w:cs="Times New Roman"/>
                <w:color w:val="231F20"/>
                <w:kern w:val="0"/>
                <w:sz w:val="18"/>
                <w:szCs w:val="18"/>
                <w:highlight w:val="none"/>
                <w:lang w:val="en-US" w:eastAsia="zh-CN" w:bidi="ar"/>
              </w:rPr>
            </w:pPr>
            <w:r>
              <w:rPr>
                <w:rFonts w:ascii="Times New Roman" w:hAnsi="Times New Roman" w:eastAsia="宋体" w:cs="Times New Roman"/>
                <w:color w:val="000000"/>
                <w:kern w:val="0"/>
                <w:sz w:val="18"/>
                <w:szCs w:val="18"/>
                <w:highlight w:val="none"/>
                <w:lang w:bidi="ar"/>
              </w:rPr>
              <w:t>3.4</w:t>
            </w:r>
            <w:r>
              <w:rPr>
                <w:rFonts w:hint="eastAsia" w:ascii="Times New Roman" w:hAnsi="Times New Roman" w:eastAsia="宋体" w:cs="Times New Roman"/>
                <w:color w:val="000000"/>
                <w:kern w:val="0"/>
                <w:sz w:val="18"/>
                <w:szCs w:val="18"/>
                <w:highlight w:val="none"/>
                <w:lang w:val="en-US" w:eastAsia="zh-CN" w:bidi="ar"/>
              </w:rPr>
              <w:t>0</w:t>
            </w:r>
          </w:p>
        </w:tc>
        <w:tc>
          <w:tcPr>
            <w:tcW w:w="701" w:type="dxa"/>
            <w:tcBorders>
              <w:tl2br w:val="nil"/>
              <w:tr2bl w:val="nil"/>
            </w:tcBorders>
            <w:noWrap/>
            <w:vAlign w:val="center"/>
          </w:tcPr>
          <w:p w14:paraId="26B0D0A9">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-4.09 </w:t>
            </w:r>
          </w:p>
        </w:tc>
        <w:tc>
          <w:tcPr>
            <w:tcW w:w="1245" w:type="dxa"/>
            <w:tcBorders>
              <w:tl2br w:val="nil"/>
              <w:tr2bl w:val="nil"/>
            </w:tcBorders>
            <w:noWrap/>
            <w:vAlign w:val="center"/>
          </w:tcPr>
          <w:p w14:paraId="68419898">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-5.55~-2.72</w:t>
            </w:r>
          </w:p>
        </w:tc>
        <w:tc>
          <w:tcPr>
            <w:tcW w:w="840" w:type="dxa"/>
            <w:tcBorders>
              <w:tl2br w:val="nil"/>
              <w:tr2bl w:val="nil"/>
            </w:tcBorders>
            <w:noWrap/>
            <w:vAlign w:val="center"/>
          </w:tcPr>
          <w:p w14:paraId="3787EEB6">
            <w:pPr>
              <w:widowControl/>
              <w:jc w:val="center"/>
              <w:textAlignment w:val="center"/>
              <w:rPr>
                <w:rFonts w:ascii="Times New Roman" w:hAnsi="Times New Roman" w:eastAsia="宋体" w:cs="Times New Roman"/>
                <w:color w:val="000000"/>
                <w:kern w:val="0"/>
                <w:sz w:val="18"/>
                <w:szCs w:val="18"/>
                <w:highlight w:val="none"/>
                <w:lang w:bidi="ar"/>
              </w:rPr>
            </w:pPr>
            <w:r>
              <w:rPr>
                <w:rFonts w:ascii="Times New Roman" w:hAnsi="Times New Roman" w:eastAsia="宋体" w:cs="Times New Roman"/>
                <w:color w:val="000000"/>
                <w:kern w:val="0"/>
                <w:sz w:val="18"/>
                <w:szCs w:val="18"/>
                <w:highlight w:val="none"/>
                <w:lang w:bidi="ar"/>
              </w:rPr>
              <w:t>&lt;0.001</w:t>
            </w:r>
          </w:p>
        </w:tc>
      </w:tr>
      <w:tr w14:paraId="7ACEFD0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00" w:type="dxa"/>
            <w:tcBorders>
              <w:tl2br w:val="nil"/>
              <w:tr2bl w:val="nil"/>
            </w:tcBorders>
            <w:noWrap/>
            <w:vAlign w:val="center"/>
          </w:tcPr>
          <w:p w14:paraId="756C970D">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Brain &amp; CNS</w:t>
            </w:r>
          </w:p>
        </w:tc>
        <w:tc>
          <w:tcPr>
            <w:tcW w:w="630" w:type="dxa"/>
            <w:tcBorders>
              <w:tl2br w:val="nil"/>
              <w:tr2bl w:val="nil"/>
            </w:tcBorders>
            <w:noWrap/>
            <w:vAlign w:val="center"/>
          </w:tcPr>
          <w:p w14:paraId="61EBBBA4">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4.79</w:t>
            </w:r>
          </w:p>
        </w:tc>
        <w:tc>
          <w:tcPr>
            <w:tcW w:w="636" w:type="dxa"/>
            <w:tcBorders>
              <w:tl2br w:val="nil"/>
              <w:tr2bl w:val="nil"/>
            </w:tcBorders>
            <w:noWrap/>
            <w:vAlign w:val="center"/>
          </w:tcPr>
          <w:p w14:paraId="2B8A6E67">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3.88</w:t>
            </w:r>
          </w:p>
        </w:tc>
        <w:tc>
          <w:tcPr>
            <w:tcW w:w="774" w:type="dxa"/>
            <w:tcBorders>
              <w:tl2br w:val="nil"/>
              <w:tr2bl w:val="nil"/>
            </w:tcBorders>
            <w:noWrap/>
            <w:vAlign w:val="center"/>
          </w:tcPr>
          <w:p w14:paraId="78BA2780">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-4.66 </w:t>
            </w:r>
          </w:p>
        </w:tc>
        <w:tc>
          <w:tcPr>
            <w:tcW w:w="1200" w:type="dxa"/>
            <w:tcBorders>
              <w:tl2br w:val="nil"/>
              <w:tr2bl w:val="nil"/>
            </w:tcBorders>
            <w:noWrap/>
            <w:vAlign w:val="center"/>
          </w:tcPr>
          <w:p w14:paraId="188A61A6">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-8.21~-1.26</w:t>
            </w:r>
          </w:p>
        </w:tc>
        <w:tc>
          <w:tcPr>
            <w:tcW w:w="762" w:type="dxa"/>
            <w:tcBorders>
              <w:tl2br w:val="nil"/>
              <w:tr2bl w:val="nil"/>
            </w:tcBorders>
            <w:noWrap/>
            <w:vAlign w:val="center"/>
          </w:tcPr>
          <w:p w14:paraId="0FD0D26F">
            <w:pPr>
              <w:widowControl/>
              <w:jc w:val="center"/>
              <w:textAlignment w:val="center"/>
              <w:rPr>
                <w:rFonts w:ascii="Times New Roman" w:hAnsi="Times New Roman" w:eastAsia="宋体" w:cs="Times New Roman"/>
                <w:color w:val="00000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0.008 </w:t>
            </w:r>
          </w:p>
        </w:tc>
        <w:tc>
          <w:tcPr>
            <w:tcW w:w="243" w:type="dxa"/>
            <w:tcBorders>
              <w:tl2br w:val="nil"/>
              <w:tr2bl w:val="nil"/>
            </w:tcBorders>
            <w:noWrap/>
            <w:vAlign w:val="center"/>
          </w:tcPr>
          <w:p w14:paraId="5925977B">
            <w:pPr>
              <w:jc w:val="center"/>
              <w:rPr>
                <w:rFonts w:ascii="Times New Roman" w:hAnsi="Times New Roman" w:eastAsia="宋体" w:cs="Times New Roman"/>
                <w:color w:val="000000"/>
                <w:sz w:val="18"/>
                <w:szCs w:val="18"/>
                <w:highlight w:val="none"/>
              </w:rPr>
            </w:pPr>
          </w:p>
        </w:tc>
        <w:tc>
          <w:tcPr>
            <w:tcW w:w="1272" w:type="dxa"/>
            <w:tcBorders>
              <w:tl2br w:val="nil"/>
              <w:tr2bl w:val="nil"/>
            </w:tcBorders>
            <w:noWrap/>
            <w:vAlign w:val="center"/>
          </w:tcPr>
          <w:p w14:paraId="12313B81">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Other and unspecified</w:t>
            </w:r>
          </w:p>
        </w:tc>
        <w:tc>
          <w:tcPr>
            <w:tcW w:w="630" w:type="dxa"/>
            <w:tcBorders>
              <w:tl2br w:val="nil"/>
              <w:tr2bl w:val="nil"/>
            </w:tcBorders>
            <w:noWrap/>
            <w:vAlign w:val="center"/>
          </w:tcPr>
          <w:p w14:paraId="05C473F9">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4.07</w:t>
            </w:r>
          </w:p>
        </w:tc>
        <w:tc>
          <w:tcPr>
            <w:tcW w:w="675" w:type="dxa"/>
            <w:tcBorders>
              <w:tl2br w:val="nil"/>
              <w:tr2bl w:val="nil"/>
            </w:tcBorders>
            <w:noWrap/>
            <w:vAlign w:val="center"/>
          </w:tcPr>
          <w:p w14:paraId="5CA1BC18">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2.95</w:t>
            </w:r>
          </w:p>
        </w:tc>
        <w:tc>
          <w:tcPr>
            <w:tcW w:w="750" w:type="dxa"/>
            <w:tcBorders>
              <w:tl2br w:val="nil"/>
              <w:tr2bl w:val="nil"/>
            </w:tcBorders>
            <w:noWrap/>
            <w:vAlign w:val="center"/>
          </w:tcPr>
          <w:p w14:paraId="43B9DE1A">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-8.64 </w:t>
            </w:r>
          </w:p>
        </w:tc>
        <w:tc>
          <w:tcPr>
            <w:tcW w:w="1172" w:type="dxa"/>
            <w:tcBorders>
              <w:tl2br w:val="nil"/>
              <w:tr2bl w:val="nil"/>
            </w:tcBorders>
            <w:noWrap/>
            <w:vAlign w:val="center"/>
          </w:tcPr>
          <w:p w14:paraId="4C8A6F2D">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-19.53~1.8</w:t>
            </w:r>
            <w:r>
              <w:rPr>
                <w:rFonts w:hint="eastAsia" w:ascii="Times New Roman" w:hAnsi="Times New Roman" w:eastAsia="宋体" w:cs="Times New Roman"/>
                <w:color w:val="000000"/>
                <w:kern w:val="0"/>
                <w:sz w:val="18"/>
                <w:szCs w:val="18"/>
                <w:highlight w:val="none"/>
                <w:lang w:bidi="ar"/>
              </w:rPr>
              <w:t>0</w:t>
            </w:r>
          </w:p>
        </w:tc>
        <w:tc>
          <w:tcPr>
            <w:tcW w:w="763" w:type="dxa"/>
            <w:tcBorders>
              <w:tl2br w:val="nil"/>
              <w:tr2bl w:val="nil"/>
            </w:tcBorders>
            <w:noWrap/>
            <w:vAlign w:val="center"/>
          </w:tcPr>
          <w:p w14:paraId="75D7E21E">
            <w:pPr>
              <w:widowControl/>
              <w:jc w:val="center"/>
              <w:textAlignment w:val="center"/>
              <w:rPr>
                <w:rFonts w:ascii="Times New Roman" w:hAnsi="Times New Roman" w:eastAsia="宋体" w:cs="Times New Roman"/>
                <w:color w:val="00000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0.100 </w:t>
            </w:r>
          </w:p>
        </w:tc>
        <w:tc>
          <w:tcPr>
            <w:tcW w:w="240" w:type="dxa"/>
            <w:tcBorders>
              <w:tl2br w:val="nil"/>
              <w:tr2bl w:val="nil"/>
            </w:tcBorders>
            <w:noWrap/>
            <w:vAlign w:val="center"/>
          </w:tcPr>
          <w:p w14:paraId="760A91C1">
            <w:pPr>
              <w:jc w:val="center"/>
              <w:rPr>
                <w:rFonts w:ascii="Times New Roman" w:hAnsi="Times New Roman" w:eastAsia="宋体" w:cs="Times New Roman"/>
                <w:color w:val="000000"/>
                <w:sz w:val="18"/>
                <w:szCs w:val="18"/>
                <w:highlight w:val="none"/>
              </w:rPr>
            </w:pPr>
          </w:p>
        </w:tc>
        <w:tc>
          <w:tcPr>
            <w:tcW w:w="1200" w:type="dxa"/>
            <w:tcBorders>
              <w:tl2br w:val="nil"/>
              <w:tr2bl w:val="nil"/>
            </w:tcBorders>
            <w:noWrap/>
            <w:vAlign w:val="center"/>
          </w:tcPr>
          <w:p w14:paraId="0E8698DF">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Pancreas</w:t>
            </w:r>
          </w:p>
        </w:tc>
        <w:tc>
          <w:tcPr>
            <w:tcW w:w="645" w:type="dxa"/>
            <w:tcBorders>
              <w:tl2br w:val="nil"/>
              <w:tr2bl w:val="nil"/>
            </w:tcBorders>
            <w:noWrap/>
            <w:vAlign w:val="center"/>
          </w:tcPr>
          <w:p w14:paraId="5CA34AF2">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2.72</w:t>
            </w:r>
          </w:p>
        </w:tc>
        <w:tc>
          <w:tcPr>
            <w:tcW w:w="630" w:type="dxa"/>
            <w:tcBorders>
              <w:tl2br w:val="nil"/>
              <w:tr2bl w:val="nil"/>
            </w:tcBorders>
            <w:noWrap/>
            <w:vAlign w:val="center"/>
          </w:tcPr>
          <w:p w14:paraId="7F7F1EFF">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5.34</w:t>
            </w:r>
          </w:p>
        </w:tc>
        <w:tc>
          <w:tcPr>
            <w:tcW w:w="701" w:type="dxa"/>
            <w:tcBorders>
              <w:tl2br w:val="nil"/>
              <w:tr2bl w:val="nil"/>
            </w:tcBorders>
            <w:noWrap/>
            <w:vAlign w:val="center"/>
          </w:tcPr>
          <w:p w14:paraId="4AD50ADB">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16.10 </w:t>
            </w:r>
          </w:p>
        </w:tc>
        <w:tc>
          <w:tcPr>
            <w:tcW w:w="1245" w:type="dxa"/>
            <w:tcBorders>
              <w:tl2br w:val="nil"/>
              <w:tr2bl w:val="nil"/>
            </w:tcBorders>
            <w:noWrap/>
            <w:vAlign w:val="center"/>
          </w:tcPr>
          <w:p w14:paraId="6A0E54E3">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8.47~25.8</w:t>
            </w:r>
            <w:r>
              <w:rPr>
                <w:rFonts w:hint="eastAsia" w:ascii="Times New Roman" w:hAnsi="Times New Roman" w:eastAsia="宋体" w:cs="Times New Roman"/>
                <w:color w:val="000000"/>
                <w:kern w:val="0"/>
                <w:sz w:val="18"/>
                <w:szCs w:val="18"/>
                <w:highlight w:val="none"/>
                <w:lang w:bidi="ar"/>
              </w:rPr>
              <w:t>0</w:t>
            </w:r>
          </w:p>
        </w:tc>
        <w:tc>
          <w:tcPr>
            <w:tcW w:w="840" w:type="dxa"/>
            <w:tcBorders>
              <w:tl2br w:val="nil"/>
              <w:tr2bl w:val="nil"/>
            </w:tcBorders>
            <w:noWrap/>
            <w:vAlign w:val="center"/>
          </w:tcPr>
          <w:p w14:paraId="42DB86CB">
            <w:pPr>
              <w:widowControl/>
              <w:jc w:val="center"/>
              <w:textAlignment w:val="center"/>
              <w:rPr>
                <w:rFonts w:ascii="Times New Roman" w:hAnsi="Times New Roman" w:eastAsia="宋体" w:cs="Times New Roman"/>
                <w:color w:val="000000"/>
                <w:kern w:val="0"/>
                <w:sz w:val="18"/>
                <w:szCs w:val="18"/>
                <w:highlight w:val="none"/>
                <w:lang w:bidi="ar"/>
              </w:rPr>
            </w:pPr>
            <w:r>
              <w:rPr>
                <w:rFonts w:ascii="Times New Roman" w:hAnsi="Times New Roman" w:eastAsia="宋体" w:cs="Times New Roman"/>
                <w:color w:val="000000"/>
                <w:kern w:val="0"/>
                <w:sz w:val="18"/>
                <w:szCs w:val="18"/>
                <w:highlight w:val="none"/>
                <w:lang w:bidi="ar"/>
              </w:rPr>
              <w:t>&lt;0.001</w:t>
            </w:r>
          </w:p>
        </w:tc>
      </w:tr>
      <w:tr w14:paraId="10A3C4B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00" w:type="dxa"/>
            <w:tcBorders>
              <w:tl2br w:val="nil"/>
              <w:tr2bl w:val="nil"/>
            </w:tcBorders>
            <w:noWrap/>
            <w:vAlign w:val="center"/>
          </w:tcPr>
          <w:p w14:paraId="71CDC2DE">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Prostate</w:t>
            </w:r>
          </w:p>
        </w:tc>
        <w:tc>
          <w:tcPr>
            <w:tcW w:w="630" w:type="dxa"/>
            <w:tcBorders>
              <w:tl2br w:val="nil"/>
              <w:tr2bl w:val="nil"/>
            </w:tcBorders>
            <w:noWrap/>
            <w:vAlign w:val="center"/>
          </w:tcPr>
          <w:p w14:paraId="7DB9A9DE">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2.01</w:t>
            </w:r>
          </w:p>
        </w:tc>
        <w:tc>
          <w:tcPr>
            <w:tcW w:w="636" w:type="dxa"/>
            <w:tcBorders>
              <w:tl2br w:val="nil"/>
              <w:tr2bl w:val="nil"/>
            </w:tcBorders>
            <w:noWrap/>
            <w:vAlign w:val="center"/>
          </w:tcPr>
          <w:p w14:paraId="56B6A727">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6.62</w:t>
            </w:r>
          </w:p>
        </w:tc>
        <w:tc>
          <w:tcPr>
            <w:tcW w:w="774" w:type="dxa"/>
            <w:tcBorders>
              <w:tl2br w:val="nil"/>
              <w:tr2bl w:val="nil"/>
            </w:tcBorders>
            <w:noWrap/>
            <w:vAlign w:val="center"/>
          </w:tcPr>
          <w:p w14:paraId="38376699">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23.44 </w:t>
            </w:r>
          </w:p>
        </w:tc>
        <w:tc>
          <w:tcPr>
            <w:tcW w:w="1200" w:type="dxa"/>
            <w:tcBorders>
              <w:tl2br w:val="nil"/>
              <w:tr2bl w:val="nil"/>
            </w:tcBorders>
            <w:noWrap/>
            <w:vAlign w:val="center"/>
          </w:tcPr>
          <w:p w14:paraId="4067D6D8">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13.73~37.1</w:t>
            </w:r>
          </w:p>
        </w:tc>
        <w:tc>
          <w:tcPr>
            <w:tcW w:w="762" w:type="dxa"/>
            <w:tcBorders>
              <w:tl2br w:val="nil"/>
              <w:tr2bl w:val="nil"/>
            </w:tcBorders>
            <w:noWrap/>
            <w:vAlign w:val="center"/>
          </w:tcPr>
          <w:p w14:paraId="6AA9FF72">
            <w:pPr>
              <w:widowControl/>
              <w:jc w:val="center"/>
              <w:textAlignment w:val="center"/>
              <w:rPr>
                <w:rFonts w:ascii="Times New Roman" w:hAnsi="Times New Roman" w:eastAsia="宋体" w:cs="Times New Roman"/>
                <w:color w:val="000000"/>
                <w:kern w:val="0"/>
                <w:sz w:val="18"/>
                <w:szCs w:val="18"/>
                <w:highlight w:val="none"/>
                <w:lang w:bidi="ar"/>
              </w:rPr>
            </w:pPr>
            <w:r>
              <w:rPr>
                <w:rFonts w:ascii="Times New Roman" w:hAnsi="Times New Roman" w:eastAsia="宋体" w:cs="Times New Roman"/>
                <w:color w:val="000000"/>
                <w:kern w:val="0"/>
                <w:sz w:val="18"/>
                <w:szCs w:val="18"/>
                <w:highlight w:val="none"/>
                <w:lang w:bidi="ar"/>
              </w:rPr>
              <w:t>&lt;0.001</w:t>
            </w:r>
          </w:p>
        </w:tc>
        <w:tc>
          <w:tcPr>
            <w:tcW w:w="243" w:type="dxa"/>
            <w:tcBorders>
              <w:tl2br w:val="nil"/>
              <w:tr2bl w:val="nil"/>
            </w:tcBorders>
            <w:noWrap/>
            <w:vAlign w:val="center"/>
          </w:tcPr>
          <w:p w14:paraId="16B9B699">
            <w:pPr>
              <w:jc w:val="center"/>
              <w:rPr>
                <w:rFonts w:ascii="Times New Roman" w:hAnsi="Times New Roman" w:eastAsia="宋体" w:cs="Times New Roman"/>
                <w:color w:val="000000"/>
                <w:sz w:val="18"/>
                <w:szCs w:val="18"/>
                <w:highlight w:val="none"/>
              </w:rPr>
            </w:pPr>
          </w:p>
        </w:tc>
        <w:tc>
          <w:tcPr>
            <w:tcW w:w="1272" w:type="dxa"/>
            <w:tcBorders>
              <w:tl2br w:val="nil"/>
              <w:tr2bl w:val="nil"/>
            </w:tcBorders>
            <w:noWrap/>
            <w:vAlign w:val="center"/>
          </w:tcPr>
          <w:p w14:paraId="6D9EBA8F">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Nasopharynx</w:t>
            </w:r>
          </w:p>
        </w:tc>
        <w:tc>
          <w:tcPr>
            <w:tcW w:w="630" w:type="dxa"/>
            <w:tcBorders>
              <w:tl2br w:val="nil"/>
              <w:tr2bl w:val="nil"/>
            </w:tcBorders>
            <w:noWrap/>
            <w:vAlign w:val="center"/>
          </w:tcPr>
          <w:p w14:paraId="7D67FBE1">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2.86</w:t>
            </w:r>
          </w:p>
        </w:tc>
        <w:tc>
          <w:tcPr>
            <w:tcW w:w="675" w:type="dxa"/>
            <w:tcBorders>
              <w:tl2br w:val="nil"/>
              <w:tr2bl w:val="nil"/>
            </w:tcBorders>
            <w:noWrap/>
            <w:vAlign w:val="center"/>
          </w:tcPr>
          <w:p w14:paraId="1936D15D">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3.39</w:t>
            </w:r>
          </w:p>
        </w:tc>
        <w:tc>
          <w:tcPr>
            <w:tcW w:w="750" w:type="dxa"/>
            <w:tcBorders>
              <w:tl2br w:val="nil"/>
              <w:tr2bl w:val="nil"/>
            </w:tcBorders>
            <w:noWrap/>
            <w:vAlign w:val="center"/>
          </w:tcPr>
          <w:p w14:paraId="670AA28B">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1.70 </w:t>
            </w:r>
          </w:p>
        </w:tc>
        <w:tc>
          <w:tcPr>
            <w:tcW w:w="1172" w:type="dxa"/>
            <w:tcBorders>
              <w:tl2br w:val="nil"/>
              <w:tr2bl w:val="nil"/>
            </w:tcBorders>
            <w:noWrap/>
            <w:vAlign w:val="center"/>
          </w:tcPr>
          <w:p w14:paraId="1E0A8C75">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-3.95~7.63</w:t>
            </w:r>
          </w:p>
        </w:tc>
        <w:tc>
          <w:tcPr>
            <w:tcW w:w="763" w:type="dxa"/>
            <w:tcBorders>
              <w:tl2br w:val="nil"/>
              <w:tr2bl w:val="nil"/>
            </w:tcBorders>
            <w:noWrap/>
            <w:vAlign w:val="center"/>
          </w:tcPr>
          <w:p w14:paraId="15BB35CE">
            <w:pPr>
              <w:widowControl/>
              <w:jc w:val="center"/>
              <w:textAlignment w:val="center"/>
              <w:rPr>
                <w:rFonts w:ascii="Times New Roman" w:hAnsi="Times New Roman" w:eastAsia="宋体" w:cs="Times New Roman"/>
                <w:color w:val="00000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0.507 </w:t>
            </w:r>
          </w:p>
        </w:tc>
        <w:tc>
          <w:tcPr>
            <w:tcW w:w="240" w:type="dxa"/>
            <w:tcBorders>
              <w:tl2br w:val="nil"/>
              <w:tr2bl w:val="nil"/>
            </w:tcBorders>
            <w:noWrap/>
            <w:vAlign w:val="center"/>
          </w:tcPr>
          <w:p w14:paraId="4A0BD662">
            <w:pPr>
              <w:jc w:val="center"/>
              <w:rPr>
                <w:rFonts w:ascii="Times New Roman" w:hAnsi="Times New Roman" w:eastAsia="宋体" w:cs="Times New Roman"/>
                <w:color w:val="000000"/>
                <w:sz w:val="18"/>
                <w:szCs w:val="18"/>
                <w:highlight w:val="none"/>
              </w:rPr>
            </w:pPr>
          </w:p>
        </w:tc>
        <w:tc>
          <w:tcPr>
            <w:tcW w:w="1200" w:type="dxa"/>
            <w:tcBorders>
              <w:tl2br w:val="nil"/>
              <w:tr2bl w:val="nil"/>
            </w:tcBorders>
            <w:noWrap/>
            <w:vAlign w:val="center"/>
          </w:tcPr>
          <w:p w14:paraId="432C506F">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231F20"/>
                <w:kern w:val="0"/>
                <w:sz w:val="18"/>
                <w:szCs w:val="18"/>
                <w:highlight w:val="none"/>
                <w:lang w:bidi="ar"/>
              </w:rPr>
              <w:t>Ovarian</w:t>
            </w:r>
          </w:p>
        </w:tc>
        <w:tc>
          <w:tcPr>
            <w:tcW w:w="645" w:type="dxa"/>
            <w:tcBorders>
              <w:tl2br w:val="nil"/>
              <w:tr2bl w:val="nil"/>
            </w:tcBorders>
            <w:noWrap/>
            <w:vAlign w:val="center"/>
          </w:tcPr>
          <w:p w14:paraId="16167C35">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1.98</w:t>
            </w:r>
          </w:p>
        </w:tc>
        <w:tc>
          <w:tcPr>
            <w:tcW w:w="630" w:type="dxa"/>
            <w:tcBorders>
              <w:tl2br w:val="nil"/>
              <w:tr2bl w:val="nil"/>
            </w:tcBorders>
            <w:noWrap/>
            <w:vAlign w:val="center"/>
          </w:tcPr>
          <w:p w14:paraId="77A7B479">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1.98</w:t>
            </w:r>
          </w:p>
        </w:tc>
        <w:tc>
          <w:tcPr>
            <w:tcW w:w="701" w:type="dxa"/>
            <w:tcBorders>
              <w:tl2br w:val="nil"/>
              <w:tr2bl w:val="nil"/>
            </w:tcBorders>
            <w:noWrap/>
            <w:vAlign w:val="center"/>
          </w:tcPr>
          <w:p w14:paraId="77C38123">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5.59 </w:t>
            </w:r>
          </w:p>
        </w:tc>
        <w:tc>
          <w:tcPr>
            <w:tcW w:w="1245" w:type="dxa"/>
            <w:tcBorders>
              <w:tl2br w:val="nil"/>
              <w:tr2bl w:val="nil"/>
            </w:tcBorders>
            <w:noWrap/>
            <w:vAlign w:val="center"/>
          </w:tcPr>
          <w:p w14:paraId="223E0D3C">
            <w:pPr>
              <w:widowControl/>
              <w:jc w:val="center"/>
              <w:textAlignment w:val="center"/>
              <w:rPr>
                <w:rFonts w:ascii="Times New Roman" w:hAnsi="Times New Roman" w:eastAsia="宋体" w:cs="Times New Roman"/>
                <w:color w:val="231F20"/>
                <w:kern w:val="0"/>
                <w:sz w:val="18"/>
                <w:szCs w:val="18"/>
                <w:highlight w:val="none"/>
                <w:lang w:bidi="ar"/>
              </w:rPr>
            </w:pPr>
            <w:r>
              <w:rPr>
                <w:rFonts w:ascii="Times New Roman" w:hAnsi="Times New Roman" w:eastAsia="宋体" w:cs="Times New Roman"/>
                <w:color w:val="000000"/>
                <w:kern w:val="0"/>
                <w:sz w:val="18"/>
                <w:szCs w:val="18"/>
                <w:highlight w:val="none"/>
                <w:lang w:bidi="ar"/>
              </w:rPr>
              <w:t>-6.76~19.54</w:t>
            </w:r>
          </w:p>
        </w:tc>
        <w:tc>
          <w:tcPr>
            <w:tcW w:w="840" w:type="dxa"/>
            <w:tcBorders>
              <w:tl2br w:val="nil"/>
              <w:tr2bl w:val="nil"/>
            </w:tcBorders>
            <w:noWrap/>
            <w:vAlign w:val="center"/>
          </w:tcPr>
          <w:p w14:paraId="418E7177">
            <w:pPr>
              <w:widowControl/>
              <w:jc w:val="center"/>
              <w:textAlignment w:val="center"/>
              <w:rPr>
                <w:rFonts w:ascii="Times New Roman" w:hAnsi="Times New Roman" w:eastAsia="宋体" w:cs="Times New Roman"/>
                <w:color w:val="000000"/>
                <w:kern w:val="0"/>
                <w:sz w:val="18"/>
                <w:szCs w:val="18"/>
                <w:highlight w:val="none"/>
                <w:lang w:bidi="ar"/>
              </w:rPr>
            </w:pPr>
            <w:r>
              <w:rPr>
                <w:rFonts w:ascii="Times New Roman" w:hAnsi="Times New Roman" w:eastAsia="宋体" w:cs="Times New Roman"/>
                <w:color w:val="000000"/>
                <w:kern w:val="0"/>
                <w:sz w:val="18"/>
                <w:szCs w:val="18"/>
                <w:highlight w:val="none"/>
                <w:lang w:bidi="ar"/>
              </w:rPr>
              <w:t xml:space="preserve">0.396 </w:t>
            </w:r>
          </w:p>
        </w:tc>
      </w:tr>
    </w:tbl>
    <w:p w14:paraId="75BD6156">
      <w:pPr>
        <w:spacing w:line="240" w:lineRule="auto"/>
        <w:jc w:val="left"/>
        <w:rPr>
          <w:rFonts w:ascii="Times New Roman" w:hAnsi="Times New Roman" w:cs="Times New Roman"/>
          <w:sz w:val="28"/>
          <w:szCs w:val="28"/>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0" w:num="1"/>
          <w:titlePg/>
          <w:rtlGutter w:val="0"/>
          <w:docGrid w:type="lines" w:linePitch="319" w:charSpace="0"/>
        </w:sectPr>
      </w:pPr>
      <w:r>
        <w:rPr>
          <w:rFonts w:ascii="Times New Roman" w:hAnsi="Times New Roman" w:cs="Times New Roman"/>
          <w:sz w:val="16"/>
          <w:szCs w:val="16"/>
          <w:highlight w:val="none"/>
        </w:rPr>
        <w:t>Note: Breast cancer cases include females only</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rPr>
        <w:t>AAPC</w:t>
      </w:r>
      <w:r>
        <w:rPr>
          <w:rFonts w:hint="eastAsia" w:ascii="Times New Roman" w:hAnsi="Times New Roman" w:cs="Times New Roman"/>
          <w:sz w:val="16"/>
          <w:szCs w:val="16"/>
          <w:highlight w:val="none"/>
          <w:lang w:val="en-US" w:eastAsia="zh-CN"/>
        </w:rPr>
        <w:t xml:space="preserve">: </w:t>
      </w:r>
      <w:r>
        <w:rPr>
          <w:rFonts w:hint="eastAsia" w:ascii="Times New Roman" w:hAnsi="Times New Roman" w:cs="Times New Roman"/>
          <w:sz w:val="16"/>
          <w:szCs w:val="16"/>
          <w:highlight w:val="none"/>
          <w:lang w:eastAsia="zh-CN"/>
        </w:rPr>
        <w:t>average annual percentage change</w:t>
      </w:r>
      <w:r>
        <w:rPr>
          <w:rFonts w:hint="eastAsia" w:ascii="Times New Roman" w:hAnsi="Times New Roman" w:cs="Times New Roman"/>
          <w:sz w:val="16"/>
          <w:szCs w:val="16"/>
          <w:highlight w:val="none"/>
        </w:rPr>
        <w:t>.</w:t>
      </w:r>
      <w:r>
        <w:rPr>
          <w:rFonts w:ascii="Times New Roman" w:hAnsi="Times New Roman" w:cs="Times New Roman"/>
          <w:sz w:val="28"/>
          <w:szCs w:val="28"/>
          <w:highlight w:val="none"/>
        </w:rPr>
        <w:br w:type="page"/>
      </w:r>
    </w:p>
    <w:p w14:paraId="7D4C126E">
      <w:pPr>
        <w:rPr>
          <w:rFonts w:ascii="Times New Roman" w:hAnsi="Times New Roman" w:cs="Times New Roman"/>
          <w:b/>
          <w:bCs/>
          <w:sz w:val="28"/>
          <w:szCs w:val="28"/>
          <w:highlight w:val="none"/>
        </w:rPr>
      </w:pPr>
      <w:r>
        <w:rPr>
          <w:rFonts w:ascii="Times New Roman" w:hAnsi="Times New Roman" w:cs="Times New Roman"/>
          <w:b/>
          <w:bCs/>
          <w:sz w:val="28"/>
          <w:szCs w:val="28"/>
          <w:highlight w:val="none"/>
        </w:rPr>
        <w:t>3 讨论</w:t>
      </w:r>
    </w:p>
    <w:p w14:paraId="6A6BFF45">
      <w:pPr>
        <w:rPr>
          <w:rFonts w:ascii="Times New Roman" w:hAnsi="Times New Roman" w:cs="Times New Roman"/>
          <w:b/>
          <w:bCs/>
          <w:sz w:val="28"/>
          <w:szCs w:val="28"/>
          <w:highlight w:val="none"/>
        </w:rPr>
      </w:pPr>
      <w:r>
        <w:rPr>
          <w:rFonts w:ascii="Times New Roman" w:hAnsi="Times New Roman" w:cs="Times New Roman"/>
          <w:b/>
          <w:bCs/>
          <w:sz w:val="28"/>
          <w:szCs w:val="28"/>
          <w:highlight w:val="none"/>
        </w:rPr>
        <w:t xml:space="preserve">3.1 </w:t>
      </w:r>
      <w:r>
        <w:rPr>
          <w:rFonts w:hint="eastAsia" w:ascii="Times New Roman" w:hAnsi="Times New Roman" w:cs="Times New Roman"/>
          <w:b/>
          <w:bCs/>
          <w:sz w:val="28"/>
          <w:szCs w:val="28"/>
          <w:highlight w:val="none"/>
        </w:rPr>
        <w:t>恶性肿瘤发病和死亡情况及变化趋势</w:t>
      </w:r>
    </w:p>
    <w:p w14:paraId="4F5C401E">
      <w:pPr>
        <w:ind w:firstLine="560" w:firstLineChars="200"/>
        <w:rPr>
          <w:rFonts w:hint="eastAsia" w:ascii="Times New Roman" w:hAnsi="Times New Roman" w:cs="Times New Roman"/>
          <w:sz w:val="28"/>
          <w:szCs w:val="28"/>
          <w:highlight w:val="none"/>
        </w:rPr>
      </w:pPr>
      <w:r>
        <w:rPr>
          <w:rFonts w:hint="eastAsia" w:ascii="Times New Roman" w:hAnsi="Times New Roman" w:cs="Times New Roman"/>
          <w:sz w:val="28"/>
          <w:szCs w:val="28"/>
          <w:highlight w:val="none"/>
        </w:rPr>
        <w:t>2018—2023年，</w:t>
      </w:r>
      <w:r>
        <w:rPr>
          <w:rFonts w:hint="eastAsia" w:ascii="Times New Roman" w:hAnsi="Times New Roman" w:cs="Times New Roman"/>
          <w:sz w:val="28"/>
          <w:szCs w:val="28"/>
          <w:highlight w:val="none"/>
          <w:lang w:val="en-US" w:eastAsia="zh-CN"/>
        </w:rPr>
        <w:t>遂宁</w:t>
      </w:r>
      <w:r>
        <w:rPr>
          <w:rFonts w:hint="eastAsia" w:ascii="Times New Roman" w:hAnsi="Times New Roman" w:cs="Times New Roman"/>
          <w:sz w:val="28"/>
          <w:szCs w:val="28"/>
          <w:highlight w:val="none"/>
        </w:rPr>
        <w:t>市恶性肿瘤中标发病率为155.84/10万，中标死亡率为94.08/10万，世标发病率为152.98/10万，世标死亡率为93.53/10万。与全国2022年</w:t>
      </w:r>
      <w:r>
        <w:rPr>
          <w:rFonts w:hint="eastAsia" w:ascii="Times New Roman" w:hAnsi="Times New Roman" w:cs="Times New Roman" w:eastAsiaTheme="minorEastAsia"/>
          <w:kern w:val="2"/>
          <w:sz w:val="28"/>
          <w:szCs w:val="28"/>
          <w:highlight w:val="none"/>
          <w:vertAlign w:val="superscript"/>
          <w:lang w:val="en-US" w:eastAsia="zh-CN" w:bidi="ar-SA"/>
        </w:rPr>
        <w:t>[12]</w:t>
      </w:r>
      <w:r>
        <w:rPr>
          <w:rFonts w:hint="eastAsia" w:ascii="Times New Roman" w:hAnsi="Times New Roman" w:cs="Times New Roman"/>
          <w:sz w:val="28"/>
          <w:szCs w:val="28"/>
          <w:highlight w:val="none"/>
        </w:rPr>
        <w:t>相比，遂宁市</w:t>
      </w:r>
      <w:r>
        <w:rPr>
          <w:rFonts w:hint="eastAsia" w:ascii="Times New Roman" w:hAnsi="Times New Roman" w:cs="Times New Roman"/>
          <w:sz w:val="28"/>
          <w:szCs w:val="28"/>
          <w:highlight w:val="none"/>
          <w:lang w:val="en-US" w:eastAsia="zh-CN"/>
        </w:rPr>
        <w:t>同期</w:t>
      </w:r>
      <w:r>
        <w:rPr>
          <w:rFonts w:hint="eastAsia" w:ascii="Times New Roman" w:hAnsi="Times New Roman" w:cs="Times New Roman"/>
          <w:sz w:val="28"/>
          <w:szCs w:val="28"/>
          <w:highlight w:val="none"/>
        </w:rPr>
        <w:t>世标发病率</w:t>
      </w:r>
      <w:r>
        <w:rPr>
          <w:rFonts w:hint="eastAsia" w:ascii="Times New Roman" w:hAnsi="Times New Roman" w:cs="Times New Roman"/>
          <w:sz w:val="28"/>
          <w:szCs w:val="28"/>
          <w:highlight w:val="none"/>
          <w:lang w:val="en-US" w:eastAsia="zh-CN"/>
        </w:rPr>
        <w:t>和死亡率</w:t>
      </w:r>
      <w:r>
        <w:rPr>
          <w:rFonts w:hint="eastAsia" w:ascii="Times New Roman" w:hAnsi="Times New Roman" w:cs="Times New Roman"/>
          <w:sz w:val="28"/>
          <w:szCs w:val="28"/>
          <w:highlight w:val="none"/>
        </w:rPr>
        <w:t>（141.36/10万</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rPr>
        <w:t>88.45/10万）明显低于全国（201.61/10万</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96.47</w:t>
      </w:r>
      <w:r>
        <w:rPr>
          <w:rFonts w:hint="eastAsia" w:ascii="Times New Roman" w:hAnsi="Times New Roman" w:cs="Times New Roman"/>
          <w:sz w:val="28"/>
          <w:szCs w:val="28"/>
          <w:highlight w:val="none"/>
        </w:rPr>
        <w:t>/10万）</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与</w:t>
      </w:r>
      <w:r>
        <w:rPr>
          <w:rFonts w:hint="eastAsia" w:ascii="Times New Roman" w:hAnsi="Times New Roman" w:cs="Times New Roman"/>
          <w:sz w:val="28"/>
          <w:szCs w:val="28"/>
          <w:highlight w:val="none"/>
        </w:rPr>
        <w:t>四川省</w:t>
      </w:r>
      <w:r>
        <w:rPr>
          <w:rFonts w:hint="eastAsia" w:ascii="Times New Roman" w:hAnsi="Times New Roman" w:cs="Times New Roman"/>
          <w:sz w:val="28"/>
          <w:szCs w:val="28"/>
          <w:highlight w:val="none"/>
          <w:lang w:val="en-US" w:eastAsia="zh-CN"/>
        </w:rPr>
        <w:t>2021年</w:t>
      </w:r>
      <w:r>
        <w:rPr>
          <w:rFonts w:hint="eastAsia" w:ascii="Times New Roman" w:hAnsi="Times New Roman" w:cs="Times New Roman" w:eastAsiaTheme="minorEastAsia"/>
          <w:kern w:val="2"/>
          <w:sz w:val="28"/>
          <w:szCs w:val="28"/>
          <w:highlight w:val="none"/>
          <w:vertAlign w:val="superscript"/>
          <w:lang w:val="en-US" w:eastAsia="zh-CN" w:bidi="ar-SA"/>
        </w:rPr>
        <w:t>[5]</w:t>
      </w:r>
      <w:r>
        <w:rPr>
          <w:rFonts w:hint="eastAsia" w:ascii="Times New Roman" w:hAnsi="Times New Roman" w:cs="Times New Roman"/>
          <w:sz w:val="28"/>
          <w:szCs w:val="28"/>
          <w:highlight w:val="none"/>
        </w:rPr>
        <w:t>相比，遂宁市</w:t>
      </w:r>
      <w:r>
        <w:rPr>
          <w:rFonts w:hint="eastAsia" w:ascii="Times New Roman" w:hAnsi="Times New Roman" w:cs="Times New Roman"/>
          <w:sz w:val="28"/>
          <w:szCs w:val="28"/>
          <w:highlight w:val="none"/>
          <w:lang w:val="en-US" w:eastAsia="zh-CN"/>
        </w:rPr>
        <w:t>同期</w:t>
      </w:r>
      <w:r>
        <w:rPr>
          <w:rFonts w:hint="eastAsia" w:ascii="Times New Roman" w:hAnsi="Times New Roman" w:cs="Times New Roman"/>
          <w:sz w:val="28"/>
          <w:szCs w:val="28"/>
          <w:highlight w:val="none"/>
        </w:rPr>
        <w:t>中标发病率（158.35/10万</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低于全省</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rPr>
        <w:t>164.67/10万）</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但</w:t>
      </w:r>
      <w:r>
        <w:rPr>
          <w:rFonts w:hint="eastAsia" w:ascii="Times New Roman" w:hAnsi="Times New Roman" w:cs="Times New Roman"/>
          <w:sz w:val="28"/>
          <w:szCs w:val="28"/>
          <w:highlight w:val="none"/>
        </w:rPr>
        <w:t>中标死亡率（95.</w:t>
      </w:r>
      <w:r>
        <w:rPr>
          <w:rFonts w:hint="eastAsia" w:ascii="Times New Roman" w:hAnsi="Times New Roman" w:cs="Times New Roman"/>
          <w:sz w:val="28"/>
          <w:szCs w:val="28"/>
          <w:highlight w:val="none"/>
          <w:lang w:val="en-US" w:eastAsia="zh-CN"/>
        </w:rPr>
        <w:t>27</w:t>
      </w:r>
      <w:r>
        <w:rPr>
          <w:rFonts w:hint="eastAsia" w:ascii="Times New Roman" w:hAnsi="Times New Roman" w:cs="Times New Roman"/>
          <w:sz w:val="28"/>
          <w:szCs w:val="28"/>
          <w:highlight w:val="none"/>
        </w:rPr>
        <w:t>/10万）</w:t>
      </w:r>
      <w:r>
        <w:rPr>
          <w:rFonts w:hint="eastAsia" w:ascii="Times New Roman" w:hAnsi="Times New Roman" w:cs="Times New Roman"/>
          <w:sz w:val="28"/>
          <w:szCs w:val="28"/>
          <w:highlight w:val="none"/>
          <w:lang w:val="en-US" w:eastAsia="zh-CN"/>
        </w:rPr>
        <w:t>高于全省（</w:t>
      </w:r>
      <w:r>
        <w:rPr>
          <w:rFonts w:hint="eastAsia" w:ascii="Times New Roman" w:hAnsi="Times New Roman" w:cs="Times New Roman"/>
          <w:sz w:val="28"/>
          <w:szCs w:val="28"/>
          <w:highlight w:val="none"/>
        </w:rPr>
        <w:t>9</w:t>
      </w:r>
      <w:r>
        <w:rPr>
          <w:rFonts w:hint="eastAsia" w:ascii="Times New Roman" w:hAnsi="Times New Roman" w:cs="Times New Roman"/>
          <w:sz w:val="28"/>
          <w:szCs w:val="28"/>
          <w:highlight w:val="none"/>
          <w:lang w:val="en-US" w:eastAsia="zh-CN"/>
        </w:rPr>
        <w:t>2.47</w:t>
      </w:r>
      <w:r>
        <w:rPr>
          <w:rFonts w:hint="eastAsia" w:ascii="Times New Roman" w:hAnsi="Times New Roman" w:cs="Times New Roman"/>
          <w:sz w:val="28"/>
          <w:szCs w:val="28"/>
          <w:highlight w:val="none"/>
        </w:rPr>
        <w:t>/10万</w:t>
      </w:r>
      <w:r>
        <w:rPr>
          <w:rFonts w:hint="eastAsia" w:ascii="Times New Roman" w:hAnsi="Times New Roman" w:cs="Times New Roman"/>
          <w:sz w:val="28"/>
          <w:szCs w:val="28"/>
          <w:highlight w:val="none"/>
          <w:lang w:eastAsia="zh-CN"/>
        </w:rPr>
        <w:t>）。</w:t>
      </w:r>
      <w:r>
        <w:rPr>
          <w:rFonts w:hint="eastAsia" w:ascii="Times New Roman" w:hAnsi="Times New Roman" w:eastAsia="宋体" w:cs="Times New Roman"/>
          <w:sz w:val="28"/>
          <w:szCs w:val="28"/>
          <w:highlight w:val="none"/>
          <w:lang w:val="en-US" w:eastAsia="zh-CN"/>
        </w:rPr>
        <w:t>与省内地级市</w:t>
      </w:r>
      <w:r>
        <w:rPr>
          <w:rFonts w:hint="eastAsia" w:ascii="Times New Roman" w:hAnsi="Times New Roman" w:eastAsia="宋体" w:cs="Times New Roman"/>
          <w:kern w:val="2"/>
          <w:sz w:val="28"/>
          <w:szCs w:val="28"/>
          <w:highlight w:val="none"/>
          <w:vertAlign w:val="superscript"/>
          <w:lang w:val="en-US" w:eastAsia="zh-CN" w:bidi="ar-SA"/>
        </w:rPr>
        <w:t>[13-15]</w:t>
      </w:r>
      <w:r>
        <w:rPr>
          <w:rFonts w:hint="eastAsia" w:ascii="Times New Roman" w:hAnsi="Times New Roman" w:eastAsia="宋体" w:cs="Times New Roman"/>
          <w:sz w:val="28"/>
          <w:szCs w:val="28"/>
          <w:highlight w:val="none"/>
          <w:lang w:val="en-US" w:eastAsia="zh-CN"/>
        </w:rPr>
        <w:t>相比，遂宁市中标发病率低于雅安市（2022年）和德阳市（2019年），高于绵阳市（2020年）；中标死亡率高于雅安市（2022年），与绵阳市持平（2020年），低于德阳市（2019年）。同时，遂宁市</w:t>
      </w:r>
      <w:r>
        <w:rPr>
          <w:rFonts w:hint="eastAsia" w:ascii="Times New Roman" w:hAnsi="Times New Roman" w:cs="Times New Roman"/>
          <w:sz w:val="28"/>
          <w:szCs w:val="28"/>
          <w:highlight w:val="none"/>
        </w:rPr>
        <w:t>男性发病率和死亡率均高于女性，这一性别差异可能与</w:t>
      </w:r>
      <w:r>
        <w:rPr>
          <w:rFonts w:ascii="Times New Roman" w:hAnsi="Times New Roman" w:cs="Times New Roman"/>
          <w:sz w:val="28"/>
          <w:szCs w:val="28"/>
          <w:highlight w:val="none"/>
        </w:rPr>
        <w:t>男性</w:t>
      </w:r>
      <w:r>
        <w:rPr>
          <w:rFonts w:hint="eastAsia" w:ascii="Times New Roman" w:hAnsi="Times New Roman" w:cs="Times New Roman"/>
          <w:sz w:val="28"/>
          <w:szCs w:val="28"/>
          <w:highlight w:val="none"/>
        </w:rPr>
        <w:t>吸烟、饮酒等危险因素暴露率更高</w:t>
      </w:r>
      <w:r>
        <w:rPr>
          <w:rFonts w:hint="eastAsia" w:ascii="Times New Roman" w:hAnsi="Times New Roman" w:cs="Times New Roman" w:eastAsiaTheme="minorEastAsia"/>
          <w:kern w:val="2"/>
          <w:sz w:val="28"/>
          <w:szCs w:val="28"/>
          <w:highlight w:val="none"/>
          <w:vertAlign w:val="superscript"/>
          <w:lang w:val="en-US" w:eastAsia="zh-CN" w:bidi="ar-SA"/>
        </w:rPr>
        <w:t>[16]</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rPr>
        <w:t>以及男性</w:t>
      </w:r>
      <w:r>
        <w:rPr>
          <w:rFonts w:hint="eastAsia" w:ascii="Times New Roman" w:hAnsi="Times New Roman" w:cs="Times New Roman"/>
          <w:sz w:val="28"/>
          <w:szCs w:val="28"/>
          <w:highlight w:val="none"/>
          <w:lang w:val="en-US" w:eastAsia="zh-CN"/>
        </w:rPr>
        <w:t>筛查</w:t>
      </w:r>
      <w:r>
        <w:rPr>
          <w:rFonts w:ascii="Times New Roman" w:hAnsi="Times New Roman" w:cs="Times New Roman"/>
          <w:sz w:val="28"/>
          <w:szCs w:val="28"/>
          <w:highlight w:val="none"/>
        </w:rPr>
        <w:t>比例低</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rPr>
        <w:t>健康意识相对薄弱、就医延迟现象更为突出有关</w:t>
      </w:r>
      <w:r>
        <w:rPr>
          <w:rFonts w:hint="eastAsia" w:ascii="Times New Roman" w:hAnsi="Times New Roman" w:cs="Times New Roman" w:eastAsiaTheme="minorEastAsia"/>
          <w:kern w:val="2"/>
          <w:sz w:val="28"/>
          <w:szCs w:val="28"/>
          <w:highlight w:val="none"/>
          <w:vertAlign w:val="superscript"/>
          <w:lang w:val="en-US" w:eastAsia="zh-CN" w:bidi="ar-SA"/>
        </w:rPr>
        <w:t>[17,18]</w:t>
      </w:r>
      <w:r>
        <w:rPr>
          <w:rFonts w:ascii="Times New Roman" w:hAnsi="Times New Roman" w:cs="Times New Roman"/>
          <w:sz w:val="28"/>
          <w:szCs w:val="28"/>
          <w:highlight w:val="none"/>
        </w:rPr>
        <w:t>。</w:t>
      </w:r>
    </w:p>
    <w:p w14:paraId="509A8A0E">
      <w:pPr>
        <w:ind w:firstLine="560" w:firstLineChars="200"/>
        <w:rPr>
          <w:rFonts w:hint="eastAsia" w:ascii="Times New Roman" w:hAnsi="Times New Roman" w:cs="Times New Roman"/>
          <w:sz w:val="28"/>
          <w:szCs w:val="28"/>
          <w:highlight w:val="none"/>
          <w:lang w:eastAsia="zh-CN"/>
        </w:rPr>
      </w:pPr>
      <w:r>
        <w:rPr>
          <w:rFonts w:hint="eastAsia" w:ascii="Times New Roman" w:hAnsi="Times New Roman" w:cs="Times New Roman"/>
          <w:sz w:val="28"/>
          <w:szCs w:val="28"/>
          <w:highlight w:val="none"/>
          <w:lang w:eastAsia="zh-CN"/>
        </w:rPr>
        <w:t>2018—2023年，遂宁市全人群恶性肿瘤中标死亡率和世标死亡率分别年均下降2.12%和2.17%，</w:t>
      </w:r>
      <w:r>
        <w:rPr>
          <w:rFonts w:hint="eastAsia" w:ascii="Times New Roman" w:hAnsi="Times New Roman" w:cs="Times New Roman"/>
          <w:sz w:val="28"/>
          <w:szCs w:val="28"/>
          <w:highlight w:val="none"/>
          <w:lang w:val="en-US" w:eastAsia="zh-CN"/>
        </w:rPr>
        <w:t>表明在</w:t>
      </w:r>
      <w:r>
        <w:rPr>
          <w:rFonts w:hint="eastAsia" w:ascii="Times New Roman" w:hAnsi="Times New Roman" w:cs="Times New Roman"/>
          <w:sz w:val="28"/>
          <w:szCs w:val="28"/>
          <w:highlight w:val="none"/>
          <w:lang w:eastAsia="zh-CN"/>
        </w:rPr>
        <w:t>调整年龄结构后恶性肿瘤防控工作取得一定成效。但同期粗发病率与粗死亡率均未显著下降，提示老龄化推高了肿瘤负担的绝对数值，在一定程度上掩盖了防控工作的实际效果</w:t>
      </w:r>
      <w:r>
        <w:rPr>
          <w:rFonts w:hint="eastAsia" w:ascii="Times New Roman" w:hAnsi="Times New Roman" w:cs="Times New Roman" w:eastAsiaTheme="minorEastAsia"/>
          <w:kern w:val="2"/>
          <w:sz w:val="28"/>
          <w:szCs w:val="28"/>
          <w:highlight w:val="none"/>
          <w:vertAlign w:val="superscript"/>
          <w:lang w:val="en-US" w:eastAsia="zh-CN" w:bidi="ar-SA"/>
        </w:rPr>
        <w:t>[12,19]</w:t>
      </w:r>
      <w:r>
        <w:rPr>
          <w:rFonts w:hint="eastAsia" w:ascii="Times New Roman" w:hAnsi="Times New Roman" w:cs="Times New Roman"/>
          <w:sz w:val="28"/>
          <w:szCs w:val="28"/>
          <w:highlight w:val="none"/>
          <w:lang w:eastAsia="zh-CN"/>
        </w:rPr>
        <w:t>。</w:t>
      </w:r>
    </w:p>
    <w:p w14:paraId="1A91C1A9">
      <w:pPr>
        <w:rPr>
          <w:rFonts w:ascii="Times New Roman" w:hAnsi="Times New Roman" w:cs="Times New Roman"/>
          <w:b/>
          <w:bCs/>
          <w:sz w:val="28"/>
          <w:szCs w:val="28"/>
          <w:highlight w:val="none"/>
        </w:rPr>
      </w:pPr>
      <w:r>
        <w:rPr>
          <w:rFonts w:ascii="Times New Roman" w:hAnsi="Times New Roman" w:cs="Times New Roman"/>
          <w:b/>
          <w:bCs/>
          <w:sz w:val="28"/>
          <w:szCs w:val="28"/>
          <w:highlight w:val="none"/>
        </w:rPr>
        <w:t>3.2</w:t>
      </w:r>
      <w:r>
        <w:rPr>
          <w:rFonts w:hint="eastAsia" w:ascii="Times New Roman" w:hAnsi="Times New Roman" w:cs="Times New Roman"/>
          <w:b/>
          <w:bCs/>
          <w:sz w:val="28"/>
          <w:szCs w:val="28"/>
          <w:highlight w:val="none"/>
        </w:rPr>
        <w:t>恶性肿瘤年龄组发病和死亡及变化趋势</w:t>
      </w:r>
    </w:p>
    <w:p w14:paraId="64BF2751">
      <w:pPr>
        <w:ind w:firstLine="560" w:firstLineChars="200"/>
        <w:rPr>
          <w:rFonts w:hint="eastAsia" w:ascii="Times New Roman" w:hAnsi="Times New Roman" w:cs="Times New Roman"/>
          <w:sz w:val="28"/>
          <w:szCs w:val="28"/>
          <w:highlight w:val="none"/>
          <w:lang w:eastAsia="zh-CN"/>
        </w:rPr>
      </w:pPr>
      <w:r>
        <w:rPr>
          <w:rFonts w:ascii="Times New Roman" w:hAnsi="Times New Roman" w:cs="Times New Roman"/>
          <w:sz w:val="28"/>
          <w:szCs w:val="28"/>
          <w:highlight w:val="none"/>
        </w:rPr>
        <w:t>年龄是恶性肿瘤最重要的独立危险因素之一</w:t>
      </w:r>
      <w:r>
        <w:rPr>
          <w:rFonts w:hint="eastAsia" w:ascii="Times New Roman" w:hAnsi="Times New Roman" w:cs="Times New Roman" w:eastAsiaTheme="minorEastAsia"/>
          <w:kern w:val="2"/>
          <w:sz w:val="28"/>
          <w:szCs w:val="28"/>
          <w:highlight w:val="none"/>
          <w:vertAlign w:val="superscript"/>
          <w:lang w:val="en-US" w:eastAsia="zh-CN" w:bidi="ar-SA"/>
        </w:rPr>
        <w:t>[20]</w:t>
      </w:r>
      <w:r>
        <w:rPr>
          <w:rFonts w:hint="eastAsia" w:ascii="Times New Roman" w:hAnsi="Times New Roman" w:cs="Times New Roman"/>
          <w:sz w:val="28"/>
          <w:szCs w:val="28"/>
          <w:highlight w:val="none"/>
          <w:lang w:eastAsia="zh-CN"/>
        </w:rPr>
        <w:t>，老年人群伴随细胞修复能力减退与免疫功能衰退，叠加危险因素长期累积，发病风险显著升高</w:t>
      </w:r>
      <w:r>
        <w:rPr>
          <w:rFonts w:hint="eastAsia" w:ascii="Times New Roman" w:hAnsi="Times New Roman" w:cs="Times New Roman" w:eastAsiaTheme="minorEastAsia"/>
          <w:kern w:val="2"/>
          <w:sz w:val="28"/>
          <w:szCs w:val="28"/>
          <w:highlight w:val="none"/>
          <w:vertAlign w:val="superscript"/>
          <w:lang w:val="en-US" w:eastAsia="zh-CN" w:bidi="ar-SA"/>
        </w:rPr>
        <w:t>[3,16]</w:t>
      </w:r>
      <w:r>
        <w:rPr>
          <w:rFonts w:ascii="Times New Roman" w:hAnsi="Times New Roman" w:cs="Times New Roman"/>
          <w:sz w:val="28"/>
          <w:szCs w:val="28"/>
          <w:highlight w:val="none"/>
        </w:rPr>
        <w:t>。遂宁市恶性肿瘤年龄</w:t>
      </w:r>
      <w:r>
        <w:rPr>
          <w:rFonts w:hint="eastAsia" w:ascii="Times New Roman" w:hAnsi="Times New Roman" w:cs="Times New Roman"/>
          <w:sz w:val="28"/>
          <w:szCs w:val="28"/>
          <w:highlight w:val="none"/>
        </w:rPr>
        <w:t>组</w:t>
      </w:r>
      <w:r>
        <w:rPr>
          <w:rFonts w:ascii="Times New Roman" w:hAnsi="Times New Roman" w:cs="Times New Roman"/>
          <w:sz w:val="28"/>
          <w:szCs w:val="28"/>
          <w:highlight w:val="none"/>
        </w:rPr>
        <w:t>发病率</w:t>
      </w:r>
      <w:r>
        <w:rPr>
          <w:rFonts w:hint="eastAsia" w:ascii="Times New Roman" w:hAnsi="Times New Roman" w:cs="Times New Roman"/>
          <w:sz w:val="28"/>
          <w:szCs w:val="28"/>
          <w:highlight w:val="none"/>
          <w:lang w:val="en-US" w:eastAsia="zh-CN"/>
        </w:rPr>
        <w:t>和死亡率均</w:t>
      </w:r>
      <w:r>
        <w:rPr>
          <w:rFonts w:ascii="Times New Roman" w:hAnsi="Times New Roman" w:cs="Times New Roman"/>
          <w:sz w:val="28"/>
          <w:szCs w:val="28"/>
          <w:highlight w:val="none"/>
        </w:rPr>
        <w:t>呈现显著的年龄梯度特征：55岁后快速上升，80~84岁年龄组达峰值。</w:t>
      </w:r>
      <w:r>
        <w:rPr>
          <w:rFonts w:hint="eastAsia" w:ascii="Times New Roman" w:hAnsi="Times New Roman" w:cs="Times New Roman"/>
          <w:sz w:val="28"/>
          <w:szCs w:val="28"/>
          <w:highlight w:val="none"/>
        </w:rPr>
        <w:t>该</w:t>
      </w:r>
      <w:r>
        <w:rPr>
          <w:rFonts w:ascii="Times New Roman" w:hAnsi="Times New Roman" w:cs="Times New Roman"/>
          <w:sz w:val="28"/>
          <w:szCs w:val="28"/>
          <w:highlight w:val="none"/>
        </w:rPr>
        <w:t>年龄分布模式与全国</w:t>
      </w:r>
      <w:r>
        <w:rPr>
          <w:rFonts w:hint="eastAsia" w:ascii="Times New Roman" w:hAnsi="Times New Roman" w:cs="Times New Roman" w:eastAsiaTheme="minorEastAsia"/>
          <w:kern w:val="2"/>
          <w:sz w:val="28"/>
          <w:szCs w:val="28"/>
          <w:highlight w:val="none"/>
          <w:vertAlign w:val="superscript"/>
          <w:lang w:val="en-US" w:eastAsia="zh-CN" w:bidi="ar-SA"/>
        </w:rPr>
        <w:t>[19]</w:t>
      </w:r>
      <w:r>
        <w:rPr>
          <w:rFonts w:ascii="Times New Roman" w:hAnsi="Times New Roman" w:cs="Times New Roman"/>
          <w:sz w:val="28"/>
          <w:szCs w:val="28"/>
          <w:highlight w:val="none"/>
        </w:rPr>
        <w:t>、四川省</w:t>
      </w:r>
      <w:r>
        <w:rPr>
          <w:rFonts w:hint="eastAsia" w:ascii="Times New Roman" w:hAnsi="Times New Roman" w:cs="Times New Roman" w:eastAsiaTheme="minorEastAsia"/>
          <w:kern w:val="2"/>
          <w:sz w:val="28"/>
          <w:szCs w:val="28"/>
          <w:highlight w:val="none"/>
          <w:vertAlign w:val="superscript"/>
          <w:lang w:val="en-US" w:eastAsia="zh-CN" w:bidi="ar-SA"/>
        </w:rPr>
        <w:t>[21]</w:t>
      </w:r>
      <w:r>
        <w:rPr>
          <w:rFonts w:ascii="Times New Roman" w:hAnsi="Times New Roman" w:cs="Times New Roman"/>
          <w:sz w:val="28"/>
          <w:szCs w:val="28"/>
          <w:highlight w:val="none"/>
        </w:rPr>
        <w:t>及重庆市</w:t>
      </w:r>
      <w:r>
        <w:rPr>
          <w:rFonts w:hint="eastAsia" w:ascii="Times New Roman" w:hAnsi="Times New Roman" w:cs="Times New Roman" w:eastAsiaTheme="minorEastAsia"/>
          <w:kern w:val="2"/>
          <w:sz w:val="28"/>
          <w:szCs w:val="28"/>
          <w:highlight w:val="none"/>
          <w:vertAlign w:val="superscript"/>
          <w:lang w:val="en-US" w:eastAsia="zh-CN" w:bidi="ar-SA"/>
        </w:rPr>
        <w:t>[22]</w:t>
      </w:r>
      <w:r>
        <w:rPr>
          <w:rFonts w:ascii="Times New Roman" w:hAnsi="Times New Roman" w:cs="Times New Roman"/>
          <w:sz w:val="28"/>
          <w:szCs w:val="28"/>
          <w:highlight w:val="none"/>
        </w:rPr>
        <w:t>的报道基本一致。</w:t>
      </w:r>
      <w:r>
        <w:rPr>
          <w:rFonts w:hint="eastAsia" w:ascii="Times New Roman" w:hAnsi="Times New Roman" w:cs="Times New Roman"/>
          <w:sz w:val="28"/>
          <w:szCs w:val="28"/>
          <w:highlight w:val="none"/>
        </w:rPr>
        <w:t>55岁作为</w:t>
      </w:r>
      <w:r>
        <w:rPr>
          <w:rFonts w:hint="eastAsia" w:ascii="Times New Roman" w:hAnsi="Times New Roman" w:cs="Times New Roman"/>
          <w:sz w:val="28"/>
          <w:szCs w:val="28"/>
          <w:highlight w:val="none"/>
          <w:lang w:val="en-US" w:eastAsia="zh-CN"/>
        </w:rPr>
        <w:t>遂宁市</w:t>
      </w:r>
      <w:r>
        <w:rPr>
          <w:rFonts w:hint="eastAsia" w:ascii="Times New Roman" w:hAnsi="Times New Roman" w:cs="Times New Roman"/>
          <w:sz w:val="28"/>
          <w:szCs w:val="28"/>
          <w:highlight w:val="none"/>
        </w:rPr>
        <w:t>发病率与死亡率</w:t>
      </w:r>
      <w:r>
        <w:rPr>
          <w:rFonts w:hint="eastAsia" w:ascii="Times New Roman" w:hAnsi="Times New Roman" w:cs="Times New Roman"/>
          <w:sz w:val="28"/>
          <w:szCs w:val="28"/>
          <w:highlight w:val="none"/>
          <w:lang w:val="en-US" w:eastAsia="zh-CN"/>
        </w:rPr>
        <w:t>加</w:t>
      </w:r>
      <w:r>
        <w:rPr>
          <w:rFonts w:hint="eastAsia" w:ascii="Times New Roman" w:hAnsi="Times New Roman" w:cs="Times New Roman"/>
          <w:sz w:val="28"/>
          <w:szCs w:val="28"/>
          <w:highlight w:val="none"/>
        </w:rPr>
        <w:t>速上升的共同拐点，提示该年龄段以上人群应作为肿瘤筛查和早诊早治的核心目标人群</w:t>
      </w:r>
      <w:r>
        <w:rPr>
          <w:rFonts w:hint="eastAsia" w:ascii="Times New Roman" w:hAnsi="Times New Roman" w:cs="Times New Roman"/>
          <w:sz w:val="28"/>
          <w:szCs w:val="28"/>
          <w:highlight w:val="none"/>
          <w:lang w:eastAsia="zh-CN"/>
        </w:rPr>
        <w:t>。</w:t>
      </w:r>
    </w:p>
    <w:p w14:paraId="4F920477">
      <w:pPr>
        <w:ind w:firstLine="560" w:firstLineChars="200"/>
        <w:rPr>
          <w:rFonts w:hint="eastAsia" w:ascii="Times New Roman" w:hAnsi="Times New Roman" w:cs="Times New Roman"/>
          <w:sz w:val="28"/>
          <w:szCs w:val="28"/>
          <w:highlight w:val="none"/>
          <w:lang w:eastAsia="zh-CN"/>
        </w:rPr>
      </w:pPr>
      <w:r>
        <w:rPr>
          <w:rFonts w:hint="eastAsia" w:ascii="Times New Roman" w:hAnsi="Times New Roman" w:cs="Times New Roman"/>
          <w:sz w:val="28"/>
          <w:szCs w:val="28"/>
          <w:highlight w:val="none"/>
          <w:lang w:eastAsia="zh-CN"/>
        </w:rPr>
        <w:t>从年龄组变化趋势来看，全人群25~29岁组发病率呈上升趋势，85岁及以上组发病率呈下降趋势；死亡率在多个年龄组（30~34岁、45~49岁、50~54岁、60~64岁）均呈下降趋势。</w:t>
      </w:r>
      <w:r>
        <w:rPr>
          <w:rFonts w:hint="eastAsia" w:ascii="Times New Roman" w:hAnsi="Times New Roman" w:cs="Times New Roman"/>
          <w:sz w:val="28"/>
          <w:szCs w:val="28"/>
          <w:highlight w:val="none"/>
          <w:lang w:val="en-US" w:eastAsia="zh-CN"/>
        </w:rPr>
        <w:t>说明</w:t>
      </w:r>
      <w:r>
        <w:rPr>
          <w:rFonts w:hint="eastAsia" w:ascii="Times New Roman" w:hAnsi="Times New Roman" w:cs="Times New Roman"/>
          <w:sz w:val="28"/>
          <w:szCs w:val="28"/>
          <w:highlight w:val="none"/>
          <w:lang w:eastAsia="zh-CN"/>
        </w:rPr>
        <w:t>遂宁市在中年及老年人群的死亡风险控制方面成效显著，但青年群体发病风险的上升值得关注，应加强针对青年群体的健康教育与危险因素干预。</w:t>
      </w:r>
    </w:p>
    <w:p w14:paraId="7C6B60EE">
      <w:pPr>
        <w:rPr>
          <w:rFonts w:ascii="Times New Roman" w:hAnsi="Times New Roman" w:cs="Times New Roman"/>
          <w:b/>
          <w:bCs/>
          <w:sz w:val="28"/>
          <w:szCs w:val="28"/>
          <w:highlight w:val="none"/>
        </w:rPr>
      </w:pPr>
      <w:r>
        <w:rPr>
          <w:rFonts w:ascii="Times New Roman" w:hAnsi="Times New Roman" w:cs="Times New Roman"/>
          <w:b/>
          <w:bCs/>
          <w:sz w:val="28"/>
          <w:szCs w:val="28"/>
          <w:highlight w:val="none"/>
        </w:rPr>
        <w:t>3.3</w:t>
      </w:r>
      <w:r>
        <w:rPr>
          <w:rFonts w:hint="eastAsia" w:ascii="Times New Roman" w:hAnsi="Times New Roman" w:cs="Times New Roman"/>
          <w:b/>
          <w:bCs/>
          <w:sz w:val="28"/>
          <w:szCs w:val="28"/>
          <w:highlight w:val="none"/>
        </w:rPr>
        <w:t>恶性肿瘤发病和死亡顺位及变化趋势</w:t>
      </w:r>
    </w:p>
    <w:p w14:paraId="039FB3E5">
      <w:pPr>
        <w:widowControl/>
        <w:ind w:firstLine="560" w:firstLineChars="200"/>
        <w:rPr>
          <w:rFonts w:ascii="Times New Roman" w:hAnsi="Times New Roman" w:cs="Times New Roman"/>
          <w:b/>
          <w:bCs/>
          <w:sz w:val="28"/>
          <w:szCs w:val="28"/>
          <w:highlight w:val="none"/>
        </w:rPr>
      </w:pPr>
      <w:r>
        <w:rPr>
          <w:rFonts w:hint="eastAsia" w:ascii="Times New Roman" w:hAnsi="Times New Roman" w:cs="Times New Roman"/>
          <w:sz w:val="28"/>
          <w:szCs w:val="28"/>
          <w:highlight w:val="none"/>
          <w:lang w:eastAsia="zh-CN"/>
        </w:rPr>
        <w:t>2018—2023</w:t>
      </w:r>
      <w:r>
        <w:rPr>
          <w:rFonts w:hint="eastAsia" w:ascii="Times New Roman" w:hAnsi="Times New Roman" w:cs="Times New Roman"/>
          <w:sz w:val="28"/>
          <w:szCs w:val="28"/>
          <w:highlight w:val="none"/>
          <w:lang w:val="en-US" w:eastAsia="zh-CN"/>
        </w:rPr>
        <w:t>年</w:t>
      </w:r>
      <w:r>
        <w:rPr>
          <w:rFonts w:ascii="Times New Roman" w:hAnsi="Times New Roman" w:cs="Times New Roman"/>
          <w:sz w:val="28"/>
          <w:szCs w:val="28"/>
          <w:highlight w:val="none"/>
        </w:rPr>
        <w:t>，遂宁市恶性肿瘤发病顺位前5位为肺癌、胃癌、肝癌、食管癌及乳腺癌，死亡顺位前5位为肺癌、肝癌、胃癌、食管癌及</w:t>
      </w:r>
      <w:r>
        <w:rPr>
          <w:rFonts w:hint="eastAsia" w:ascii="Times New Roman" w:hAnsi="Times New Roman" w:cs="Times New Roman"/>
          <w:sz w:val="28"/>
          <w:szCs w:val="28"/>
          <w:highlight w:val="none"/>
        </w:rPr>
        <w:t>结</w:t>
      </w:r>
      <w:r>
        <w:rPr>
          <w:rFonts w:ascii="Times New Roman" w:hAnsi="Times New Roman" w:cs="Times New Roman"/>
          <w:sz w:val="28"/>
          <w:szCs w:val="28"/>
          <w:highlight w:val="none"/>
        </w:rPr>
        <w:t>直肠癌，与20</w:t>
      </w:r>
      <w:r>
        <w:rPr>
          <w:rFonts w:hint="eastAsia" w:ascii="Times New Roman" w:hAnsi="Times New Roman" w:cs="Times New Roman"/>
          <w:sz w:val="28"/>
          <w:szCs w:val="28"/>
          <w:highlight w:val="none"/>
          <w:lang w:val="en-US" w:eastAsia="zh-CN"/>
        </w:rPr>
        <w:t>21</w:t>
      </w:r>
      <w:r>
        <w:rPr>
          <w:rFonts w:ascii="Times New Roman" w:hAnsi="Times New Roman" w:cs="Times New Roman"/>
          <w:sz w:val="28"/>
          <w:szCs w:val="28"/>
          <w:highlight w:val="none"/>
        </w:rPr>
        <w:t>年四川省</w:t>
      </w:r>
      <w:r>
        <w:rPr>
          <w:rFonts w:hint="eastAsia" w:ascii="Times New Roman" w:hAnsi="Times New Roman" w:cs="Times New Roman" w:eastAsiaTheme="minorEastAsia"/>
          <w:kern w:val="2"/>
          <w:sz w:val="28"/>
          <w:szCs w:val="28"/>
          <w:highlight w:val="none"/>
          <w:vertAlign w:val="superscript"/>
          <w:lang w:val="en-US" w:eastAsia="zh-CN" w:bidi="ar-SA"/>
        </w:rPr>
        <w:t>[5]</w:t>
      </w:r>
      <w:r>
        <w:rPr>
          <w:rFonts w:ascii="Times New Roman" w:hAnsi="Times New Roman" w:cs="Times New Roman"/>
          <w:sz w:val="28"/>
          <w:szCs w:val="28"/>
          <w:highlight w:val="none"/>
        </w:rPr>
        <w:t>有所差异（</w:t>
      </w:r>
      <w:r>
        <w:rPr>
          <w:rFonts w:hint="eastAsia" w:ascii="Times New Roman" w:hAnsi="Times New Roman" w:cs="Times New Roman"/>
          <w:sz w:val="28"/>
          <w:szCs w:val="28"/>
          <w:highlight w:val="none"/>
          <w:lang w:val="en-US" w:eastAsia="zh-CN"/>
        </w:rPr>
        <w:t>发病</w:t>
      </w:r>
      <w:r>
        <w:rPr>
          <w:rFonts w:ascii="Times New Roman" w:hAnsi="Times New Roman" w:cs="Times New Roman"/>
          <w:sz w:val="28"/>
          <w:szCs w:val="28"/>
          <w:highlight w:val="none"/>
        </w:rPr>
        <w:t>前5位</w:t>
      </w:r>
      <w:r>
        <w:rPr>
          <w:rFonts w:hint="eastAsia" w:ascii="Times New Roman" w:hAnsi="Times New Roman" w:cs="Times New Roman"/>
          <w:sz w:val="28"/>
          <w:szCs w:val="28"/>
          <w:highlight w:val="none"/>
          <w:lang w:eastAsia="zh-CN"/>
        </w:rPr>
        <w:t>：</w:t>
      </w:r>
      <w:r>
        <w:rPr>
          <w:rFonts w:ascii="Times New Roman" w:hAnsi="Times New Roman" w:cs="Times New Roman"/>
          <w:sz w:val="28"/>
          <w:szCs w:val="28"/>
          <w:highlight w:val="none"/>
        </w:rPr>
        <w:t>肺癌、结直肠癌、</w:t>
      </w:r>
      <w:r>
        <w:rPr>
          <w:rFonts w:hint="eastAsia" w:ascii="Times New Roman" w:hAnsi="Times New Roman" w:cs="Times New Roman"/>
          <w:sz w:val="28"/>
          <w:szCs w:val="28"/>
          <w:highlight w:val="none"/>
          <w:lang w:val="en-US" w:eastAsia="zh-CN"/>
        </w:rPr>
        <w:t>肝癌、</w:t>
      </w:r>
      <w:r>
        <w:rPr>
          <w:rFonts w:ascii="Times New Roman" w:hAnsi="Times New Roman" w:cs="Times New Roman"/>
          <w:sz w:val="28"/>
          <w:szCs w:val="28"/>
          <w:highlight w:val="none"/>
        </w:rPr>
        <w:t>乳腺癌、</w:t>
      </w:r>
      <w:r>
        <w:rPr>
          <w:rFonts w:hint="eastAsia" w:ascii="Times New Roman" w:hAnsi="Times New Roman" w:cs="Times New Roman"/>
          <w:sz w:val="28"/>
          <w:szCs w:val="28"/>
          <w:highlight w:val="none"/>
          <w:lang w:val="en-US" w:eastAsia="zh-CN"/>
        </w:rPr>
        <w:t>食管癌</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死亡前5位：</w:t>
      </w:r>
      <w:r>
        <w:rPr>
          <w:rFonts w:ascii="Times New Roman" w:hAnsi="Times New Roman" w:cs="Times New Roman"/>
          <w:sz w:val="28"/>
          <w:szCs w:val="28"/>
          <w:highlight w:val="none"/>
        </w:rPr>
        <w:t>肺癌、</w:t>
      </w:r>
      <w:r>
        <w:rPr>
          <w:rFonts w:hint="eastAsia" w:ascii="Times New Roman" w:hAnsi="Times New Roman" w:cs="Times New Roman"/>
          <w:sz w:val="28"/>
          <w:szCs w:val="28"/>
          <w:highlight w:val="none"/>
          <w:lang w:val="en-US" w:eastAsia="zh-CN"/>
        </w:rPr>
        <w:t>肝癌、食管癌、</w:t>
      </w:r>
      <w:r>
        <w:rPr>
          <w:rFonts w:ascii="Times New Roman" w:hAnsi="Times New Roman" w:cs="Times New Roman"/>
          <w:sz w:val="28"/>
          <w:szCs w:val="28"/>
          <w:highlight w:val="none"/>
        </w:rPr>
        <w:t>结直肠癌</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胃癌</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肺癌和</w:t>
      </w:r>
      <w:r>
        <w:rPr>
          <w:rFonts w:ascii="Times New Roman" w:hAnsi="Times New Roman" w:cs="Times New Roman"/>
          <w:sz w:val="28"/>
          <w:szCs w:val="28"/>
          <w:highlight w:val="none"/>
        </w:rPr>
        <w:t>消化系统恶性肿瘤（胃癌、肝癌、食管癌、直肠癌）在发病和死亡顺位中占据突出位置，仍是最主要的疾病负担来源。我国消化道肿瘤疾病负担高于全球平均水平</w:t>
      </w:r>
      <w:r>
        <w:rPr>
          <w:rFonts w:hint="eastAsia" w:ascii="Times New Roman" w:hAnsi="Times New Roman" w:cs="Times New Roman" w:eastAsiaTheme="minorEastAsia"/>
          <w:kern w:val="2"/>
          <w:sz w:val="28"/>
          <w:szCs w:val="28"/>
          <w:highlight w:val="none"/>
          <w:vertAlign w:val="superscript"/>
          <w:lang w:val="en-US" w:eastAsia="zh-CN" w:bidi="ar-SA"/>
        </w:rPr>
        <w:t>[23]</w:t>
      </w:r>
      <w:r>
        <w:rPr>
          <w:rFonts w:ascii="Times New Roman" w:hAnsi="Times New Roman" w:cs="Times New Roman"/>
          <w:sz w:val="28"/>
          <w:szCs w:val="28"/>
          <w:highlight w:val="none"/>
        </w:rPr>
        <w:t>，针对</w:t>
      </w:r>
      <w:r>
        <w:rPr>
          <w:rFonts w:hint="eastAsia" w:ascii="Times New Roman" w:hAnsi="Times New Roman" w:cs="Times New Roman"/>
          <w:sz w:val="28"/>
          <w:szCs w:val="28"/>
          <w:highlight w:val="none"/>
        </w:rPr>
        <w:t>“</w:t>
      </w:r>
      <w:r>
        <w:rPr>
          <w:rFonts w:ascii="Times New Roman" w:hAnsi="Times New Roman" w:cs="Times New Roman"/>
          <w:sz w:val="28"/>
          <w:szCs w:val="28"/>
          <w:highlight w:val="none"/>
        </w:rPr>
        <w:t>高发病率、高死亡率</w:t>
      </w:r>
      <w:r>
        <w:rPr>
          <w:rFonts w:hint="eastAsia" w:ascii="Times New Roman" w:hAnsi="Times New Roman" w:cs="Times New Roman"/>
          <w:sz w:val="28"/>
          <w:szCs w:val="28"/>
          <w:highlight w:val="none"/>
        </w:rPr>
        <w:t>”</w:t>
      </w:r>
      <w:r>
        <w:rPr>
          <w:rFonts w:ascii="Times New Roman" w:hAnsi="Times New Roman" w:cs="Times New Roman"/>
          <w:sz w:val="28"/>
          <w:szCs w:val="28"/>
          <w:highlight w:val="none"/>
        </w:rPr>
        <w:t>的流行特征，应优先干预其共同危险因素，加强健康宣教，逐步扩大筛查覆盖面，同时推进临床标准化诊疗。</w:t>
      </w:r>
      <w:bookmarkStart w:id="4" w:name="OLE_LINK1"/>
      <w:r>
        <w:rPr>
          <w:rFonts w:ascii="Times New Roman" w:hAnsi="Times New Roman" w:cs="Times New Roman"/>
          <w:sz w:val="28"/>
          <w:szCs w:val="28"/>
          <w:highlight w:val="none"/>
        </w:rPr>
        <w:t>乳腺癌</w:t>
      </w:r>
      <w:bookmarkEnd w:id="4"/>
      <w:r>
        <w:rPr>
          <w:rFonts w:ascii="Times New Roman" w:hAnsi="Times New Roman" w:cs="Times New Roman"/>
          <w:sz w:val="28"/>
          <w:szCs w:val="28"/>
          <w:highlight w:val="none"/>
        </w:rPr>
        <w:t>位居女性发病顺位第2位，死亡</w:t>
      </w:r>
      <w:r>
        <w:rPr>
          <w:rFonts w:hint="eastAsia" w:ascii="Times New Roman" w:hAnsi="Times New Roman" w:cs="Times New Roman"/>
          <w:sz w:val="28"/>
          <w:szCs w:val="28"/>
          <w:highlight w:val="none"/>
        </w:rPr>
        <w:t>位居第6</w:t>
      </w:r>
      <w:r>
        <w:rPr>
          <w:rFonts w:ascii="Times New Roman" w:hAnsi="Times New Roman" w:cs="Times New Roman"/>
          <w:sz w:val="28"/>
          <w:szCs w:val="28"/>
          <w:highlight w:val="none"/>
        </w:rPr>
        <w:t>位，</w:t>
      </w:r>
      <w:r>
        <w:rPr>
          <w:rFonts w:hint="eastAsia" w:ascii="Times New Roman" w:hAnsi="Times New Roman" w:cs="Times New Roman"/>
          <w:sz w:val="28"/>
          <w:szCs w:val="28"/>
          <w:highlight w:val="none"/>
        </w:rPr>
        <w:t>这可能与乳腺癌预后较好有关</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rPr>
        <w:t>我国乳腺癌5年生存率已由2003—2005年的73.1</w:t>
      </w:r>
      <w:r>
        <w:rPr>
          <w:rFonts w:hint="eastAsia"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rPr>
        <w:t>升至2019—2021年的82.4%</w:t>
      </w:r>
      <w:r>
        <w:rPr>
          <w:rFonts w:hint="eastAsia" w:ascii="Times New Roman" w:hAnsi="Times New Roman" w:cs="Times New Roman" w:eastAsiaTheme="minorEastAsia"/>
          <w:kern w:val="2"/>
          <w:sz w:val="28"/>
          <w:szCs w:val="28"/>
          <w:highlight w:val="none"/>
          <w:vertAlign w:val="superscript"/>
          <w:lang w:val="en-US" w:eastAsia="zh-CN" w:bidi="ar-SA"/>
        </w:rPr>
        <w:t>[24]</w:t>
      </w:r>
      <w:r>
        <w:rPr>
          <w:rFonts w:ascii="Times New Roman" w:hAnsi="Times New Roman" w:cs="Times New Roman"/>
          <w:sz w:val="28"/>
          <w:szCs w:val="28"/>
          <w:highlight w:val="none"/>
        </w:rPr>
        <w:t>。</w:t>
      </w:r>
      <w:bookmarkStart w:id="5" w:name="OLE_LINK4"/>
    </w:p>
    <w:p w14:paraId="053E9318">
      <w:pPr>
        <w:widowControl/>
        <w:ind w:firstLine="560" w:firstLineChars="200"/>
        <w:rPr>
          <w:rFonts w:ascii="Times New Roman" w:hAnsi="Times New Roman" w:cs="Times New Roman"/>
          <w:sz w:val="28"/>
          <w:szCs w:val="28"/>
          <w:highlight w:val="none"/>
        </w:rPr>
      </w:pPr>
      <w:bookmarkStart w:id="6" w:name="OLE_LINK17"/>
      <w:r>
        <w:rPr>
          <w:rFonts w:ascii="Times New Roman" w:hAnsi="Times New Roman" w:cs="Times New Roman"/>
          <w:sz w:val="28"/>
          <w:szCs w:val="28"/>
          <w:highlight w:val="none"/>
        </w:rPr>
        <w:t>本研究发现，</w:t>
      </w:r>
      <w:r>
        <w:rPr>
          <w:rFonts w:hint="eastAsia" w:ascii="Times New Roman" w:hAnsi="Times New Roman" w:cs="Times New Roman"/>
          <w:sz w:val="28"/>
          <w:szCs w:val="28"/>
          <w:highlight w:val="none"/>
          <w:lang w:eastAsia="zh-CN"/>
        </w:rPr>
        <w:t>2018—2023</w:t>
      </w:r>
      <w:r>
        <w:rPr>
          <w:rFonts w:ascii="Times New Roman" w:hAnsi="Times New Roman" w:cs="Times New Roman"/>
          <w:sz w:val="28"/>
          <w:szCs w:val="28"/>
          <w:highlight w:val="none"/>
        </w:rPr>
        <w:t>遂宁市全人群</w:t>
      </w:r>
      <w:r>
        <w:rPr>
          <w:rFonts w:hint="eastAsia" w:ascii="Times New Roman" w:hAnsi="Times New Roman" w:cs="Times New Roman"/>
          <w:sz w:val="28"/>
          <w:szCs w:val="28"/>
          <w:highlight w:val="none"/>
        </w:rPr>
        <w:t>结</w:t>
      </w:r>
      <w:r>
        <w:rPr>
          <w:rFonts w:ascii="Times New Roman" w:hAnsi="Times New Roman" w:cs="Times New Roman"/>
          <w:sz w:val="28"/>
          <w:szCs w:val="28"/>
          <w:highlight w:val="none"/>
        </w:rPr>
        <w:t>直肠癌</w:t>
      </w:r>
      <w:r>
        <w:rPr>
          <w:rFonts w:hint="eastAsia" w:ascii="Times New Roman" w:hAnsi="Times New Roman" w:cs="Times New Roman"/>
          <w:sz w:val="28"/>
          <w:szCs w:val="28"/>
          <w:highlight w:val="none"/>
        </w:rPr>
        <w:t>死亡率呈上升趋势（AAPC=5.43%）</w:t>
      </w:r>
      <w:r>
        <w:rPr>
          <w:rFonts w:ascii="Times New Roman" w:hAnsi="Times New Roman" w:cs="Times New Roman"/>
          <w:sz w:val="28"/>
          <w:szCs w:val="28"/>
          <w:highlight w:val="none"/>
        </w:rPr>
        <w:t>，与四川省</w:t>
      </w:r>
      <w:r>
        <w:rPr>
          <w:rFonts w:hint="eastAsia" w:ascii="Times New Roman" w:hAnsi="Times New Roman" w:cs="Times New Roman" w:eastAsiaTheme="minorEastAsia"/>
          <w:kern w:val="2"/>
          <w:sz w:val="28"/>
          <w:szCs w:val="28"/>
          <w:highlight w:val="none"/>
          <w:vertAlign w:val="superscript"/>
          <w:lang w:val="en-US" w:eastAsia="zh-CN" w:bidi="ar-SA"/>
        </w:rPr>
        <w:t>[25]</w:t>
      </w:r>
      <w:r>
        <w:rPr>
          <w:rFonts w:ascii="Times New Roman" w:hAnsi="Times New Roman" w:cs="Times New Roman"/>
          <w:sz w:val="28"/>
          <w:szCs w:val="28"/>
          <w:highlight w:val="none"/>
        </w:rPr>
        <w:t>、江苏省常州市</w:t>
      </w:r>
      <w:r>
        <w:rPr>
          <w:rFonts w:hint="eastAsia" w:ascii="Times New Roman" w:hAnsi="Times New Roman" w:cs="Times New Roman" w:eastAsiaTheme="minorEastAsia"/>
          <w:kern w:val="2"/>
          <w:sz w:val="28"/>
          <w:szCs w:val="28"/>
          <w:highlight w:val="none"/>
          <w:vertAlign w:val="superscript"/>
          <w:lang w:val="en-US" w:eastAsia="zh-CN" w:bidi="ar-SA"/>
        </w:rPr>
        <w:t>[26]</w:t>
      </w:r>
      <w:r>
        <w:rPr>
          <w:rFonts w:ascii="Times New Roman" w:hAnsi="Times New Roman" w:cs="Times New Roman"/>
          <w:sz w:val="28"/>
          <w:szCs w:val="28"/>
          <w:highlight w:val="none"/>
        </w:rPr>
        <w:t>的流行趋势一致。</w:t>
      </w:r>
      <w:r>
        <w:rPr>
          <w:rFonts w:hint="eastAsia" w:ascii="Times New Roman" w:hAnsi="Times New Roman" w:cs="Times New Roman"/>
          <w:sz w:val="28"/>
          <w:szCs w:val="28"/>
          <w:highlight w:val="none"/>
        </w:rPr>
        <w:t>胰腺癌粗死亡率呈上升趋势（AAPC=</w:t>
      </w:r>
      <w:r>
        <w:rPr>
          <w:rFonts w:hint="eastAsia" w:ascii="Times New Roman" w:hAnsi="Times New Roman" w:cs="Times New Roman"/>
          <w:sz w:val="28"/>
          <w:szCs w:val="28"/>
          <w:highlight w:val="none"/>
          <w:lang w:val="en-US" w:eastAsia="zh-CN"/>
        </w:rPr>
        <w:t>10.64</w:t>
      </w:r>
      <w:r>
        <w:rPr>
          <w:rFonts w:hint="eastAsia" w:ascii="Times New Roman" w:hAnsi="Times New Roman" w:cs="Times New Roman"/>
          <w:sz w:val="28"/>
          <w:szCs w:val="28"/>
          <w:highlight w:val="none"/>
        </w:rPr>
        <w:t>%）</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rPr>
        <w:t>胰腺癌死亡率上升与其起病隐匿、早期诊断困难、恶性程度高和未有效接受治疗密切相关</w:t>
      </w:r>
      <w:r>
        <w:rPr>
          <w:rFonts w:hint="eastAsia" w:ascii="Times New Roman" w:hAnsi="Times New Roman" w:cs="Times New Roman" w:eastAsiaTheme="minorEastAsia"/>
          <w:kern w:val="2"/>
          <w:sz w:val="28"/>
          <w:szCs w:val="28"/>
          <w:highlight w:val="none"/>
          <w:vertAlign w:val="superscript"/>
          <w:lang w:val="en-US" w:eastAsia="zh-CN" w:bidi="ar-SA"/>
        </w:rPr>
        <w:t>[27,28]</w:t>
      </w:r>
      <w:r>
        <w:rPr>
          <w:rFonts w:hint="eastAsia" w:ascii="Times New Roman" w:hAnsi="Times New Roman" w:cs="Times New Roman"/>
          <w:sz w:val="28"/>
          <w:szCs w:val="28"/>
          <w:highlight w:val="none"/>
        </w:rPr>
        <w:t>。</w:t>
      </w:r>
      <w:r>
        <w:rPr>
          <w:rFonts w:hint="eastAsia" w:ascii="Times New Roman" w:hAnsi="Times New Roman" w:cs="Times New Roman"/>
          <w:sz w:val="28"/>
          <w:szCs w:val="28"/>
          <w:highlight w:val="none"/>
          <w:lang w:val="en-US" w:eastAsia="zh-CN"/>
        </w:rPr>
        <w:t>建议加强结直肠癌的人群筛查推广，针对胰腺癌应重点建立高危人群（家族史、新发糖尿病、慢性胰腺炎）的监测体系</w:t>
      </w:r>
      <w:r>
        <w:rPr>
          <w:rFonts w:ascii="Times New Roman" w:hAnsi="Times New Roman" w:cs="Times New Roman"/>
          <w:sz w:val="28"/>
          <w:szCs w:val="28"/>
          <w:highlight w:val="none"/>
        </w:rPr>
        <w:t>。</w:t>
      </w:r>
    </w:p>
    <w:p w14:paraId="12A34723">
      <w:pPr>
        <w:widowControl/>
        <w:ind w:firstLine="560" w:firstLineChars="200"/>
        <w:rPr>
          <w:rFonts w:hint="eastAsia" w:ascii="Times New Roman" w:hAnsi="Times New Roman" w:cs="Times New Roman"/>
          <w:sz w:val="28"/>
          <w:szCs w:val="28"/>
          <w:highlight w:val="none"/>
        </w:rPr>
      </w:pPr>
      <w:r>
        <w:rPr>
          <w:rFonts w:hint="eastAsia" w:ascii="Times New Roman" w:hAnsi="Times New Roman" w:cs="Times New Roman"/>
          <w:sz w:val="28"/>
          <w:szCs w:val="28"/>
          <w:highlight w:val="none"/>
        </w:rPr>
        <w:t>男性前列腺癌粗发病率（AAPC=13.70%）和死亡率（AAPC=23.44%）</w:t>
      </w:r>
      <w:r>
        <w:rPr>
          <w:rFonts w:hint="eastAsia" w:ascii="Times New Roman" w:hAnsi="Times New Roman" w:cs="Times New Roman"/>
          <w:sz w:val="28"/>
          <w:szCs w:val="28"/>
          <w:highlight w:val="none"/>
          <w:lang w:val="en-US" w:eastAsia="zh-CN"/>
        </w:rPr>
        <w:t>均</w:t>
      </w:r>
      <w:r>
        <w:rPr>
          <w:rFonts w:hint="eastAsia" w:ascii="Times New Roman" w:hAnsi="Times New Roman" w:cs="Times New Roman"/>
          <w:sz w:val="28"/>
          <w:szCs w:val="28"/>
          <w:highlight w:val="none"/>
        </w:rPr>
        <w:t>快速上升</w:t>
      </w:r>
      <w:r>
        <w:rPr>
          <w:rFonts w:hint="eastAsia" w:ascii="Times New Roman" w:hAnsi="Times New Roman" w:cs="Times New Roman"/>
          <w:sz w:val="28"/>
          <w:szCs w:val="28"/>
          <w:highlight w:val="none"/>
          <w:lang w:eastAsia="zh-CN"/>
        </w:rPr>
        <w:t>，与四川省</w:t>
      </w:r>
      <w:r>
        <w:rPr>
          <w:rFonts w:hint="eastAsia" w:ascii="Times New Roman" w:hAnsi="Times New Roman" w:cs="Times New Roman"/>
          <w:sz w:val="28"/>
          <w:szCs w:val="28"/>
          <w:highlight w:val="none"/>
          <w:lang w:val="en-US" w:eastAsia="zh-CN"/>
        </w:rPr>
        <w:t>变化</w:t>
      </w:r>
      <w:r>
        <w:rPr>
          <w:rFonts w:hint="eastAsia" w:ascii="Times New Roman" w:hAnsi="Times New Roman" w:cs="Times New Roman"/>
          <w:sz w:val="28"/>
          <w:szCs w:val="28"/>
          <w:highlight w:val="none"/>
          <w:lang w:eastAsia="zh-CN"/>
        </w:rPr>
        <w:t>趋势一致</w:t>
      </w:r>
      <w:r>
        <w:rPr>
          <w:rFonts w:hint="eastAsia" w:ascii="Times New Roman" w:hAnsi="Times New Roman" w:cs="Times New Roman" w:eastAsiaTheme="minorEastAsia"/>
          <w:kern w:val="2"/>
          <w:sz w:val="28"/>
          <w:szCs w:val="28"/>
          <w:highlight w:val="none"/>
          <w:vertAlign w:val="superscript"/>
          <w:lang w:val="en-US" w:eastAsia="zh-CN" w:bidi="ar-SA"/>
        </w:rPr>
        <w:t>[9]</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这</w:t>
      </w:r>
      <w:r>
        <w:rPr>
          <w:rFonts w:hint="eastAsia" w:ascii="Times New Roman" w:hAnsi="Times New Roman" w:cs="Times New Roman"/>
          <w:sz w:val="28"/>
          <w:szCs w:val="28"/>
          <w:highlight w:val="none"/>
        </w:rPr>
        <w:t>与人口老龄化、</w:t>
      </w:r>
      <w:bookmarkStart w:id="7" w:name="OLE_LINK3"/>
      <w:r>
        <w:rPr>
          <w:rFonts w:hint="eastAsia" w:ascii="Times New Roman" w:hAnsi="Times New Roman" w:cs="Times New Roman"/>
          <w:sz w:val="28"/>
          <w:szCs w:val="28"/>
          <w:highlight w:val="none"/>
        </w:rPr>
        <w:t>前列腺特异性抗原</w:t>
      </w:r>
      <w:bookmarkEnd w:id="7"/>
      <w:r>
        <w:rPr>
          <w:rFonts w:hint="eastAsia" w:ascii="Times New Roman" w:hAnsi="Times New Roman" w:cs="Times New Roman"/>
          <w:sz w:val="28"/>
          <w:szCs w:val="28"/>
          <w:highlight w:val="none"/>
        </w:rPr>
        <w:t>筛查推广及生活方式西化（高脂饮食、久坐行为）等因素有关</w:t>
      </w:r>
      <w:r>
        <w:rPr>
          <w:rFonts w:hint="eastAsia" w:ascii="Times New Roman" w:hAnsi="Times New Roman" w:cs="Times New Roman" w:eastAsiaTheme="minorEastAsia"/>
          <w:kern w:val="2"/>
          <w:sz w:val="28"/>
          <w:szCs w:val="28"/>
          <w:highlight w:val="none"/>
          <w:vertAlign w:val="superscript"/>
          <w:lang w:val="en-US" w:eastAsia="zh-CN" w:bidi="ar-SA"/>
        </w:rPr>
        <w:t>[9,29,30]</w:t>
      </w:r>
      <w:r>
        <w:rPr>
          <w:rFonts w:hint="eastAsia" w:ascii="Times New Roman" w:hAnsi="Times New Roman" w:cs="Times New Roman"/>
          <w:sz w:val="28"/>
          <w:szCs w:val="28"/>
          <w:highlight w:val="none"/>
        </w:rPr>
        <w:t>。男性膀胱癌粗发病率呈上升趋势（AAPC=</w:t>
      </w:r>
      <w:r>
        <w:rPr>
          <w:rFonts w:hint="eastAsia" w:ascii="Times New Roman" w:hAnsi="Times New Roman" w:cs="Times New Roman"/>
          <w:sz w:val="28"/>
          <w:szCs w:val="28"/>
          <w:highlight w:val="none"/>
          <w:lang w:val="en-US" w:eastAsia="zh-CN"/>
        </w:rPr>
        <w:t>3.88</w:t>
      </w:r>
      <w:r>
        <w:rPr>
          <w:rFonts w:hint="eastAsia" w:ascii="Times New Roman" w:hAnsi="Times New Roman" w:cs="Times New Roman"/>
          <w:sz w:val="28"/>
          <w:szCs w:val="28"/>
          <w:highlight w:val="none"/>
        </w:rPr>
        <w:t>%），可能与男性较高的吸烟率、职业暴露（芳香胺、重金属等）及人口老龄化密切相关</w:t>
      </w:r>
      <w:r>
        <w:rPr>
          <w:rFonts w:hint="eastAsia" w:ascii="Times New Roman" w:hAnsi="Times New Roman" w:cs="Times New Roman" w:eastAsiaTheme="minorEastAsia"/>
          <w:kern w:val="2"/>
          <w:sz w:val="28"/>
          <w:szCs w:val="28"/>
          <w:highlight w:val="none"/>
          <w:vertAlign w:val="superscript"/>
          <w:lang w:val="en-US" w:eastAsia="zh-CN" w:bidi="ar-SA"/>
        </w:rPr>
        <w:t>[31,32]</w:t>
      </w:r>
      <w:r>
        <w:rPr>
          <w:rFonts w:hint="eastAsia" w:ascii="Times New Roman" w:hAnsi="Times New Roman" w:cs="Times New Roman"/>
          <w:sz w:val="28"/>
          <w:szCs w:val="28"/>
          <w:highlight w:val="none"/>
        </w:rPr>
        <w:t>。建议在老年男性中推广基于风险分层的前列腺特异性抗原筛查，加强控烟宣传与健康生活方式倡导。</w:t>
      </w:r>
    </w:p>
    <w:p w14:paraId="0EB5EDFC">
      <w:pPr>
        <w:widowControl/>
        <w:ind w:firstLine="560" w:firstLineChars="200"/>
        <w:rPr>
          <w:rFonts w:ascii="Times New Roman" w:hAnsi="Times New Roman" w:cs="Times New Roman"/>
          <w:sz w:val="28"/>
          <w:szCs w:val="28"/>
          <w:highlight w:val="none"/>
        </w:rPr>
      </w:pPr>
      <w:r>
        <w:rPr>
          <w:rFonts w:ascii="Times New Roman" w:hAnsi="Times New Roman" w:cs="Times New Roman"/>
          <w:sz w:val="28"/>
          <w:szCs w:val="28"/>
          <w:highlight w:val="none"/>
        </w:rPr>
        <w:t>女性肺癌粗发病率呈上升趋势</w:t>
      </w:r>
      <w:r>
        <w:rPr>
          <w:rFonts w:hint="eastAsia" w:ascii="Times New Roman" w:hAnsi="Times New Roman" w:cs="Times New Roman"/>
          <w:sz w:val="28"/>
          <w:szCs w:val="28"/>
          <w:highlight w:val="none"/>
        </w:rPr>
        <w:t>（AAPC=5.78%）</w:t>
      </w:r>
      <w:r>
        <w:rPr>
          <w:rFonts w:ascii="Times New Roman" w:hAnsi="Times New Roman" w:cs="Times New Roman"/>
          <w:sz w:val="28"/>
          <w:szCs w:val="28"/>
          <w:highlight w:val="none"/>
        </w:rPr>
        <w:t>，与成都市研究结果相类似</w:t>
      </w:r>
      <w:r>
        <w:rPr>
          <w:rFonts w:hint="eastAsia" w:ascii="Times New Roman" w:hAnsi="Times New Roman" w:cs="Times New Roman" w:eastAsiaTheme="minorEastAsia"/>
          <w:kern w:val="2"/>
          <w:sz w:val="28"/>
          <w:szCs w:val="28"/>
          <w:highlight w:val="none"/>
          <w:vertAlign w:val="superscript"/>
          <w:lang w:val="en-US" w:eastAsia="zh-CN" w:bidi="ar-SA"/>
        </w:rPr>
        <w:t>[33]</w:t>
      </w:r>
      <w:r>
        <w:rPr>
          <w:rFonts w:ascii="Times New Roman" w:hAnsi="Times New Roman" w:cs="Times New Roman"/>
          <w:sz w:val="28"/>
          <w:szCs w:val="28"/>
          <w:highlight w:val="none"/>
        </w:rPr>
        <w:t>。肺癌最常见的风险因素是吸烟</w:t>
      </w:r>
      <w:r>
        <w:rPr>
          <w:rFonts w:hint="eastAsia" w:ascii="Times New Roman" w:hAnsi="Times New Roman" w:cs="Times New Roman" w:eastAsiaTheme="minorEastAsia"/>
          <w:kern w:val="2"/>
          <w:sz w:val="28"/>
          <w:szCs w:val="28"/>
          <w:highlight w:val="none"/>
          <w:vertAlign w:val="superscript"/>
          <w:lang w:val="en-US" w:eastAsia="zh-CN" w:bidi="ar-SA"/>
        </w:rPr>
        <w:t>[34]</w:t>
      </w:r>
      <w:r>
        <w:rPr>
          <w:rFonts w:ascii="Times New Roman" w:hAnsi="Times New Roman" w:cs="Times New Roman"/>
          <w:sz w:val="28"/>
          <w:szCs w:val="28"/>
          <w:highlight w:val="none"/>
        </w:rPr>
        <w:t>，且四川省女性吸烟率</w:t>
      </w:r>
      <w:r>
        <w:rPr>
          <w:rFonts w:hint="eastAsia" w:ascii="Times New Roman" w:hAnsi="Times New Roman" w:cs="Times New Roman"/>
          <w:sz w:val="28"/>
          <w:szCs w:val="28"/>
          <w:highlight w:val="none"/>
          <w:lang w:val="en-US" w:eastAsia="zh-CN"/>
        </w:rPr>
        <w:t>较高（8.5%）</w:t>
      </w:r>
      <w:r>
        <w:rPr>
          <w:rFonts w:hint="eastAsia" w:ascii="Times New Roman" w:hAnsi="Times New Roman" w:cs="Times New Roman" w:eastAsiaTheme="minorEastAsia"/>
          <w:kern w:val="2"/>
          <w:sz w:val="28"/>
          <w:szCs w:val="28"/>
          <w:highlight w:val="none"/>
          <w:vertAlign w:val="superscript"/>
          <w:lang w:val="en-US" w:eastAsia="zh-CN" w:bidi="ar-SA"/>
        </w:rPr>
        <w:t>[35]</w:t>
      </w:r>
      <w:r>
        <w:rPr>
          <w:rFonts w:hint="eastAsia" w:ascii="Times New Roman" w:hAnsi="Times New Roman" w:cs="Times New Roman"/>
          <w:sz w:val="28"/>
          <w:szCs w:val="28"/>
          <w:highlight w:val="none"/>
          <w:lang w:eastAsia="zh-CN"/>
        </w:rPr>
        <w:t>；</w:t>
      </w:r>
      <w:r>
        <w:rPr>
          <w:rFonts w:ascii="Times New Roman" w:hAnsi="Times New Roman" w:cs="Times New Roman"/>
          <w:sz w:val="28"/>
          <w:szCs w:val="28"/>
          <w:highlight w:val="none"/>
        </w:rPr>
        <w:t>相对于男性而言，女性呼吸道比男性更加敏感</w:t>
      </w:r>
      <w:r>
        <w:rPr>
          <w:rFonts w:hint="eastAsia" w:ascii="Times New Roman" w:hAnsi="Times New Roman" w:cs="Times New Roman" w:eastAsiaTheme="minorEastAsia"/>
          <w:kern w:val="2"/>
          <w:sz w:val="28"/>
          <w:szCs w:val="28"/>
          <w:highlight w:val="none"/>
          <w:vertAlign w:val="superscript"/>
          <w:lang w:val="en-US" w:eastAsia="zh-CN" w:bidi="ar-SA"/>
        </w:rPr>
        <w:t>[36]</w:t>
      </w:r>
      <w:r>
        <w:rPr>
          <w:rFonts w:ascii="Times New Roman" w:hAnsi="Times New Roman" w:cs="Times New Roman"/>
          <w:sz w:val="28"/>
          <w:szCs w:val="28"/>
          <w:highlight w:val="none"/>
        </w:rPr>
        <w:t>，空气污染和肺癌之间的关联在女性中更强</w:t>
      </w:r>
      <w:r>
        <w:rPr>
          <w:rFonts w:hint="eastAsia" w:ascii="Times New Roman" w:hAnsi="Times New Roman" w:cs="Times New Roman" w:eastAsiaTheme="minorEastAsia"/>
          <w:kern w:val="2"/>
          <w:sz w:val="28"/>
          <w:szCs w:val="28"/>
          <w:highlight w:val="none"/>
          <w:vertAlign w:val="superscript"/>
          <w:lang w:val="en-US" w:eastAsia="zh-CN" w:bidi="ar-SA"/>
        </w:rPr>
        <w:t>[37]</w:t>
      </w:r>
      <w:r>
        <w:rPr>
          <w:rFonts w:hint="eastAsia" w:ascii="Times New Roman" w:hAnsi="Times New Roman" w:cs="Times New Roman"/>
          <w:sz w:val="28"/>
          <w:szCs w:val="28"/>
          <w:highlight w:val="none"/>
          <w:lang w:eastAsia="zh-CN"/>
        </w:rPr>
        <w:t>；</w:t>
      </w:r>
      <w:r>
        <w:rPr>
          <w:rFonts w:ascii="Times New Roman" w:hAnsi="Times New Roman" w:cs="Times New Roman"/>
          <w:sz w:val="28"/>
          <w:szCs w:val="28"/>
          <w:highlight w:val="none"/>
        </w:rPr>
        <w:t>故在控烟工作之外，还应关注女性二手烟、空气</w:t>
      </w:r>
      <w:r>
        <w:rPr>
          <w:rFonts w:hint="eastAsia" w:ascii="Times New Roman" w:hAnsi="Times New Roman" w:cs="Times New Roman"/>
          <w:sz w:val="28"/>
          <w:szCs w:val="28"/>
          <w:highlight w:val="none"/>
        </w:rPr>
        <w:t>污染</w:t>
      </w:r>
      <w:r>
        <w:rPr>
          <w:rFonts w:ascii="Times New Roman" w:hAnsi="Times New Roman" w:cs="Times New Roman"/>
          <w:sz w:val="28"/>
          <w:szCs w:val="28"/>
          <w:highlight w:val="none"/>
        </w:rPr>
        <w:t>的</w:t>
      </w:r>
      <w:r>
        <w:rPr>
          <w:rFonts w:hint="eastAsia" w:ascii="Times New Roman" w:hAnsi="Times New Roman" w:cs="Times New Roman"/>
          <w:sz w:val="28"/>
          <w:szCs w:val="28"/>
          <w:highlight w:val="none"/>
          <w:lang w:val="en-US" w:eastAsia="zh-CN"/>
        </w:rPr>
        <w:t>干预</w:t>
      </w:r>
      <w:r>
        <w:rPr>
          <w:rFonts w:ascii="Times New Roman" w:hAnsi="Times New Roman" w:cs="Times New Roman"/>
          <w:sz w:val="28"/>
          <w:szCs w:val="28"/>
          <w:highlight w:val="none"/>
        </w:rPr>
        <w:t>。</w:t>
      </w:r>
      <w:r>
        <w:rPr>
          <w:rFonts w:hint="eastAsia" w:ascii="Times New Roman" w:hAnsi="Times New Roman" w:cs="Times New Roman"/>
          <w:sz w:val="28"/>
          <w:szCs w:val="28"/>
          <w:highlight w:val="none"/>
        </w:rPr>
        <w:t>女性宫颈癌粗死亡率上升幅度（AAPC=7.94%）高于全国水平（AAPC=3.89%）</w:t>
      </w:r>
      <w:r>
        <w:rPr>
          <w:rFonts w:hint="eastAsia" w:ascii="Times New Roman" w:hAnsi="Times New Roman" w:cs="Times New Roman" w:eastAsiaTheme="minorEastAsia"/>
          <w:kern w:val="2"/>
          <w:sz w:val="28"/>
          <w:szCs w:val="28"/>
          <w:highlight w:val="none"/>
          <w:vertAlign w:val="superscript"/>
          <w:lang w:val="en-US" w:eastAsia="zh-CN" w:bidi="ar-SA"/>
        </w:rPr>
        <w:t>[38,39]</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rPr>
        <w:t>提示遂宁市宫颈癌防控形势严峻，需进一步提升HPV疫苗接种覆盖率及筛查参与率。</w:t>
      </w:r>
      <w:bookmarkStart w:id="8" w:name="OLE_LINK5"/>
    </w:p>
    <w:bookmarkEnd w:id="5"/>
    <w:bookmarkEnd w:id="8"/>
    <w:p w14:paraId="06D093AA">
      <w:pPr>
        <w:ind w:firstLine="560" w:firstLineChars="200"/>
        <w:rPr>
          <w:rFonts w:hint="eastAsia" w:ascii="Times New Roman" w:hAnsi="Times New Roman" w:cs="Times New Roman"/>
          <w:sz w:val="28"/>
          <w:szCs w:val="28"/>
          <w:highlight w:val="none"/>
        </w:rPr>
      </w:pPr>
      <w:r>
        <w:rPr>
          <w:rFonts w:hint="eastAsia" w:ascii="Times New Roman" w:hAnsi="Times New Roman" w:cs="Times New Roman"/>
          <w:sz w:val="28"/>
          <w:szCs w:val="28"/>
          <w:highlight w:val="none"/>
        </w:rPr>
        <w:t>本研究存在一定局限性：受数据质量限制，分析仅覆盖2018—2023年，变化趋势的稳健评估需长</w:t>
      </w:r>
      <w:r>
        <w:rPr>
          <w:rFonts w:hint="eastAsia" w:ascii="Times New Roman" w:hAnsi="Times New Roman" w:cs="Times New Roman"/>
          <w:sz w:val="28"/>
          <w:szCs w:val="28"/>
          <w:highlight w:val="none"/>
          <w:lang w:val="en-US" w:eastAsia="zh-CN"/>
        </w:rPr>
        <w:t>时间</w:t>
      </w:r>
      <w:r>
        <w:rPr>
          <w:rFonts w:hint="eastAsia" w:ascii="Times New Roman" w:hAnsi="Times New Roman" w:cs="Times New Roman"/>
          <w:sz w:val="28"/>
          <w:szCs w:val="28"/>
          <w:highlight w:val="none"/>
        </w:rPr>
        <w:t>序列数据支撑，后续将持续更新</w:t>
      </w:r>
      <w:r>
        <w:rPr>
          <w:rFonts w:hint="eastAsia" w:ascii="Times New Roman" w:hAnsi="Times New Roman" w:cs="Times New Roman"/>
          <w:sz w:val="28"/>
          <w:szCs w:val="28"/>
          <w:highlight w:val="none"/>
          <w:lang w:val="en-US" w:eastAsia="zh-CN"/>
        </w:rPr>
        <w:t>研究</w:t>
      </w:r>
      <w:r>
        <w:rPr>
          <w:rFonts w:hint="eastAsia" w:ascii="Times New Roman" w:hAnsi="Times New Roman" w:cs="Times New Roman"/>
          <w:sz w:val="28"/>
          <w:szCs w:val="28"/>
          <w:highlight w:val="none"/>
        </w:rPr>
        <w:t>。</w:t>
      </w:r>
    </w:p>
    <w:p w14:paraId="17BB1FAC">
      <w:pPr>
        <w:ind w:firstLine="560" w:firstLineChars="200"/>
        <w:rPr>
          <w:rFonts w:hint="eastAsia" w:ascii="Times New Roman" w:hAnsi="Times New Roman" w:cs="Times New Roman"/>
          <w:sz w:val="28"/>
          <w:szCs w:val="28"/>
          <w:highlight w:val="none"/>
          <w:lang w:val="en-US" w:eastAsia="zh-CN"/>
        </w:rPr>
      </w:pPr>
      <w:r>
        <w:rPr>
          <w:rFonts w:hint="eastAsia" w:ascii="Times New Roman" w:hAnsi="Times New Roman" w:cs="Times New Roman"/>
          <w:sz w:val="28"/>
          <w:szCs w:val="28"/>
          <w:highlight w:val="none"/>
        </w:rPr>
        <w:t>综上所述，2018—2023年遂宁市恶性肿瘤中标死亡率下降，防控工作取得一定成效。肺癌和消化系统恶性肿瘤是主要疾病负担</w:t>
      </w:r>
      <w:r>
        <w:rPr>
          <w:rFonts w:hint="eastAsia" w:ascii="Times New Roman" w:hAnsi="Times New Roman" w:cs="Times New Roman"/>
          <w:sz w:val="28"/>
          <w:szCs w:val="28"/>
          <w:highlight w:val="none"/>
          <w:lang w:eastAsia="zh-CN"/>
        </w:rPr>
        <w:t>，</w:t>
      </w:r>
      <w:r>
        <w:rPr>
          <w:rFonts w:hint="eastAsia" w:ascii="Times New Roman" w:hAnsi="Times New Roman" w:cs="Times New Roman"/>
          <w:sz w:val="28"/>
          <w:szCs w:val="28"/>
          <w:highlight w:val="none"/>
          <w:lang w:val="en-US" w:eastAsia="zh-CN"/>
        </w:rPr>
        <w:t>男性前列腺癌、膀胱癌、结直肠癌、胰腺癌和女性肺癌、宫颈癌、胰腺癌负担上升，应作为重点防控的癌种。</w:t>
      </w:r>
    </w:p>
    <w:bookmarkEnd w:id="6"/>
    <w:p w14:paraId="3E7168CE">
      <w:pPr>
        <w:rPr>
          <w:rFonts w:hint="eastAsia" w:ascii="Times New Roman" w:hAnsi="Times New Roman" w:cs="Times New Roman"/>
          <w:b/>
          <w:bCs/>
          <w:sz w:val="28"/>
          <w:szCs w:val="28"/>
          <w:highlight w:val="none"/>
        </w:rPr>
      </w:pPr>
      <w:r>
        <w:rPr>
          <w:rFonts w:hint="eastAsia" w:ascii="Times New Roman" w:hAnsi="Times New Roman" w:cs="Times New Roman"/>
          <w:b/>
          <w:bCs/>
          <w:sz w:val="28"/>
          <w:szCs w:val="28"/>
          <w:highlight w:val="none"/>
        </w:rPr>
        <w:br w:type="page"/>
      </w:r>
    </w:p>
    <w:p w14:paraId="4F4733AD">
      <w:pPr>
        <w:rPr>
          <w:rFonts w:hint="eastAsia" w:ascii="Times New Roman" w:hAnsi="Times New Roman" w:cs="Times New Roman"/>
          <w:b/>
          <w:bCs/>
          <w:sz w:val="28"/>
          <w:szCs w:val="28"/>
          <w:highlight w:val="none"/>
        </w:rPr>
      </w:pPr>
      <w:r>
        <w:rPr>
          <w:rFonts w:hint="eastAsia" w:ascii="Times New Roman" w:hAnsi="Times New Roman" w:cs="Times New Roman"/>
          <w:b/>
          <w:bCs/>
          <w:sz w:val="28"/>
          <w:szCs w:val="28"/>
          <w:highlight w:val="none"/>
        </w:rPr>
        <w:t>参考文献：</w:t>
      </w:r>
    </w:p>
    <w:p w14:paraId="10DE3E34">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9" w:name="_ENREF_1"/>
      <w:r>
        <w:rPr>
          <w:rFonts w:ascii="Times New Roman" w:hAnsi="Times New Roman" w:cs="Times New Roman" w:eastAsiaTheme="minorEastAsia"/>
          <w:kern w:val="2"/>
          <w:sz w:val="20"/>
          <w:szCs w:val="24"/>
          <w:lang w:val="en-US" w:eastAsia="zh-CN" w:bidi="ar-SA"/>
        </w:rPr>
        <w:t>[1]</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FORCE L M, KOCARNIK J M, MAY M L, et al. The global, regional, and national burden of cancer, 1990&amp;#x2013;2023, with forecasts to 2050: a systematic analysis for the Global Burden of Disease Study 2023 [J]. The Lancet, 2025, 406(10512): 1565–1586.</w:t>
      </w:r>
      <w:bookmarkEnd w:id="9"/>
    </w:p>
    <w:p w14:paraId="740CF854">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10" w:name="_ENREF_2"/>
      <w:r>
        <w:rPr>
          <w:rFonts w:ascii="Times New Roman" w:hAnsi="Times New Roman" w:cs="Times New Roman" w:eastAsiaTheme="minorEastAsia"/>
          <w:kern w:val="2"/>
          <w:sz w:val="20"/>
          <w:szCs w:val="24"/>
          <w:lang w:val="en-US" w:eastAsia="zh-CN" w:bidi="ar-SA"/>
        </w:rPr>
        <w:t>[2]</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曹广文. 我国癌症的流行特点、防控现状及未来应对策略 [J]. 海军军医大学学报, 2025, 46(03): 279–290.</w:t>
      </w:r>
      <w:bookmarkEnd w:id="10"/>
    </w:p>
    <w:p w14:paraId="3C640220">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hint="eastAsia" w:ascii="Times New Roman" w:hAnsi="Times New Roman" w:eastAsia="宋体" w:cs="Times New Roman"/>
          <w:kern w:val="2"/>
          <w:sz w:val="20"/>
          <w:szCs w:val="24"/>
          <w:lang w:val="en-US" w:eastAsia="zh-CN" w:bidi="ar-SA"/>
        </w:rPr>
      </w:pPr>
      <w:r>
        <w:rPr>
          <w:rFonts w:hint="eastAsia" w:eastAsia="宋体"/>
        </w:rPr>
        <w:t xml:space="preserve">CAO G W. </w:t>
      </w:r>
      <w:r>
        <w:rPr>
          <w:rFonts w:eastAsia="宋体"/>
        </w:rPr>
        <w:t>Cancer in China: epidemiological characteristics, current prophylaxis and treatment, and future strategy</w:t>
      </w:r>
      <w:r>
        <w:rPr>
          <w:rFonts w:hint="eastAsia" w:eastAsia="宋体"/>
        </w:rPr>
        <w:t xml:space="preserve"> [J]. Academic Journal of Naval Medical University，2025，46(3)：279-290</w:t>
      </w:r>
      <w:r>
        <w:rPr>
          <w:rFonts w:hint="eastAsia" w:eastAsia="宋体"/>
          <w:lang w:val="en-US" w:eastAsia="zh-CN"/>
        </w:rPr>
        <w:t>.</w:t>
      </w:r>
    </w:p>
    <w:p w14:paraId="25D08690">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11" w:name="_ENREF_3"/>
      <w:r>
        <w:rPr>
          <w:rFonts w:ascii="Times New Roman" w:hAnsi="Times New Roman" w:cs="Times New Roman" w:eastAsiaTheme="minorEastAsia"/>
          <w:kern w:val="2"/>
          <w:sz w:val="20"/>
          <w:szCs w:val="24"/>
          <w:lang w:val="en-US" w:eastAsia="zh-CN" w:bidi="ar-SA"/>
        </w:rPr>
        <w:t>[3]</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秦天燕, 高彩云, 张雁山,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2022年甘肃省武威市恶性肿瘤流行特征及2010—2022年变化趋势分析 [J]. 中国肿瘤, 2026, 35(4): 266–276.</w:t>
      </w:r>
      <w:bookmarkEnd w:id="11"/>
    </w:p>
    <w:p w14:paraId="3A4038E0">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hint="eastAsia" w:ascii="Times New Roman" w:hAnsi="Times New Roman" w:eastAsia="宋体" w:cs="Times New Roman"/>
          <w:kern w:val="2"/>
          <w:sz w:val="20"/>
          <w:szCs w:val="24"/>
          <w:lang w:val="en-US" w:eastAsia="zh-CN" w:bidi="ar-SA"/>
        </w:rPr>
      </w:pPr>
      <w:r>
        <w:rPr>
          <w:rFonts w:eastAsia="宋体"/>
        </w:rPr>
        <w:t>QIN T</w:t>
      </w:r>
      <w:r>
        <w:rPr>
          <w:rFonts w:hint="eastAsia" w:eastAsia="宋体"/>
        </w:rPr>
        <w:t xml:space="preserve"> Y, GAO C Y, ZHANG Y S</w:t>
      </w:r>
      <w:r>
        <w:rPr>
          <w:rFonts w:eastAsia="宋体"/>
        </w:rPr>
        <w:t>, et al</w:t>
      </w:r>
      <w:r>
        <w:rPr>
          <w:rFonts w:hint="eastAsia" w:eastAsia="宋体"/>
        </w:rPr>
        <w:t xml:space="preserve">. </w:t>
      </w:r>
      <w:r>
        <w:rPr>
          <w:rFonts w:eastAsia="宋体"/>
        </w:rPr>
        <w:t>Analysis of the Epidemiological Characteristics of Cancer</w:t>
      </w:r>
      <w:r>
        <w:rPr>
          <w:rFonts w:hint="eastAsia" w:eastAsia="宋体"/>
        </w:rPr>
        <w:t xml:space="preserve"> </w:t>
      </w:r>
      <w:r>
        <w:rPr>
          <w:rFonts w:eastAsia="宋体"/>
        </w:rPr>
        <w:t>in Wuwei City of Gansu Province in 2022 and the Trends</w:t>
      </w:r>
      <w:r>
        <w:rPr>
          <w:rFonts w:hint="eastAsia" w:eastAsia="宋体"/>
        </w:rPr>
        <w:t xml:space="preserve"> </w:t>
      </w:r>
      <w:r>
        <w:rPr>
          <w:rFonts w:eastAsia="宋体"/>
        </w:rPr>
        <w:t>from 2010 to 2022</w:t>
      </w:r>
      <w:r>
        <w:rPr>
          <w:rFonts w:hint="eastAsia" w:eastAsia="宋体"/>
        </w:rPr>
        <w:t xml:space="preserve"> [J]. </w:t>
      </w:r>
      <w:r>
        <w:rPr>
          <w:rFonts w:eastAsia="宋体"/>
        </w:rPr>
        <w:t>China</w:t>
      </w:r>
      <w:r>
        <w:rPr>
          <w:rFonts w:hint="eastAsia" w:eastAsia="宋体"/>
        </w:rPr>
        <w:t xml:space="preserve"> </w:t>
      </w:r>
      <w:r>
        <w:rPr>
          <w:rFonts w:eastAsia="宋体"/>
        </w:rPr>
        <w:t>Cancer</w:t>
      </w:r>
      <w:r>
        <w:rPr>
          <w:rFonts w:hint="eastAsia" w:eastAsia="宋体"/>
        </w:rPr>
        <w:t>, 2026, 35(04): 266–276</w:t>
      </w:r>
      <w:r>
        <w:rPr>
          <w:rFonts w:hint="eastAsia" w:eastAsia="宋体"/>
          <w:lang w:val="en-US" w:eastAsia="zh-CN"/>
        </w:rPr>
        <w:t>.</w:t>
      </w:r>
    </w:p>
    <w:p w14:paraId="051C885E">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12" w:name="_ENREF_4"/>
      <w:r>
        <w:rPr>
          <w:rFonts w:ascii="Times New Roman" w:hAnsi="Times New Roman" w:cs="Times New Roman" w:eastAsiaTheme="minorEastAsia"/>
          <w:kern w:val="2"/>
          <w:sz w:val="20"/>
          <w:szCs w:val="24"/>
          <w:lang w:val="en-US" w:eastAsia="zh-CN" w:bidi="ar-SA"/>
        </w:rPr>
        <w:t>[4]</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张国英, 孙琦, 赵帅,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2014-2023年山东省威海市恶性肿瘤发病和死亡流行特征及变化趋势 [J]. 中华肿瘤防治杂志, 2025, 32(21): 1275–1282.</w:t>
      </w:r>
      <w:bookmarkEnd w:id="12"/>
    </w:p>
    <w:p w14:paraId="32D558CF">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hint="eastAsia" w:ascii="Times New Roman" w:hAnsi="Times New Roman" w:eastAsia="宋体" w:cs="Times New Roman"/>
          <w:kern w:val="2"/>
          <w:sz w:val="20"/>
          <w:szCs w:val="24"/>
          <w:lang w:val="en-US" w:eastAsia="zh-CN" w:bidi="ar-SA"/>
        </w:rPr>
      </w:pPr>
      <w:r>
        <w:rPr>
          <w:rFonts w:hint="eastAsia" w:eastAsia="宋体"/>
        </w:rPr>
        <w:t xml:space="preserve">ZHANG G Y, SUN Q, ZHAO S, </w:t>
      </w:r>
      <w:r>
        <w:rPr>
          <w:rFonts w:eastAsia="宋体"/>
        </w:rPr>
        <w:t>et al</w:t>
      </w:r>
      <w:r>
        <w:rPr>
          <w:rFonts w:hint="eastAsia" w:eastAsia="宋体"/>
        </w:rPr>
        <w:t>.</w:t>
      </w:r>
      <w:r>
        <w:rPr>
          <w:rFonts w:eastAsia="宋体"/>
        </w:rPr>
        <w:t xml:space="preserve"> Epidemic characteristics and trends of incidence and mortality of malignant</w:t>
      </w:r>
      <w:r>
        <w:rPr>
          <w:rFonts w:hint="eastAsia" w:eastAsia="宋体"/>
        </w:rPr>
        <w:t xml:space="preserve"> </w:t>
      </w:r>
      <w:r>
        <w:rPr>
          <w:rFonts w:eastAsia="宋体"/>
        </w:rPr>
        <w:t>tumors in Weihai City of Shandong Province, 2014-2023</w:t>
      </w:r>
      <w:r>
        <w:rPr>
          <w:rFonts w:hint="eastAsia" w:eastAsia="宋体"/>
        </w:rPr>
        <w:t xml:space="preserve"> [J]. </w:t>
      </w:r>
      <w:r>
        <w:rPr>
          <w:rFonts w:eastAsia="宋体"/>
        </w:rPr>
        <w:t>Chinese Journal of Cancer Prevention and Treatment</w:t>
      </w:r>
      <w:r>
        <w:rPr>
          <w:rFonts w:hint="eastAsia" w:eastAsia="宋体"/>
        </w:rPr>
        <w:t>, 2025, 32(21): 1275–1282</w:t>
      </w:r>
      <w:r>
        <w:rPr>
          <w:rFonts w:hint="eastAsia" w:eastAsia="宋体"/>
          <w:lang w:val="en-US" w:eastAsia="zh-CN"/>
        </w:rPr>
        <w:t>.</w:t>
      </w:r>
    </w:p>
    <w:p w14:paraId="5BD87027">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13" w:name="_ENREF_5"/>
      <w:r>
        <w:rPr>
          <w:rFonts w:ascii="Times New Roman" w:hAnsi="Times New Roman" w:cs="Times New Roman" w:eastAsiaTheme="minorEastAsia"/>
          <w:kern w:val="2"/>
          <w:sz w:val="20"/>
          <w:szCs w:val="24"/>
          <w:lang w:val="en-US" w:eastAsia="zh-CN" w:bidi="ar-SA"/>
        </w:rPr>
        <w:t>[5]</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成姝雯, 董婷, 张新,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2021年四川省肿瘤登记地区恶性肿瘤发病和死亡特征分析 [J]. 预防医学, 2025, 37(10): 1002–1008.</w:t>
      </w:r>
      <w:bookmarkEnd w:id="13"/>
    </w:p>
    <w:p w14:paraId="782EDB0B">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ascii="Times New Roman" w:hAnsi="Times New Roman" w:cs="Times New Roman" w:eastAsiaTheme="minorEastAsia"/>
          <w:kern w:val="2"/>
          <w:sz w:val="20"/>
          <w:szCs w:val="24"/>
          <w:lang w:val="en-US" w:eastAsia="zh-CN" w:bidi="ar-SA"/>
        </w:rPr>
        <w:t>CHENG S</w:t>
      </w:r>
      <w:r>
        <w:rPr>
          <w:rFonts w:hint="eastAsia" w:cs="Times New Roman"/>
          <w:kern w:val="2"/>
          <w:sz w:val="20"/>
          <w:szCs w:val="24"/>
          <w:lang w:val="en-US" w:eastAsia="zh-CN" w:bidi="ar-SA"/>
        </w:rPr>
        <w:t xml:space="preserve"> W</w:t>
      </w:r>
      <w:r>
        <w:rPr>
          <w:rFonts w:ascii="Times New Roman" w:hAnsi="Times New Roman" w:cs="Times New Roman" w:eastAsiaTheme="minorEastAsia"/>
          <w:kern w:val="2"/>
          <w:sz w:val="20"/>
          <w:szCs w:val="24"/>
          <w:lang w:val="en-US" w:eastAsia="zh-CN" w:bidi="ar-SA"/>
        </w:rPr>
        <w:t xml:space="preserve">, </w:t>
      </w:r>
      <w:r>
        <w:rPr>
          <w:rFonts w:hint="eastAsia" w:cs="Times New Roman"/>
          <w:kern w:val="2"/>
          <w:sz w:val="20"/>
          <w:szCs w:val="24"/>
          <w:lang w:val="en-US" w:eastAsia="zh-CN" w:bidi="ar-SA"/>
        </w:rPr>
        <w:t>DONG T</w:t>
      </w:r>
      <w:r>
        <w:rPr>
          <w:rFonts w:ascii="Times New Roman" w:hAnsi="Times New Roman" w:cs="Times New Roman" w:eastAsiaTheme="minorEastAsia"/>
          <w:kern w:val="2"/>
          <w:sz w:val="20"/>
          <w:szCs w:val="24"/>
          <w:lang w:val="en-US" w:eastAsia="zh-CN" w:bidi="ar-SA"/>
        </w:rPr>
        <w:t xml:space="preserve">, </w:t>
      </w:r>
      <w:r>
        <w:rPr>
          <w:rFonts w:hint="eastAsia" w:cs="Times New Roman"/>
          <w:kern w:val="2"/>
          <w:sz w:val="20"/>
          <w:szCs w:val="24"/>
          <w:lang w:val="en-US" w:eastAsia="zh-CN" w:bidi="ar-SA"/>
        </w:rPr>
        <w:t>ZAHNG X</w:t>
      </w:r>
      <w:r>
        <w:rPr>
          <w:rFonts w:ascii="Times New Roman" w:hAnsi="Times New Roman" w:cs="Times New Roman" w:eastAsiaTheme="minorEastAsia"/>
          <w:kern w:val="2"/>
          <w:sz w:val="20"/>
          <w:szCs w:val="24"/>
          <w:lang w:val="en-US" w:eastAsia="zh-CN" w:bidi="ar-SA"/>
        </w:rPr>
        <w:t xml:space="preserve">, </w:t>
      </w:r>
      <w:r>
        <w:rPr>
          <w:rFonts w:eastAsia="宋体"/>
        </w:rPr>
        <w:t>et a</w:t>
      </w:r>
      <w:r>
        <w:rPr>
          <w:rFonts w:hint="eastAsia" w:eastAsia="宋体"/>
          <w:lang w:val="en-US" w:eastAsia="zh-CN"/>
        </w:rPr>
        <w:t>l</w:t>
      </w:r>
      <w:r>
        <w:rPr>
          <w:rFonts w:ascii="Times New Roman" w:hAnsi="Times New Roman" w:cs="Times New Roman" w:eastAsiaTheme="minorEastAsia"/>
          <w:kern w:val="2"/>
          <w:sz w:val="20"/>
          <w:szCs w:val="24"/>
          <w:lang w:val="en-US" w:eastAsia="zh-CN" w:bidi="ar-SA"/>
        </w:rPr>
        <w:t xml:space="preserve">. </w:t>
      </w:r>
      <w:r>
        <w:rPr>
          <w:rFonts w:hint="eastAsia" w:ascii="Times New Roman" w:hAnsi="Times New Roman" w:cs="Times New Roman" w:eastAsiaTheme="minorEastAsia"/>
          <w:kern w:val="2"/>
          <w:sz w:val="20"/>
          <w:szCs w:val="24"/>
          <w:lang w:val="en-US" w:eastAsia="zh-CN" w:bidi="ar-SA"/>
        </w:rPr>
        <w:t>Characteristics of malignant tumor incidence and mortality in cancer</w:t>
      </w:r>
      <w:r>
        <w:rPr>
          <w:rFonts w:hint="eastAsia" w:cs="Times New Roman"/>
          <w:kern w:val="2"/>
          <w:sz w:val="20"/>
          <w:szCs w:val="24"/>
          <w:lang w:val="en-US" w:eastAsia="zh-CN" w:bidi="ar-SA"/>
        </w:rPr>
        <w:t xml:space="preserve"> </w:t>
      </w:r>
      <w:r>
        <w:rPr>
          <w:rFonts w:hint="eastAsia" w:ascii="Times New Roman" w:hAnsi="Times New Roman" w:cs="Times New Roman" w:eastAsiaTheme="minorEastAsia"/>
          <w:kern w:val="2"/>
          <w:sz w:val="20"/>
          <w:szCs w:val="24"/>
          <w:lang w:val="en-US" w:eastAsia="zh-CN" w:bidi="ar-SA"/>
        </w:rPr>
        <w:t>registration areas of Sichuan Province in 2021</w:t>
      </w:r>
      <w:r>
        <w:rPr>
          <w:rFonts w:ascii="Times New Roman" w:hAnsi="Times New Roman" w:cs="Times New Roman" w:eastAsiaTheme="minorEastAsia"/>
          <w:kern w:val="2"/>
          <w:sz w:val="20"/>
          <w:szCs w:val="24"/>
          <w:lang w:val="en-US" w:eastAsia="zh-CN" w:bidi="ar-SA"/>
        </w:rPr>
        <w:t xml:space="preserve"> [J]. </w:t>
      </w:r>
      <w:r>
        <w:rPr>
          <w:rFonts w:hint="eastAsia" w:ascii="Times New Roman" w:hAnsi="Times New Roman" w:cs="Times New Roman" w:eastAsiaTheme="minorEastAsia"/>
          <w:kern w:val="2"/>
          <w:sz w:val="20"/>
          <w:szCs w:val="24"/>
          <w:lang w:val="en-US" w:eastAsia="zh-CN" w:bidi="ar-SA"/>
        </w:rPr>
        <w:t>China Preventive Medicine Journal</w:t>
      </w:r>
      <w:r>
        <w:rPr>
          <w:rFonts w:ascii="Times New Roman" w:hAnsi="Times New Roman" w:cs="Times New Roman" w:eastAsiaTheme="minorEastAsia"/>
          <w:kern w:val="2"/>
          <w:sz w:val="20"/>
          <w:szCs w:val="24"/>
          <w:lang w:val="en-US" w:eastAsia="zh-CN" w:bidi="ar-SA"/>
        </w:rPr>
        <w:t>, 2025, 37(10): 1002–1008.</w:t>
      </w:r>
    </w:p>
    <w:p w14:paraId="231A1194">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14" w:name="_ENREF_6"/>
      <w:r>
        <w:rPr>
          <w:rFonts w:ascii="Times New Roman" w:hAnsi="Times New Roman" w:cs="Times New Roman" w:eastAsiaTheme="minorEastAsia"/>
          <w:kern w:val="2"/>
          <w:sz w:val="20"/>
          <w:szCs w:val="24"/>
          <w:lang w:val="en-US" w:eastAsia="zh-CN" w:bidi="ar-SA"/>
        </w:rPr>
        <w:t>[6]</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祁冰洁, 曾晶, 邓颖,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2017—2022年四川省居民恶性肿瘤死因及潜在寿命损失分析 [J]. 中国肿瘤, 2025, 34(1): 37–42.</w:t>
      </w:r>
      <w:bookmarkEnd w:id="14"/>
    </w:p>
    <w:p w14:paraId="5C1C8278">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ascii="Times New Roman" w:hAnsi="Times New Roman" w:cs="Times New Roman" w:eastAsiaTheme="minorEastAsia"/>
          <w:kern w:val="2"/>
          <w:sz w:val="20"/>
          <w:szCs w:val="24"/>
          <w:lang w:val="en-US" w:eastAsia="zh-CN" w:bidi="ar-SA"/>
        </w:rPr>
        <w:t>QI B</w:t>
      </w:r>
      <w:r>
        <w:rPr>
          <w:rFonts w:hint="eastAsia" w:cs="Times New Roman"/>
          <w:kern w:val="2"/>
          <w:sz w:val="20"/>
          <w:szCs w:val="24"/>
          <w:lang w:val="en-US" w:eastAsia="zh-CN" w:bidi="ar-SA"/>
        </w:rPr>
        <w:t xml:space="preserve"> J, </w:t>
      </w:r>
      <w:r>
        <w:rPr>
          <w:rFonts w:hint="eastAsia" w:ascii="Times New Roman" w:hAnsi="Times New Roman" w:cs="Times New Roman" w:eastAsiaTheme="minorEastAsia"/>
          <w:kern w:val="2"/>
          <w:sz w:val="20"/>
          <w:szCs w:val="24"/>
          <w:lang w:val="en-US" w:eastAsia="zh-CN" w:bidi="ar-SA"/>
        </w:rPr>
        <w:t xml:space="preserve">ZENG </w:t>
      </w:r>
      <w:r>
        <w:rPr>
          <w:rFonts w:hint="eastAsia" w:cs="Times New Roman"/>
          <w:kern w:val="2"/>
          <w:sz w:val="20"/>
          <w:szCs w:val="24"/>
          <w:lang w:val="en-US" w:eastAsia="zh-CN" w:bidi="ar-SA"/>
        </w:rPr>
        <w:t xml:space="preserve">J, </w:t>
      </w:r>
      <w:r>
        <w:rPr>
          <w:rFonts w:hint="eastAsia" w:ascii="Times New Roman" w:hAnsi="Times New Roman" w:cs="Times New Roman" w:eastAsiaTheme="minorEastAsia"/>
          <w:kern w:val="2"/>
          <w:sz w:val="20"/>
          <w:szCs w:val="24"/>
          <w:lang w:val="en-US" w:eastAsia="zh-CN" w:bidi="ar-SA"/>
        </w:rPr>
        <w:t xml:space="preserve">DENG </w:t>
      </w:r>
      <w:r>
        <w:rPr>
          <w:rFonts w:hint="eastAsia" w:cs="Times New Roman"/>
          <w:kern w:val="2"/>
          <w:sz w:val="20"/>
          <w:szCs w:val="24"/>
          <w:lang w:val="en-US" w:eastAsia="zh-CN" w:bidi="ar-SA"/>
        </w:rPr>
        <w:t>Y</w:t>
      </w:r>
      <w:r>
        <w:rPr>
          <w:rFonts w:ascii="Times New Roman" w:hAnsi="Times New Roman" w:cs="Times New Roman" w:eastAsiaTheme="minorEastAsia"/>
          <w:kern w:val="2"/>
          <w:sz w:val="20"/>
          <w:szCs w:val="24"/>
          <w:lang w:val="en-US" w:eastAsia="zh-CN" w:bidi="ar-SA"/>
        </w:rPr>
        <w:t xml:space="preserve">, </w:t>
      </w:r>
      <w:r>
        <w:rPr>
          <w:rFonts w:eastAsia="宋体"/>
        </w:rPr>
        <w:t>et a</w:t>
      </w:r>
      <w:r>
        <w:rPr>
          <w:rFonts w:hint="eastAsia" w:eastAsia="宋体"/>
          <w:lang w:val="en-US" w:eastAsia="zh-CN"/>
        </w:rPr>
        <w:t>l</w:t>
      </w:r>
      <w:r>
        <w:rPr>
          <w:rFonts w:ascii="Times New Roman" w:hAnsi="Times New Roman" w:cs="Times New Roman" w:eastAsiaTheme="minorEastAsia"/>
          <w:kern w:val="2"/>
          <w:sz w:val="20"/>
          <w:szCs w:val="24"/>
          <w:lang w:val="en-US" w:eastAsia="zh-CN" w:bidi="ar-SA"/>
        </w:rPr>
        <w:t xml:space="preserve">. </w:t>
      </w:r>
      <w:r>
        <w:rPr>
          <w:rFonts w:hint="eastAsia" w:ascii="Times New Roman" w:hAnsi="Times New Roman" w:cs="Times New Roman" w:eastAsiaTheme="minorEastAsia"/>
          <w:kern w:val="2"/>
          <w:sz w:val="20"/>
          <w:szCs w:val="24"/>
          <w:lang w:val="en-US" w:eastAsia="zh-CN" w:bidi="ar-SA"/>
        </w:rPr>
        <w:t>Analysis on the Causes of Death and Potential Life Loss of</w:t>
      </w:r>
      <w:r>
        <w:rPr>
          <w:rFonts w:hint="eastAsia" w:cs="Times New Roman"/>
          <w:kern w:val="2"/>
          <w:sz w:val="20"/>
          <w:szCs w:val="24"/>
          <w:lang w:val="en-US" w:eastAsia="zh-CN" w:bidi="ar-SA"/>
        </w:rPr>
        <w:t xml:space="preserve"> </w:t>
      </w:r>
      <w:r>
        <w:rPr>
          <w:rFonts w:hint="eastAsia" w:ascii="Times New Roman" w:hAnsi="Times New Roman" w:cs="Times New Roman" w:eastAsiaTheme="minorEastAsia"/>
          <w:kern w:val="2"/>
          <w:sz w:val="20"/>
          <w:szCs w:val="24"/>
          <w:lang w:val="en-US" w:eastAsia="zh-CN" w:bidi="ar-SA"/>
        </w:rPr>
        <w:t>Malignant Tumors in Sichuan Province from 2017 to 2022</w:t>
      </w:r>
      <w:r>
        <w:rPr>
          <w:rFonts w:ascii="Times New Roman" w:hAnsi="Times New Roman" w:cs="Times New Roman" w:eastAsiaTheme="minorEastAsia"/>
          <w:kern w:val="2"/>
          <w:sz w:val="20"/>
          <w:szCs w:val="24"/>
          <w:lang w:val="en-US" w:eastAsia="zh-CN" w:bidi="ar-SA"/>
        </w:rPr>
        <w:t xml:space="preserve"> [J]. </w:t>
      </w:r>
      <w:r>
        <w:rPr>
          <w:rFonts w:eastAsia="宋体"/>
        </w:rPr>
        <w:t>China</w:t>
      </w:r>
      <w:r>
        <w:rPr>
          <w:rFonts w:hint="eastAsia" w:eastAsia="宋体"/>
        </w:rPr>
        <w:t xml:space="preserve"> </w:t>
      </w:r>
      <w:r>
        <w:rPr>
          <w:rFonts w:eastAsia="宋体"/>
        </w:rPr>
        <w:t>Cancer</w:t>
      </w:r>
      <w:r>
        <w:rPr>
          <w:rFonts w:ascii="Times New Roman" w:hAnsi="Times New Roman" w:cs="Times New Roman" w:eastAsiaTheme="minorEastAsia"/>
          <w:kern w:val="2"/>
          <w:sz w:val="20"/>
          <w:szCs w:val="24"/>
          <w:lang w:val="en-US" w:eastAsia="zh-CN" w:bidi="ar-SA"/>
        </w:rPr>
        <w:t>, 2025, 34(1): 37–42.</w:t>
      </w:r>
    </w:p>
    <w:p w14:paraId="525866EB">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15" w:name="_ENREF_7"/>
      <w:r>
        <w:rPr>
          <w:rFonts w:ascii="Times New Roman" w:hAnsi="Times New Roman" w:cs="Times New Roman" w:eastAsiaTheme="minorEastAsia"/>
          <w:kern w:val="2"/>
          <w:sz w:val="20"/>
          <w:szCs w:val="24"/>
          <w:lang w:val="en-US" w:eastAsia="zh-CN" w:bidi="ar-SA"/>
        </w:rPr>
        <w:t>[7]</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胡荩文, 付晓伟, 谭兴秀,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2017—2019年遂宁市恶性肿瘤发病和死亡分析 [J]. 预防医学情报杂志, 2023, 39(04): 378–383+389.</w:t>
      </w:r>
      <w:bookmarkEnd w:id="15"/>
    </w:p>
    <w:p w14:paraId="0DC8FA05">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cs="Times New Roman"/>
          <w:kern w:val="2"/>
          <w:sz w:val="20"/>
          <w:szCs w:val="24"/>
          <w:lang w:val="en-US" w:eastAsia="zh-CN" w:bidi="ar-SA"/>
        </w:rPr>
        <w:t>HU J W</w:t>
      </w:r>
      <w:r>
        <w:rPr>
          <w:rFonts w:ascii="Times New Roman" w:hAnsi="Times New Roman" w:cs="Times New Roman" w:eastAsiaTheme="minorEastAsia"/>
          <w:kern w:val="2"/>
          <w:sz w:val="20"/>
          <w:szCs w:val="24"/>
          <w:lang w:val="en-US" w:eastAsia="zh-CN" w:bidi="ar-SA"/>
        </w:rPr>
        <w:t xml:space="preserve">, </w:t>
      </w:r>
      <w:r>
        <w:rPr>
          <w:rFonts w:hint="eastAsia" w:cs="Times New Roman"/>
          <w:kern w:val="2"/>
          <w:sz w:val="20"/>
          <w:szCs w:val="24"/>
          <w:lang w:val="en-US" w:eastAsia="zh-CN" w:bidi="ar-SA"/>
        </w:rPr>
        <w:t>FU X W</w:t>
      </w:r>
      <w:r>
        <w:rPr>
          <w:rFonts w:ascii="Times New Roman" w:hAnsi="Times New Roman" w:cs="Times New Roman" w:eastAsiaTheme="minorEastAsia"/>
          <w:kern w:val="2"/>
          <w:sz w:val="20"/>
          <w:szCs w:val="24"/>
          <w:lang w:val="en-US" w:eastAsia="zh-CN" w:bidi="ar-SA"/>
        </w:rPr>
        <w:t xml:space="preserve">, </w:t>
      </w:r>
      <w:r>
        <w:rPr>
          <w:rFonts w:hint="eastAsia" w:cs="Times New Roman"/>
          <w:kern w:val="2"/>
          <w:sz w:val="20"/>
          <w:szCs w:val="24"/>
          <w:lang w:val="en-US" w:eastAsia="zh-CN" w:bidi="ar-SA"/>
        </w:rPr>
        <w:t>TAN X X</w:t>
      </w:r>
      <w:r>
        <w:rPr>
          <w:rFonts w:ascii="Times New Roman" w:hAnsi="Times New Roman" w:cs="Times New Roman" w:eastAsiaTheme="minorEastAsia"/>
          <w:kern w:val="2"/>
          <w:sz w:val="20"/>
          <w:szCs w:val="24"/>
          <w:lang w:val="en-US" w:eastAsia="zh-CN" w:bidi="ar-SA"/>
        </w:rPr>
        <w:t xml:space="preserve">, </w:t>
      </w:r>
      <w:r>
        <w:rPr>
          <w:rFonts w:eastAsia="宋体"/>
        </w:rPr>
        <w:t>et a</w:t>
      </w:r>
      <w:r>
        <w:rPr>
          <w:rFonts w:hint="eastAsia" w:eastAsia="宋体"/>
          <w:lang w:val="en-US" w:eastAsia="zh-CN"/>
        </w:rPr>
        <w:t>l</w:t>
      </w:r>
      <w:r>
        <w:rPr>
          <w:rFonts w:ascii="Times New Roman" w:hAnsi="Times New Roman" w:cs="Times New Roman" w:eastAsiaTheme="minorEastAsia"/>
          <w:kern w:val="2"/>
          <w:sz w:val="20"/>
          <w:szCs w:val="24"/>
          <w:lang w:val="en-US" w:eastAsia="zh-CN" w:bidi="ar-SA"/>
        </w:rPr>
        <w:t xml:space="preserve">. </w:t>
      </w:r>
      <w:r>
        <w:rPr>
          <w:rFonts w:hint="eastAsia" w:ascii="Times New Roman" w:hAnsi="Times New Roman" w:cs="Times New Roman" w:eastAsiaTheme="minorEastAsia"/>
          <w:kern w:val="2"/>
          <w:sz w:val="20"/>
          <w:szCs w:val="24"/>
          <w:lang w:val="en-US" w:eastAsia="zh-CN" w:bidi="ar-SA"/>
        </w:rPr>
        <w:t>Analysis of cancer incidence and mortality in Suining</w:t>
      </w:r>
      <w:r>
        <w:rPr>
          <w:rFonts w:hint="eastAsia" w:cs="Times New Roman"/>
          <w:kern w:val="2"/>
          <w:sz w:val="20"/>
          <w:szCs w:val="24"/>
          <w:lang w:val="en-US" w:eastAsia="zh-CN" w:bidi="ar-SA"/>
        </w:rPr>
        <w:t xml:space="preserve"> </w:t>
      </w:r>
      <w:r>
        <w:rPr>
          <w:rFonts w:hint="eastAsia" w:ascii="Times New Roman" w:hAnsi="Times New Roman" w:cs="Times New Roman" w:eastAsiaTheme="minorEastAsia"/>
          <w:kern w:val="2"/>
          <w:sz w:val="20"/>
          <w:szCs w:val="24"/>
          <w:lang w:val="en-US" w:eastAsia="zh-CN" w:bidi="ar-SA"/>
        </w:rPr>
        <w:t>from 2017 to 2019</w:t>
      </w:r>
      <w:r>
        <w:rPr>
          <w:rFonts w:ascii="Times New Roman" w:hAnsi="Times New Roman" w:cs="Times New Roman" w:eastAsiaTheme="minorEastAsia"/>
          <w:kern w:val="2"/>
          <w:sz w:val="20"/>
          <w:szCs w:val="24"/>
          <w:lang w:val="en-US" w:eastAsia="zh-CN" w:bidi="ar-SA"/>
        </w:rPr>
        <w:t xml:space="preserve"> [J]. </w:t>
      </w:r>
      <w:r>
        <w:rPr>
          <w:rFonts w:hint="eastAsia" w:ascii="Times New Roman" w:hAnsi="Times New Roman" w:cs="Times New Roman" w:eastAsiaTheme="minorEastAsia"/>
          <w:kern w:val="2"/>
          <w:sz w:val="20"/>
          <w:szCs w:val="24"/>
          <w:lang w:val="en-US" w:eastAsia="zh-CN" w:bidi="ar-SA"/>
        </w:rPr>
        <w:t>Journal of Preventive Medicine Information</w:t>
      </w:r>
      <w:r>
        <w:rPr>
          <w:rFonts w:ascii="Times New Roman" w:hAnsi="Times New Roman" w:cs="Times New Roman" w:eastAsiaTheme="minorEastAsia"/>
          <w:kern w:val="2"/>
          <w:sz w:val="20"/>
          <w:szCs w:val="24"/>
          <w:lang w:val="en-US" w:eastAsia="zh-CN" w:bidi="ar-SA"/>
        </w:rPr>
        <w:t>, 2023, 39(04): 378–383+389.</w:t>
      </w:r>
    </w:p>
    <w:p w14:paraId="7F1266A8">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eastAsia="宋体"/>
        </w:rPr>
      </w:pPr>
      <w:bookmarkStart w:id="16" w:name="_ENREF_8"/>
      <w:r>
        <w:rPr>
          <w:rFonts w:ascii="Times New Roman" w:hAnsi="Times New Roman" w:cs="Times New Roman" w:eastAsiaTheme="minorEastAsia"/>
          <w:kern w:val="2"/>
          <w:sz w:val="20"/>
          <w:szCs w:val="24"/>
          <w:lang w:val="en-US" w:eastAsia="zh-CN" w:bidi="ar-SA"/>
        </w:rPr>
        <w:t>[8]</w:t>
      </w:r>
      <w:r>
        <w:rPr>
          <w:rFonts w:ascii="Times New Roman" w:hAnsi="Times New Roman" w:cs="Times New Roman" w:eastAsiaTheme="minorEastAsia"/>
          <w:kern w:val="2"/>
          <w:sz w:val="20"/>
          <w:szCs w:val="24"/>
          <w:lang w:val="en-US" w:eastAsia="zh-CN" w:bidi="ar-SA"/>
        </w:rPr>
        <w:tab/>
      </w:r>
      <w:bookmarkEnd w:id="16"/>
      <w:r>
        <w:rPr>
          <w:rFonts w:hint="eastAsia" w:eastAsia="宋体"/>
        </w:rPr>
        <w:t xml:space="preserve">国家癌症中心. 中国肿瘤登记工作指导手册 [M].北京:人民卫生出版社,2016: </w:t>
      </w:r>
      <w:r>
        <w:rPr>
          <w:rFonts w:hint="eastAsia" w:eastAsia="宋体"/>
          <w:lang w:val="en-US" w:eastAsia="zh-CN"/>
        </w:rPr>
        <w:t>37</w:t>
      </w:r>
      <w:r>
        <w:rPr>
          <w:rFonts w:hint="eastAsia" w:eastAsia="宋体"/>
        </w:rPr>
        <w:t>-75.</w:t>
      </w:r>
    </w:p>
    <w:p w14:paraId="19966B74">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hint="eastAsia" w:ascii="Times New Roman" w:hAnsi="Times New Roman" w:eastAsia="宋体" w:cs="Times New Roman"/>
          <w:kern w:val="2"/>
          <w:sz w:val="20"/>
          <w:szCs w:val="24"/>
          <w:lang w:val="en-US" w:eastAsia="zh-CN" w:bidi="ar-SA"/>
        </w:rPr>
      </w:pPr>
      <w:r>
        <w:rPr>
          <w:rFonts w:hint="eastAsia" w:eastAsia="宋体"/>
        </w:rPr>
        <w:t>National Cancer Center. Chineses guidelines for cancer registration (2016) [M]. Beijing: People</w:t>
      </w:r>
      <w:r>
        <w:rPr>
          <w:rFonts w:eastAsia="宋体"/>
        </w:rPr>
        <w:t>’</w:t>
      </w:r>
      <w:r>
        <w:rPr>
          <w:rFonts w:hint="eastAsia" w:eastAsia="宋体"/>
        </w:rPr>
        <w:t xml:space="preserve">s Medical Publishing House, 2016: </w:t>
      </w:r>
      <w:r>
        <w:rPr>
          <w:rFonts w:hint="eastAsia" w:eastAsia="宋体"/>
          <w:lang w:val="en-US" w:eastAsia="zh-CN"/>
        </w:rPr>
        <w:t>37</w:t>
      </w:r>
      <w:r>
        <w:rPr>
          <w:rFonts w:hint="eastAsia" w:eastAsia="宋体"/>
        </w:rPr>
        <w:t>-75</w:t>
      </w:r>
      <w:r>
        <w:rPr>
          <w:rFonts w:hint="eastAsia" w:eastAsia="宋体"/>
          <w:lang w:val="en-US" w:eastAsia="zh-CN"/>
        </w:rPr>
        <w:t>.</w:t>
      </w:r>
    </w:p>
    <w:p w14:paraId="7E551925">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17" w:name="_ENREF_9"/>
      <w:r>
        <w:rPr>
          <w:rFonts w:ascii="Times New Roman" w:hAnsi="Times New Roman" w:cs="Times New Roman" w:eastAsiaTheme="minorEastAsia"/>
          <w:kern w:val="2"/>
          <w:sz w:val="20"/>
          <w:szCs w:val="24"/>
          <w:lang w:val="en-US" w:eastAsia="zh-CN" w:bidi="ar-SA"/>
        </w:rPr>
        <w:t>[9]</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王丹, 邹雪平, 成姝雯,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2015—2019年四川省肿瘤登记地区前列腺癌流行特征及早死疾病负担趋势分析 [J]. 中国肿瘤, 2024, 33(09): 709–715.</w:t>
      </w:r>
      <w:bookmarkEnd w:id="17"/>
    </w:p>
    <w:p w14:paraId="4AE62E24">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ascii="Times New Roman" w:hAnsi="Times New Roman" w:cs="Times New Roman" w:eastAsiaTheme="minorEastAsia"/>
          <w:kern w:val="2"/>
          <w:sz w:val="20"/>
          <w:szCs w:val="24"/>
          <w:lang w:val="en-US" w:eastAsia="zh-CN" w:bidi="ar-SA"/>
        </w:rPr>
        <w:t>YUAN Z P, WANG D, CHENG S W, et al. Cancer Incidence and Mortality in Sichuan Cancer Registration Areas in 2019 and Its Trend from 2015 to 2019 [J]. China Cancer, 2024, 33(07): 515–522.</w:t>
      </w:r>
    </w:p>
    <w:p w14:paraId="22D0138C">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18" w:name="_ENREF_10"/>
      <w:r>
        <w:rPr>
          <w:rFonts w:ascii="Times New Roman" w:hAnsi="Times New Roman" w:cs="Times New Roman" w:eastAsiaTheme="minorEastAsia"/>
          <w:kern w:val="2"/>
          <w:sz w:val="20"/>
          <w:szCs w:val="24"/>
          <w:lang w:val="en-US" w:eastAsia="zh-CN" w:bidi="ar-SA"/>
        </w:rPr>
        <w:t>[10]</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CHEN W, ZHENG R, ZHANG S, et al. Report of incidence and mortality in China cancer registries, 2009 [J]. Chin J Cancer Res, 2013, 25(1): 10–21.</w:t>
      </w:r>
      <w:bookmarkEnd w:id="18"/>
    </w:p>
    <w:p w14:paraId="526579E4">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19" w:name="_ENREF_11"/>
      <w:r>
        <w:rPr>
          <w:rFonts w:ascii="Times New Roman" w:hAnsi="Times New Roman" w:cs="Times New Roman" w:eastAsiaTheme="minorEastAsia"/>
          <w:kern w:val="2"/>
          <w:sz w:val="20"/>
          <w:szCs w:val="24"/>
          <w:lang w:val="en-US" w:eastAsia="zh-CN" w:bidi="ar-SA"/>
        </w:rPr>
        <w:t>[11]</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李辉章, 杜灵彬. Joinpoint回归模型在肿瘤流行病学时间趋势分析中的应用 [J]. 中华预防医学杂志, 2020, 54(08): 908–912.</w:t>
      </w:r>
      <w:bookmarkEnd w:id="19"/>
    </w:p>
    <w:p w14:paraId="5C06F68F">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 xml:space="preserve">LI H Z, DU L B. </w:t>
      </w:r>
      <w:r>
        <w:rPr>
          <w:rFonts w:eastAsia="宋体"/>
        </w:rPr>
        <w:t>Application of Joinpoint regression model in cancer epidemiological time trend analysis</w:t>
      </w:r>
      <w:r>
        <w:rPr>
          <w:rFonts w:hint="eastAsia" w:eastAsia="宋体"/>
        </w:rPr>
        <w:t xml:space="preserve"> [J]. </w:t>
      </w:r>
      <w:r>
        <w:rPr>
          <w:rFonts w:eastAsia="宋体"/>
        </w:rPr>
        <w:t>Chinese Journal of Preventive Medicine</w:t>
      </w:r>
      <w:r>
        <w:rPr>
          <w:rFonts w:hint="eastAsia" w:eastAsia="宋体"/>
        </w:rPr>
        <w:t>, 2020, 54(08): 908–912.</w:t>
      </w:r>
    </w:p>
    <w:p w14:paraId="5B55FE9D">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20" w:name="_ENREF_12"/>
      <w:r>
        <w:rPr>
          <w:rFonts w:ascii="Times New Roman" w:hAnsi="Times New Roman" w:cs="Times New Roman" w:eastAsiaTheme="minorEastAsia"/>
          <w:kern w:val="2"/>
          <w:sz w:val="20"/>
          <w:szCs w:val="24"/>
          <w:lang w:val="en-US" w:eastAsia="zh-CN" w:bidi="ar-SA"/>
        </w:rPr>
        <w:t>[12]</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王少明, 郑荣寿, 韩冰峰,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2022年中国人群恶性肿瘤发病与死亡年龄特征分析 [J]. 中国肿瘤, 2024, 33(3): 165–174.</w:t>
      </w:r>
      <w:bookmarkEnd w:id="20"/>
    </w:p>
    <w:p w14:paraId="6DBEA53D">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 xml:space="preserve">WANG S M, ZHENG R S, HAN B F, </w:t>
      </w:r>
      <w:r>
        <w:rPr>
          <w:rFonts w:eastAsia="宋体"/>
        </w:rPr>
        <w:t>et al</w:t>
      </w:r>
      <w:r>
        <w:rPr>
          <w:rFonts w:hint="eastAsia" w:eastAsia="宋体"/>
        </w:rPr>
        <w:t xml:space="preserve">. </w:t>
      </w:r>
      <w:r>
        <w:rPr>
          <w:rFonts w:eastAsia="宋体"/>
        </w:rPr>
        <w:t>Age Distribution of Cancer Incidence and Mortality in</w:t>
      </w:r>
      <w:r>
        <w:rPr>
          <w:rFonts w:hint="eastAsia" w:eastAsia="宋体"/>
        </w:rPr>
        <w:t xml:space="preserve"> </w:t>
      </w:r>
      <w:r>
        <w:rPr>
          <w:rFonts w:eastAsia="宋体"/>
        </w:rPr>
        <w:t>China in 2022</w:t>
      </w:r>
      <w:r>
        <w:rPr>
          <w:rFonts w:hint="eastAsia" w:eastAsia="宋体"/>
        </w:rPr>
        <w:t xml:space="preserve"> [J]. </w:t>
      </w:r>
      <w:r>
        <w:rPr>
          <w:rFonts w:eastAsia="宋体"/>
        </w:rPr>
        <w:t>China</w:t>
      </w:r>
      <w:r>
        <w:rPr>
          <w:rFonts w:hint="eastAsia" w:eastAsia="宋体"/>
        </w:rPr>
        <w:t xml:space="preserve"> </w:t>
      </w:r>
      <w:r>
        <w:rPr>
          <w:rFonts w:eastAsia="宋体"/>
        </w:rPr>
        <w:t>Cancer</w:t>
      </w:r>
      <w:r>
        <w:rPr>
          <w:rFonts w:hint="eastAsia" w:eastAsia="宋体"/>
        </w:rPr>
        <w:t>, 2024, 33(03): 165–174.</w:t>
      </w:r>
    </w:p>
    <w:p w14:paraId="4646F748">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21" w:name="_ENREF_13"/>
      <w:r>
        <w:rPr>
          <w:rFonts w:ascii="Times New Roman" w:hAnsi="Times New Roman" w:cs="Times New Roman" w:eastAsiaTheme="minorEastAsia"/>
          <w:kern w:val="2"/>
          <w:sz w:val="20"/>
          <w:szCs w:val="24"/>
          <w:lang w:val="en-US" w:eastAsia="zh-CN" w:bidi="ar-SA"/>
        </w:rPr>
        <w:t>[13]</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刘清霞, 唐瑛, 颜诗艳,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2022年雅安市恶性肿瘤流行现状及2013—2022年变化趋势 [J]. 肿瘤防治研究, 2026, 53(3): 203–210.</w:t>
      </w:r>
      <w:bookmarkEnd w:id="21"/>
    </w:p>
    <w:p w14:paraId="2C8BF27E">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 xml:space="preserve">LIU Q X, TANG Y, YAN S Y, </w:t>
      </w:r>
      <w:r>
        <w:rPr>
          <w:rFonts w:eastAsia="宋体"/>
        </w:rPr>
        <w:t>et al</w:t>
      </w:r>
      <w:r>
        <w:rPr>
          <w:rFonts w:hint="eastAsia" w:eastAsia="宋体"/>
        </w:rPr>
        <w:t>.</w:t>
      </w:r>
      <w:r>
        <w:rPr>
          <w:rFonts w:eastAsia="宋体"/>
        </w:rPr>
        <w:t xml:space="preserve"> Cancer Incidence and Mortality in Ya'an City in 2022 and Trends from 2013 to 2022</w:t>
      </w:r>
      <w:r>
        <w:rPr>
          <w:rFonts w:hint="eastAsia" w:eastAsia="宋体"/>
        </w:rPr>
        <w:t xml:space="preserve"> [J]. </w:t>
      </w:r>
      <w:r>
        <w:rPr>
          <w:rFonts w:eastAsia="宋体"/>
        </w:rPr>
        <w:t>Cancer Research on Prevention and Treatment</w:t>
      </w:r>
      <w:r>
        <w:rPr>
          <w:rFonts w:hint="eastAsia" w:eastAsia="宋体"/>
        </w:rPr>
        <w:t>, 2026, 53(03): 203–210.</w:t>
      </w:r>
    </w:p>
    <w:p w14:paraId="3827B019">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22" w:name="_ENREF_14"/>
      <w:r>
        <w:rPr>
          <w:rFonts w:ascii="Times New Roman" w:hAnsi="Times New Roman" w:cs="Times New Roman" w:eastAsiaTheme="minorEastAsia"/>
          <w:kern w:val="2"/>
          <w:sz w:val="20"/>
          <w:szCs w:val="24"/>
          <w:lang w:val="en-US" w:eastAsia="zh-CN" w:bidi="ar-SA"/>
        </w:rPr>
        <w:t>[14]</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杨天宇, 肖文娟, 刘雅琪,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2020年绵阳市恶性肿瘤发病与死亡情况分析 [J]. 肿瘤预防与治疗, 2025, 38(2): 124–131.</w:t>
      </w:r>
      <w:bookmarkEnd w:id="22"/>
    </w:p>
    <w:p w14:paraId="4B650942">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 xml:space="preserve">YANG T Y, XIAO W J, LIU Y Q, </w:t>
      </w:r>
      <w:r>
        <w:rPr>
          <w:rFonts w:eastAsia="宋体"/>
        </w:rPr>
        <w:t>et al</w:t>
      </w:r>
      <w:r>
        <w:rPr>
          <w:rFonts w:hint="eastAsia" w:eastAsia="宋体"/>
        </w:rPr>
        <w:t>.</w:t>
      </w:r>
      <w:r>
        <w:rPr>
          <w:rFonts w:eastAsia="宋体"/>
        </w:rPr>
        <w:t xml:space="preserve"> Cancer Incidence and Mortality in Mianyang in 2020</w:t>
      </w:r>
      <w:r>
        <w:rPr>
          <w:rFonts w:hint="eastAsia" w:eastAsia="宋体"/>
        </w:rPr>
        <w:t xml:space="preserve"> [J]. </w:t>
      </w:r>
      <w:r>
        <w:rPr>
          <w:rFonts w:eastAsia="宋体"/>
        </w:rPr>
        <w:t>Journal of Cancer Control and Treatment</w:t>
      </w:r>
      <w:r>
        <w:rPr>
          <w:rFonts w:hint="eastAsia" w:eastAsia="宋体"/>
        </w:rPr>
        <w:t>, 2025, 38(02): 124–131.</w:t>
      </w:r>
    </w:p>
    <w:p w14:paraId="3249EA0B">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23" w:name="_ENREF_15"/>
      <w:r>
        <w:rPr>
          <w:rFonts w:ascii="Times New Roman" w:hAnsi="Times New Roman" w:cs="Times New Roman" w:eastAsiaTheme="minorEastAsia"/>
          <w:kern w:val="2"/>
          <w:sz w:val="20"/>
          <w:szCs w:val="24"/>
          <w:lang w:val="en-US" w:eastAsia="zh-CN" w:bidi="ar-SA"/>
        </w:rPr>
        <w:t>[15]</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徐阳, 曾玲, 段丽娟,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2019年德阳市恶性肿瘤发病和死亡情况分析 [J]. 预防医学情报杂志, 2023, 39(4): 395–400.</w:t>
      </w:r>
      <w:bookmarkEnd w:id="23"/>
    </w:p>
    <w:p w14:paraId="72585B89">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 xml:space="preserve">XU Y, ZENG L, DUAN L J, 等. </w:t>
      </w:r>
      <w:r>
        <w:rPr>
          <w:rFonts w:eastAsia="宋体"/>
        </w:rPr>
        <w:t>Analysis of the incidence and death of malignant tumors</w:t>
      </w:r>
      <w:r>
        <w:rPr>
          <w:rFonts w:hint="eastAsia" w:eastAsia="宋体"/>
        </w:rPr>
        <w:t xml:space="preserve"> </w:t>
      </w:r>
      <w:r>
        <w:rPr>
          <w:rFonts w:eastAsia="宋体"/>
        </w:rPr>
        <w:t>in Deyang City in 2019</w:t>
      </w:r>
      <w:r>
        <w:rPr>
          <w:rFonts w:hint="eastAsia" w:eastAsia="宋体"/>
        </w:rPr>
        <w:t xml:space="preserve"> [J]. </w:t>
      </w:r>
      <w:r>
        <w:rPr>
          <w:rFonts w:eastAsia="宋体"/>
        </w:rPr>
        <w:t>Journal of Preventive Medicine Information</w:t>
      </w:r>
      <w:r>
        <w:rPr>
          <w:rFonts w:hint="eastAsia" w:eastAsia="宋体"/>
        </w:rPr>
        <w:t>, 2023, 39(04): 395–400.</w:t>
      </w:r>
    </w:p>
    <w:p w14:paraId="3A7E170C">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24" w:name="_ENREF_16"/>
      <w:r>
        <w:rPr>
          <w:rFonts w:ascii="Times New Roman" w:hAnsi="Times New Roman" w:cs="Times New Roman" w:eastAsiaTheme="minorEastAsia"/>
          <w:kern w:val="2"/>
          <w:sz w:val="20"/>
          <w:szCs w:val="24"/>
          <w:lang w:val="en-US" w:eastAsia="zh-CN" w:bidi="ar-SA"/>
        </w:rPr>
        <w:t>[16]</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张瑜瑜, 龚世俊, 杨仙湖,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2013-2021年中国40岁及以上居民恶性肿瘤死亡趋势分析 [J]. 中华肿瘤防治杂志, 2024, 31(22): 1347–1353.</w:t>
      </w:r>
      <w:bookmarkEnd w:id="24"/>
    </w:p>
    <w:p w14:paraId="2E9DB1A5">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 xml:space="preserve">ZAHNG Y Y, GONG S J, YANG X H, </w:t>
      </w:r>
      <w:r>
        <w:rPr>
          <w:rFonts w:eastAsia="宋体"/>
        </w:rPr>
        <w:t>et al</w:t>
      </w:r>
      <w:r>
        <w:rPr>
          <w:rFonts w:hint="eastAsia" w:eastAsia="宋体"/>
        </w:rPr>
        <w:t>.</w:t>
      </w:r>
      <w:r>
        <w:rPr>
          <w:rFonts w:eastAsia="宋体"/>
        </w:rPr>
        <w:t xml:space="preserve"> Trend analysis of malignant tumor deaths among</w:t>
      </w:r>
      <w:r>
        <w:rPr>
          <w:rFonts w:hint="eastAsia" w:eastAsia="宋体"/>
        </w:rPr>
        <w:t xml:space="preserve"> </w:t>
      </w:r>
      <w:r>
        <w:rPr>
          <w:rFonts w:eastAsia="宋体"/>
        </w:rPr>
        <w:t>Chinese residents</w:t>
      </w:r>
      <w:r>
        <w:rPr>
          <w:rFonts w:hint="eastAsia" w:eastAsia="宋体"/>
        </w:rPr>
        <w:t xml:space="preserve"> </w:t>
      </w:r>
      <w:r>
        <w:rPr>
          <w:rFonts w:eastAsia="宋体"/>
        </w:rPr>
        <w:t>aged 40 and above, 2013-2021</w:t>
      </w:r>
      <w:r>
        <w:rPr>
          <w:rFonts w:hint="eastAsia" w:eastAsia="宋体"/>
        </w:rPr>
        <w:t xml:space="preserve"> [J]. </w:t>
      </w:r>
      <w:r>
        <w:rPr>
          <w:rFonts w:eastAsia="宋体"/>
        </w:rPr>
        <w:t>Chinese Journal of Cancer Prevention and Treatment</w:t>
      </w:r>
      <w:r>
        <w:rPr>
          <w:rFonts w:hint="eastAsia" w:eastAsia="宋体"/>
        </w:rPr>
        <w:t>, 2024, 31(22): 1347–1353.</w:t>
      </w:r>
    </w:p>
    <w:p w14:paraId="45C1E007">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25" w:name="_ENREF_17"/>
      <w:r>
        <w:rPr>
          <w:rFonts w:ascii="Times New Roman" w:hAnsi="Times New Roman" w:cs="Times New Roman" w:eastAsiaTheme="minorEastAsia"/>
          <w:kern w:val="2"/>
          <w:sz w:val="20"/>
          <w:szCs w:val="24"/>
          <w:lang w:val="en-US" w:eastAsia="zh-CN" w:bidi="ar-SA"/>
        </w:rPr>
        <w:t>[17]</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伊可欣, 郄然然, 刘茵,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2020年河南省恶性肿瘤发病与死亡特征及2010—2020年趋势分析 [J]. 中国肿瘤, 2025, 34(11): 829–837.</w:t>
      </w:r>
      <w:bookmarkEnd w:id="25"/>
    </w:p>
    <w:p w14:paraId="1528B137">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 xml:space="preserve">YI K X, QIE R R, LIU Y, </w:t>
      </w:r>
      <w:r>
        <w:rPr>
          <w:rFonts w:eastAsia="宋体"/>
        </w:rPr>
        <w:t>et al</w:t>
      </w:r>
      <w:r>
        <w:rPr>
          <w:rFonts w:hint="eastAsia" w:eastAsia="宋体"/>
        </w:rPr>
        <w:t xml:space="preserve">. </w:t>
      </w:r>
      <w:r>
        <w:rPr>
          <w:rFonts w:eastAsia="宋体"/>
        </w:rPr>
        <w:t>Cancer Incidence and Mortality in Henan Province in</w:t>
      </w:r>
      <w:r>
        <w:rPr>
          <w:rFonts w:hint="eastAsia" w:eastAsia="宋体"/>
        </w:rPr>
        <w:t xml:space="preserve"> </w:t>
      </w:r>
      <w:r>
        <w:rPr>
          <w:rFonts w:eastAsia="宋体"/>
        </w:rPr>
        <w:t>2020 and Trends from 2010 to 2020</w:t>
      </w:r>
      <w:r>
        <w:rPr>
          <w:rFonts w:hint="eastAsia" w:eastAsia="宋体"/>
        </w:rPr>
        <w:t xml:space="preserve"> [J]. </w:t>
      </w:r>
      <w:r>
        <w:rPr>
          <w:rFonts w:eastAsia="宋体"/>
        </w:rPr>
        <w:t>China</w:t>
      </w:r>
      <w:r>
        <w:rPr>
          <w:rFonts w:hint="eastAsia" w:eastAsia="宋体"/>
        </w:rPr>
        <w:t xml:space="preserve"> </w:t>
      </w:r>
      <w:r>
        <w:rPr>
          <w:rFonts w:eastAsia="宋体"/>
        </w:rPr>
        <w:t>Cancer</w:t>
      </w:r>
      <w:r>
        <w:rPr>
          <w:rFonts w:hint="eastAsia" w:eastAsia="宋体"/>
        </w:rPr>
        <w:t>, 2025, 34(11): 829–837.</w:t>
      </w:r>
    </w:p>
    <w:p w14:paraId="3E704D35">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26" w:name="_ENREF_18"/>
      <w:r>
        <w:rPr>
          <w:rFonts w:ascii="Times New Roman" w:hAnsi="Times New Roman" w:cs="Times New Roman" w:eastAsiaTheme="minorEastAsia"/>
          <w:kern w:val="2"/>
          <w:sz w:val="20"/>
          <w:szCs w:val="24"/>
          <w:lang w:val="en-US" w:eastAsia="zh-CN" w:bidi="ar-SA"/>
        </w:rPr>
        <w:t>[18]</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刘潇霞, 乔良, 钟志刚,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2019—2023年度四川省城市癌症早诊早治项目人群风险评估及筛查分析 [J]. 中国肿瘤, 2024, 33(7): 542–549.</w:t>
      </w:r>
      <w:bookmarkEnd w:id="26"/>
    </w:p>
    <w:p w14:paraId="7258CE93">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 xml:space="preserve">LIU X X, QIAO L, ZHONG Z G, </w:t>
      </w:r>
      <w:r>
        <w:rPr>
          <w:rFonts w:eastAsia="宋体"/>
        </w:rPr>
        <w:t>et al</w:t>
      </w:r>
      <w:r>
        <w:rPr>
          <w:rFonts w:hint="eastAsia" w:eastAsia="宋体"/>
        </w:rPr>
        <w:t xml:space="preserve">. </w:t>
      </w:r>
      <w:r>
        <w:rPr>
          <w:rFonts w:eastAsia="宋体"/>
        </w:rPr>
        <w:t>Analysis of Population Risk and Screening Assessment of</w:t>
      </w:r>
      <w:r>
        <w:rPr>
          <w:rFonts w:hint="eastAsia" w:eastAsia="宋体"/>
          <w:lang w:val="en-US" w:eastAsia="zh-CN"/>
        </w:rPr>
        <w:t xml:space="preserve"> </w:t>
      </w:r>
      <w:r>
        <w:rPr>
          <w:rFonts w:eastAsia="宋体"/>
        </w:rPr>
        <w:t>Urban Cancer Early Diagnosis and Treatment Program</w:t>
      </w:r>
      <w:r>
        <w:rPr>
          <w:rFonts w:hint="eastAsia" w:eastAsia="宋体"/>
        </w:rPr>
        <w:t xml:space="preserve"> </w:t>
      </w:r>
      <w:r>
        <w:rPr>
          <w:rFonts w:eastAsia="宋体"/>
        </w:rPr>
        <w:t>in Sichuan Province from 2019 to 2023</w:t>
      </w:r>
      <w:r>
        <w:rPr>
          <w:rFonts w:hint="eastAsia" w:eastAsia="宋体"/>
        </w:rPr>
        <w:t xml:space="preserve"> [J]. </w:t>
      </w:r>
      <w:r>
        <w:rPr>
          <w:rFonts w:eastAsia="宋体"/>
        </w:rPr>
        <w:t>China</w:t>
      </w:r>
      <w:r>
        <w:rPr>
          <w:rFonts w:hint="eastAsia" w:eastAsia="宋体"/>
        </w:rPr>
        <w:t xml:space="preserve"> </w:t>
      </w:r>
      <w:r>
        <w:rPr>
          <w:rFonts w:eastAsia="宋体"/>
        </w:rPr>
        <w:t>Cancer</w:t>
      </w:r>
      <w:r>
        <w:rPr>
          <w:rFonts w:hint="eastAsia" w:eastAsia="宋体"/>
        </w:rPr>
        <w:t>, 2024, 33(07): 542–549.</w:t>
      </w:r>
    </w:p>
    <w:p w14:paraId="2627BB0D">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27" w:name="_ENREF_19"/>
      <w:r>
        <w:rPr>
          <w:rFonts w:ascii="Times New Roman" w:hAnsi="Times New Roman" w:cs="Times New Roman" w:eastAsiaTheme="minorEastAsia"/>
          <w:kern w:val="2"/>
          <w:sz w:val="20"/>
          <w:szCs w:val="24"/>
          <w:lang w:val="en-US" w:eastAsia="zh-CN" w:bidi="ar-SA"/>
        </w:rPr>
        <w:t>[19]</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韩冰峰, 郑荣寿, 曾红梅,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2024年中国人群恶性肿瘤发病与死亡年龄特征分析 [J]. 中国肿瘤, 2026, 35(03): 163–171.</w:t>
      </w:r>
      <w:bookmarkEnd w:id="27"/>
    </w:p>
    <w:p w14:paraId="26C23532">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hint="eastAsia" w:ascii="Times New Roman" w:hAnsi="Times New Roman" w:eastAsia="宋体" w:cs="Times New Roman"/>
          <w:kern w:val="2"/>
          <w:sz w:val="20"/>
          <w:szCs w:val="24"/>
          <w:lang w:val="en-US" w:eastAsia="zh-CN" w:bidi="ar-SA"/>
        </w:rPr>
      </w:pPr>
      <w:r>
        <w:rPr>
          <w:rFonts w:hint="eastAsia" w:eastAsia="宋体"/>
        </w:rPr>
        <w:t xml:space="preserve">HAN B F, ZHENG R S, ZENG H M, </w:t>
      </w:r>
      <w:r>
        <w:rPr>
          <w:rFonts w:eastAsia="宋体"/>
        </w:rPr>
        <w:t>et al</w:t>
      </w:r>
      <w:r>
        <w:rPr>
          <w:rFonts w:hint="eastAsia" w:eastAsia="宋体"/>
        </w:rPr>
        <w:t xml:space="preserve">. </w:t>
      </w:r>
      <w:r>
        <w:rPr>
          <w:rFonts w:eastAsia="宋体"/>
        </w:rPr>
        <w:t>Age Distribution of Cancer Incidence and Mortality in</w:t>
      </w:r>
      <w:r>
        <w:rPr>
          <w:rFonts w:hint="eastAsia" w:eastAsia="宋体"/>
        </w:rPr>
        <w:t xml:space="preserve"> </w:t>
      </w:r>
      <w:r>
        <w:rPr>
          <w:rFonts w:eastAsia="宋体"/>
        </w:rPr>
        <w:t>China in 2024</w:t>
      </w:r>
      <w:r>
        <w:rPr>
          <w:rFonts w:hint="eastAsia" w:eastAsia="宋体"/>
        </w:rPr>
        <w:t xml:space="preserve"> [J]. </w:t>
      </w:r>
      <w:r>
        <w:rPr>
          <w:rFonts w:eastAsia="宋体"/>
        </w:rPr>
        <w:t>China</w:t>
      </w:r>
      <w:r>
        <w:rPr>
          <w:rFonts w:hint="eastAsia" w:eastAsia="宋体"/>
        </w:rPr>
        <w:t xml:space="preserve"> </w:t>
      </w:r>
      <w:r>
        <w:rPr>
          <w:rFonts w:eastAsia="宋体"/>
        </w:rPr>
        <w:t>Cancer</w:t>
      </w:r>
      <w:r>
        <w:rPr>
          <w:rFonts w:hint="eastAsia" w:eastAsia="宋体"/>
        </w:rPr>
        <w:t>, 2026, 35(03): 163–171</w:t>
      </w:r>
      <w:r>
        <w:rPr>
          <w:rFonts w:hint="eastAsia" w:eastAsia="宋体"/>
          <w:lang w:val="en-US" w:eastAsia="zh-CN"/>
        </w:rPr>
        <w:t>.</w:t>
      </w:r>
    </w:p>
    <w:p w14:paraId="413A772A">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28" w:name="_ENREF_20"/>
      <w:r>
        <w:rPr>
          <w:rFonts w:ascii="Times New Roman" w:hAnsi="Times New Roman" w:cs="Times New Roman" w:eastAsiaTheme="minorEastAsia"/>
          <w:kern w:val="2"/>
          <w:sz w:val="20"/>
          <w:szCs w:val="24"/>
          <w:lang w:val="en-US" w:eastAsia="zh-CN" w:bidi="ar-SA"/>
        </w:rPr>
        <w:t>[20]</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HAVAS A, YIN S, ADAMS P. The role of aging in cancer [J]. Molecular Oncology, 2022, 16(18): 3213–3219.</w:t>
      </w:r>
      <w:bookmarkEnd w:id="28"/>
    </w:p>
    <w:p w14:paraId="3398DB09">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29" w:name="_ENREF_21"/>
      <w:r>
        <w:rPr>
          <w:rFonts w:ascii="Times New Roman" w:hAnsi="Times New Roman" w:cs="Times New Roman" w:eastAsiaTheme="minorEastAsia"/>
          <w:kern w:val="2"/>
          <w:sz w:val="20"/>
          <w:szCs w:val="24"/>
          <w:lang w:val="en-US" w:eastAsia="zh-CN" w:bidi="ar-SA"/>
        </w:rPr>
        <w:t>[21]</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袁芝佩, 王丹, 成姝雯,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2019年四川省肿瘤登记地区恶性肿瘤发病与死亡及2015—2019年变化趋势分析 [J]. 中国肿瘤, 2024, 33(07): 515–522.</w:t>
      </w:r>
      <w:bookmarkEnd w:id="29"/>
    </w:p>
    <w:p w14:paraId="7FF08D40">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 xml:space="preserve">YUAN Z P, WANG D, CHENG S W, </w:t>
      </w:r>
      <w:r>
        <w:rPr>
          <w:rFonts w:eastAsia="宋体"/>
        </w:rPr>
        <w:t>et al</w:t>
      </w:r>
      <w:r>
        <w:rPr>
          <w:rFonts w:hint="eastAsia" w:eastAsia="宋体"/>
        </w:rPr>
        <w:t xml:space="preserve">. </w:t>
      </w:r>
      <w:r>
        <w:rPr>
          <w:rFonts w:eastAsia="宋体"/>
        </w:rPr>
        <w:t>Cancer Incidence and Mortality in Sichuan Cancer Registration Areas in 2019 and Its Trend from 2015 to 2019</w:t>
      </w:r>
      <w:r>
        <w:rPr>
          <w:rFonts w:hint="eastAsia" w:eastAsia="宋体"/>
        </w:rPr>
        <w:t xml:space="preserve"> [J]. </w:t>
      </w:r>
      <w:r>
        <w:rPr>
          <w:rFonts w:eastAsia="宋体"/>
        </w:rPr>
        <w:t>China</w:t>
      </w:r>
      <w:r>
        <w:rPr>
          <w:rFonts w:hint="eastAsia" w:eastAsia="宋体"/>
        </w:rPr>
        <w:t xml:space="preserve"> </w:t>
      </w:r>
      <w:r>
        <w:rPr>
          <w:rFonts w:eastAsia="宋体"/>
        </w:rPr>
        <w:t>Cancer</w:t>
      </w:r>
      <w:r>
        <w:rPr>
          <w:rFonts w:hint="eastAsia" w:eastAsia="宋体"/>
        </w:rPr>
        <w:t>, 2024, 33(07): 515–522.</w:t>
      </w:r>
    </w:p>
    <w:p w14:paraId="3BB69B5E">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30" w:name="_ENREF_22"/>
      <w:r>
        <w:rPr>
          <w:rFonts w:ascii="Times New Roman" w:hAnsi="Times New Roman" w:cs="Times New Roman" w:eastAsiaTheme="minorEastAsia"/>
          <w:kern w:val="2"/>
          <w:sz w:val="20"/>
          <w:szCs w:val="24"/>
          <w:lang w:val="en-US" w:eastAsia="zh-CN" w:bidi="ar-SA"/>
        </w:rPr>
        <w:t>[22]</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丁贤彬, 吕晓燕, 焦艳,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2021年重庆市恶性肿瘤发病与死亡情况及2016年生存率分析 [J]. 中国肿瘤, 2024, 33(2): 134–139.</w:t>
      </w:r>
      <w:bookmarkEnd w:id="30"/>
    </w:p>
    <w:p w14:paraId="1ECDFD0D">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 xml:space="preserve">DING X B, LYU X Y, JIAO Y, </w:t>
      </w:r>
      <w:r>
        <w:rPr>
          <w:rFonts w:eastAsia="宋体"/>
        </w:rPr>
        <w:t>et al</w:t>
      </w:r>
      <w:r>
        <w:rPr>
          <w:rFonts w:hint="eastAsia" w:eastAsia="宋体"/>
        </w:rPr>
        <w:t xml:space="preserve">. Analysis of Cancer Incidence， Mortality in Chongqing in </w:t>
      </w:r>
      <w:r>
        <w:rPr>
          <w:rFonts w:eastAsia="宋体"/>
        </w:rPr>
        <w:t>2021 and Survival Rate in 2016</w:t>
      </w:r>
      <w:r>
        <w:rPr>
          <w:rFonts w:hint="eastAsia" w:eastAsia="宋体"/>
        </w:rPr>
        <w:t xml:space="preserve"> [J]. </w:t>
      </w:r>
      <w:r>
        <w:rPr>
          <w:rFonts w:eastAsia="宋体"/>
        </w:rPr>
        <w:t>China</w:t>
      </w:r>
      <w:r>
        <w:rPr>
          <w:rFonts w:hint="eastAsia" w:eastAsia="宋体"/>
        </w:rPr>
        <w:t xml:space="preserve"> </w:t>
      </w:r>
      <w:r>
        <w:rPr>
          <w:rFonts w:eastAsia="宋体"/>
        </w:rPr>
        <w:t>Cancer</w:t>
      </w:r>
      <w:r>
        <w:rPr>
          <w:rFonts w:hint="eastAsia" w:eastAsia="宋体"/>
        </w:rPr>
        <w:t>, 2024, 33(02): 134–139.</w:t>
      </w:r>
    </w:p>
    <w:p w14:paraId="1B1581C5">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31" w:name="_ENREF_23"/>
      <w:r>
        <w:rPr>
          <w:rFonts w:ascii="Times New Roman" w:hAnsi="Times New Roman" w:cs="Times New Roman" w:eastAsiaTheme="minorEastAsia"/>
          <w:kern w:val="2"/>
          <w:sz w:val="20"/>
          <w:szCs w:val="24"/>
          <w:lang w:val="en-US" w:eastAsia="zh-CN" w:bidi="ar-SA"/>
        </w:rPr>
        <w:t>[23]</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周家琛, 郑荣寿, 王少明,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2020年中国和世界部分国家主要消化道肿瘤负担比较 [J]. 肿瘤综合治疗电子杂志, 2021, 7(02): 26–32.</w:t>
      </w:r>
      <w:bookmarkEnd w:id="31"/>
    </w:p>
    <w:p w14:paraId="2258DA0D">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 xml:space="preserve">ZHOU J C, ZHENG R S, WANG S M, </w:t>
      </w:r>
      <w:r>
        <w:rPr>
          <w:rFonts w:eastAsia="宋体"/>
        </w:rPr>
        <w:t>et al</w:t>
      </w:r>
      <w:r>
        <w:rPr>
          <w:rFonts w:hint="eastAsia" w:eastAsia="宋体"/>
        </w:rPr>
        <w:t xml:space="preserve">. </w:t>
      </w:r>
      <w:r>
        <w:rPr>
          <w:rFonts w:eastAsia="宋体"/>
        </w:rPr>
        <w:t>Comparation between the burden of major digestive tract cancers in China and 19 countries in the world in 2020</w:t>
      </w:r>
      <w:r>
        <w:rPr>
          <w:rFonts w:hint="eastAsia" w:eastAsia="宋体"/>
        </w:rPr>
        <w:t xml:space="preserve"> [J]. </w:t>
      </w:r>
      <w:r>
        <w:rPr>
          <w:rFonts w:eastAsia="宋体"/>
        </w:rPr>
        <w:t>Journal of Multidisciplinary Cancer Management</w:t>
      </w:r>
      <w:r>
        <w:rPr>
          <w:rFonts w:hint="eastAsia" w:eastAsia="宋体"/>
        </w:rPr>
        <w:t xml:space="preserve"> </w:t>
      </w:r>
      <w:r>
        <w:rPr>
          <w:rFonts w:eastAsia="宋体"/>
        </w:rPr>
        <w:t>(Electronic Version)</w:t>
      </w:r>
      <w:r>
        <w:rPr>
          <w:rFonts w:hint="eastAsia" w:eastAsia="宋体"/>
        </w:rPr>
        <w:t>, 2021, 7(02): 26–32.</w:t>
      </w:r>
    </w:p>
    <w:p w14:paraId="2B665650">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32" w:name="_ENREF_24"/>
      <w:r>
        <w:rPr>
          <w:rFonts w:ascii="Times New Roman" w:hAnsi="Times New Roman" w:cs="Times New Roman" w:eastAsiaTheme="minorEastAsia"/>
          <w:kern w:val="2"/>
          <w:sz w:val="20"/>
          <w:szCs w:val="24"/>
          <w:lang w:val="en-US" w:eastAsia="zh-CN" w:bidi="ar-SA"/>
        </w:rPr>
        <w:t>[24]</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岳璐, 董铭洁, 赵雪莲,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中国乳腺癌预防控制现状、问题及应对策略 [J]. 中国公共卫生, 2025, 41(12): 1527–1531.</w:t>
      </w:r>
      <w:bookmarkEnd w:id="32"/>
    </w:p>
    <w:p w14:paraId="7B063C25">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cs="Times New Roman"/>
          <w:kern w:val="2"/>
          <w:sz w:val="20"/>
          <w:szCs w:val="24"/>
          <w:lang w:val="en-US" w:eastAsia="zh-CN" w:bidi="ar-SA"/>
        </w:rPr>
        <w:t>YUE L</w:t>
      </w:r>
      <w:r>
        <w:rPr>
          <w:rFonts w:ascii="Times New Roman" w:hAnsi="Times New Roman" w:cs="Times New Roman" w:eastAsiaTheme="minorEastAsia"/>
          <w:kern w:val="2"/>
          <w:sz w:val="20"/>
          <w:szCs w:val="24"/>
          <w:lang w:val="en-US" w:eastAsia="zh-CN" w:bidi="ar-SA"/>
        </w:rPr>
        <w:t xml:space="preserve">, </w:t>
      </w:r>
      <w:r>
        <w:rPr>
          <w:rFonts w:hint="eastAsia" w:cs="Times New Roman"/>
          <w:kern w:val="2"/>
          <w:sz w:val="20"/>
          <w:szCs w:val="24"/>
          <w:lang w:val="en-US" w:eastAsia="zh-CN" w:bidi="ar-SA"/>
        </w:rPr>
        <w:t>DONG M J</w:t>
      </w:r>
      <w:r>
        <w:rPr>
          <w:rFonts w:ascii="Times New Roman" w:hAnsi="Times New Roman" w:cs="Times New Roman" w:eastAsiaTheme="minorEastAsia"/>
          <w:kern w:val="2"/>
          <w:sz w:val="20"/>
          <w:szCs w:val="24"/>
          <w:lang w:val="en-US" w:eastAsia="zh-CN" w:bidi="ar-SA"/>
        </w:rPr>
        <w:t xml:space="preserve">, </w:t>
      </w:r>
      <w:r>
        <w:rPr>
          <w:rFonts w:hint="eastAsia" w:cs="Times New Roman"/>
          <w:kern w:val="2"/>
          <w:sz w:val="20"/>
          <w:szCs w:val="24"/>
          <w:lang w:val="en-US" w:eastAsia="zh-CN" w:bidi="ar-SA"/>
        </w:rPr>
        <w:t>ZHAO X L</w:t>
      </w:r>
      <w:r>
        <w:rPr>
          <w:rFonts w:ascii="Times New Roman" w:hAnsi="Times New Roman" w:cs="Times New Roman" w:eastAsiaTheme="minorEastAsia"/>
          <w:kern w:val="2"/>
          <w:sz w:val="20"/>
          <w:szCs w:val="24"/>
          <w:lang w:val="en-US" w:eastAsia="zh-CN" w:bidi="ar-SA"/>
        </w:rPr>
        <w:t xml:space="preserve">, </w:t>
      </w:r>
      <w:r>
        <w:rPr>
          <w:rFonts w:eastAsia="宋体"/>
        </w:rPr>
        <w:t>et al</w:t>
      </w:r>
      <w:r>
        <w:rPr>
          <w:rFonts w:ascii="Times New Roman" w:hAnsi="Times New Roman" w:cs="Times New Roman" w:eastAsiaTheme="minorEastAsia"/>
          <w:kern w:val="2"/>
          <w:sz w:val="20"/>
          <w:szCs w:val="24"/>
          <w:lang w:val="en-US" w:eastAsia="zh-CN" w:bidi="ar-SA"/>
        </w:rPr>
        <w:t xml:space="preserve">. </w:t>
      </w:r>
      <w:r>
        <w:rPr>
          <w:rFonts w:hint="eastAsia" w:ascii="Times New Roman" w:hAnsi="Times New Roman" w:cs="Times New Roman" w:eastAsiaTheme="minorEastAsia"/>
          <w:kern w:val="2"/>
          <w:sz w:val="20"/>
          <w:szCs w:val="24"/>
          <w:lang w:val="en-US" w:eastAsia="zh-CN" w:bidi="ar-SA"/>
        </w:rPr>
        <w:t>Current status, challenges, and countermeasures  of prevention and</w:t>
      </w:r>
      <w:r>
        <w:rPr>
          <w:rFonts w:hint="eastAsia" w:cs="Times New Roman"/>
          <w:kern w:val="2"/>
          <w:sz w:val="20"/>
          <w:szCs w:val="24"/>
          <w:lang w:val="en-US" w:eastAsia="zh-CN" w:bidi="ar-SA"/>
        </w:rPr>
        <w:t xml:space="preserve"> </w:t>
      </w:r>
      <w:r>
        <w:rPr>
          <w:rFonts w:hint="eastAsia" w:ascii="Times New Roman" w:hAnsi="Times New Roman" w:cs="Times New Roman" w:eastAsiaTheme="minorEastAsia"/>
          <w:kern w:val="2"/>
          <w:sz w:val="20"/>
          <w:szCs w:val="24"/>
          <w:lang w:val="en-US" w:eastAsia="zh-CN" w:bidi="ar-SA"/>
        </w:rPr>
        <w:t>control of breast cancer in China</w:t>
      </w:r>
      <w:r>
        <w:rPr>
          <w:rFonts w:ascii="Times New Roman" w:hAnsi="Times New Roman" w:cs="Times New Roman" w:eastAsiaTheme="minorEastAsia"/>
          <w:kern w:val="2"/>
          <w:sz w:val="20"/>
          <w:szCs w:val="24"/>
          <w:lang w:val="en-US" w:eastAsia="zh-CN" w:bidi="ar-SA"/>
        </w:rPr>
        <w:t xml:space="preserve"> [J]. </w:t>
      </w:r>
      <w:r>
        <w:rPr>
          <w:rFonts w:hint="eastAsia" w:ascii="Times New Roman" w:hAnsi="Times New Roman" w:cs="Times New Roman" w:eastAsiaTheme="minorEastAsia"/>
          <w:kern w:val="2"/>
          <w:sz w:val="20"/>
          <w:szCs w:val="24"/>
          <w:lang w:val="en-US" w:eastAsia="zh-CN" w:bidi="ar-SA"/>
        </w:rPr>
        <w:t>Chinese Journal of Public Health</w:t>
      </w:r>
      <w:r>
        <w:rPr>
          <w:rFonts w:ascii="Times New Roman" w:hAnsi="Times New Roman" w:cs="Times New Roman" w:eastAsiaTheme="minorEastAsia"/>
          <w:kern w:val="2"/>
          <w:sz w:val="20"/>
          <w:szCs w:val="24"/>
          <w:lang w:val="en-US" w:eastAsia="zh-CN" w:bidi="ar-SA"/>
        </w:rPr>
        <w:t>, 2025, 41(12): 1527–1531.</w:t>
      </w:r>
    </w:p>
    <w:p w14:paraId="5FA64316">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33" w:name="_ENREF_25"/>
      <w:r>
        <w:rPr>
          <w:rFonts w:ascii="Times New Roman" w:hAnsi="Times New Roman" w:cs="Times New Roman" w:eastAsiaTheme="minorEastAsia"/>
          <w:kern w:val="2"/>
          <w:sz w:val="20"/>
          <w:szCs w:val="24"/>
          <w:lang w:val="en-US" w:eastAsia="zh-CN" w:bidi="ar-SA"/>
        </w:rPr>
        <w:t>[25]</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董婷, 成姝雯, 袁芝佩,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2013—2020年四川省肿瘤登记地区结直肠癌疾病负担变化趋势 [J]. 中国肿瘤, 2026, 35(02): 88–94.</w:t>
      </w:r>
      <w:bookmarkEnd w:id="33"/>
    </w:p>
    <w:p w14:paraId="06D6F3BA">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34" w:name="_ENREF_26"/>
      <w:r>
        <w:rPr>
          <w:rFonts w:ascii="Times New Roman" w:hAnsi="Times New Roman" w:cs="Times New Roman" w:eastAsiaTheme="minorEastAsia"/>
          <w:kern w:val="2"/>
          <w:sz w:val="20"/>
          <w:szCs w:val="24"/>
          <w:lang w:val="en-US" w:eastAsia="zh-CN" w:bidi="ar-SA"/>
        </w:rPr>
        <w:t>[26]</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杨红丽, 徐文超, 骆文书,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2011—2021年常州市结直肠癌死亡率与疾病负担变化趋势及预测分析 [J]. 中国慢性病预防与控制, 2026, 34(02): 156–161.</w:t>
      </w:r>
      <w:bookmarkEnd w:id="34"/>
    </w:p>
    <w:p w14:paraId="4CE25422">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 xml:space="preserve">DONG T, CHENG S W, YUAN Z P, </w:t>
      </w:r>
      <w:r>
        <w:rPr>
          <w:rFonts w:eastAsia="宋体"/>
        </w:rPr>
        <w:t>et al</w:t>
      </w:r>
      <w:r>
        <w:rPr>
          <w:rFonts w:hint="eastAsia" w:eastAsia="宋体"/>
        </w:rPr>
        <w:t xml:space="preserve">. </w:t>
      </w:r>
      <w:r>
        <w:rPr>
          <w:rFonts w:eastAsia="宋体"/>
        </w:rPr>
        <w:t>Trends in the Disease Burden of Colorectal Cancer in</w:t>
      </w:r>
      <w:r>
        <w:rPr>
          <w:rFonts w:hint="eastAsia" w:eastAsia="宋体"/>
        </w:rPr>
        <w:t xml:space="preserve"> </w:t>
      </w:r>
      <w:r>
        <w:rPr>
          <w:rFonts w:eastAsia="宋体"/>
        </w:rPr>
        <w:t>Sichuan Cancer Registration Areas from 2013 to 2020</w:t>
      </w:r>
      <w:r>
        <w:rPr>
          <w:rFonts w:hint="eastAsia" w:eastAsia="宋体"/>
        </w:rPr>
        <w:t xml:space="preserve"> [J]. </w:t>
      </w:r>
      <w:r>
        <w:rPr>
          <w:rFonts w:eastAsia="宋体"/>
        </w:rPr>
        <w:t>China</w:t>
      </w:r>
      <w:r>
        <w:rPr>
          <w:rFonts w:hint="eastAsia" w:eastAsia="宋体"/>
        </w:rPr>
        <w:t xml:space="preserve"> </w:t>
      </w:r>
      <w:r>
        <w:rPr>
          <w:rFonts w:eastAsia="宋体"/>
        </w:rPr>
        <w:t>Cancer</w:t>
      </w:r>
      <w:r>
        <w:rPr>
          <w:rFonts w:hint="eastAsia" w:eastAsia="宋体"/>
        </w:rPr>
        <w:t>, 2026, 35(02): 88–94.</w:t>
      </w:r>
    </w:p>
    <w:p w14:paraId="05604377">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35" w:name="_ENREF_27"/>
      <w:r>
        <w:rPr>
          <w:rFonts w:ascii="Times New Roman" w:hAnsi="Times New Roman" w:cs="Times New Roman" w:eastAsiaTheme="minorEastAsia"/>
          <w:kern w:val="2"/>
          <w:sz w:val="20"/>
          <w:szCs w:val="24"/>
          <w:lang w:val="en-US" w:eastAsia="zh-CN" w:bidi="ar-SA"/>
        </w:rPr>
        <w:t>[27]</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BLACKFORD A L, CANTO M I, DBOUK M, et al. Pancreatic Cancer Surveillance and Survival of High-Risk Individuals [J]. JAMA oncology, 2024.</w:t>
      </w:r>
      <w:bookmarkEnd w:id="35"/>
    </w:p>
    <w:p w14:paraId="6B6C06FC">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36" w:name="_ENREF_28"/>
      <w:r>
        <w:rPr>
          <w:rFonts w:ascii="Times New Roman" w:hAnsi="Times New Roman" w:cs="Times New Roman" w:eastAsiaTheme="minorEastAsia"/>
          <w:kern w:val="2"/>
          <w:sz w:val="20"/>
          <w:szCs w:val="24"/>
          <w:lang w:val="en-US" w:eastAsia="zh-CN" w:bidi="ar-SA"/>
        </w:rPr>
        <w:t>[28]</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王楠, 马霞, 王子瑜,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2014—2019年山东省济南市胰腺癌流行趋势及生存分析 [J]. 中国肿瘤, 2025, 34(12): 946–953.</w:t>
      </w:r>
      <w:bookmarkEnd w:id="36"/>
    </w:p>
    <w:p w14:paraId="7E6D23C6">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WANG N</w:t>
      </w:r>
      <w:r>
        <w:rPr>
          <w:rFonts w:eastAsia="宋体"/>
        </w:rPr>
        <w:t xml:space="preserve">, </w:t>
      </w:r>
      <w:r>
        <w:rPr>
          <w:rFonts w:hint="eastAsia" w:eastAsia="宋体"/>
        </w:rPr>
        <w:t>MA X</w:t>
      </w:r>
      <w:r>
        <w:rPr>
          <w:rFonts w:eastAsia="宋体"/>
        </w:rPr>
        <w:t xml:space="preserve">, </w:t>
      </w:r>
      <w:r>
        <w:rPr>
          <w:rFonts w:hint="eastAsia" w:eastAsia="宋体"/>
        </w:rPr>
        <w:t>WANG Z Y</w:t>
      </w:r>
      <w:r>
        <w:rPr>
          <w:rFonts w:eastAsia="宋体"/>
        </w:rPr>
        <w:t>, et al. 2</w:t>
      </w:r>
      <w:r>
        <w:rPr>
          <w:rFonts w:hint="eastAsia" w:eastAsia="宋体"/>
        </w:rPr>
        <w:t>Epidemic Trend and Survival Analysis of Pancreatic Cancer in Jinan City of Shandong Province from 2014 to</w:t>
      </w:r>
      <w:r>
        <w:rPr>
          <w:rFonts w:eastAsia="宋体"/>
        </w:rPr>
        <w:t xml:space="preserve"> [J]. China</w:t>
      </w:r>
      <w:r>
        <w:rPr>
          <w:rFonts w:hint="eastAsia" w:eastAsia="宋体"/>
        </w:rPr>
        <w:t xml:space="preserve"> </w:t>
      </w:r>
      <w:r>
        <w:rPr>
          <w:rFonts w:eastAsia="宋体"/>
        </w:rPr>
        <w:t>Cancer, 2025, 34(12): 946–953.</w:t>
      </w:r>
    </w:p>
    <w:p w14:paraId="4704AFAF">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37" w:name="_ENREF_29"/>
      <w:r>
        <w:rPr>
          <w:rFonts w:ascii="Times New Roman" w:hAnsi="Times New Roman" w:cs="Times New Roman" w:eastAsiaTheme="minorEastAsia"/>
          <w:kern w:val="2"/>
          <w:sz w:val="20"/>
          <w:szCs w:val="24"/>
          <w:lang w:val="en-US" w:eastAsia="zh-CN" w:bidi="ar-SA"/>
        </w:rPr>
        <w:t>[29]</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朱夏燕, 陶欢青, 王乐,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2021年浙江省肿瘤登记地区前列腺癌发病与死亡特征及2000—2021年变化趋势分析 [J]. 中国肿瘤, 2025, 34(10): 775–782.</w:t>
      </w:r>
      <w:bookmarkEnd w:id="37"/>
    </w:p>
    <w:p w14:paraId="537B1296">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ZHU X Y</w:t>
      </w:r>
      <w:r>
        <w:rPr>
          <w:rFonts w:eastAsia="宋体"/>
        </w:rPr>
        <w:t xml:space="preserve">, </w:t>
      </w:r>
      <w:r>
        <w:rPr>
          <w:rFonts w:hint="eastAsia" w:eastAsia="宋体"/>
        </w:rPr>
        <w:t>TAO H Q</w:t>
      </w:r>
      <w:r>
        <w:rPr>
          <w:rFonts w:eastAsia="宋体"/>
        </w:rPr>
        <w:t xml:space="preserve">, </w:t>
      </w:r>
      <w:r>
        <w:rPr>
          <w:rFonts w:hint="eastAsia" w:eastAsia="宋体"/>
        </w:rPr>
        <w:t>WANG L</w:t>
      </w:r>
      <w:r>
        <w:rPr>
          <w:rFonts w:eastAsia="宋体"/>
        </w:rPr>
        <w:t xml:space="preserve">, et al. </w:t>
      </w:r>
      <w:r>
        <w:rPr>
          <w:rFonts w:hint="eastAsia" w:eastAsia="宋体"/>
        </w:rPr>
        <w:t>Incidence and Mortality of Prostate Cancer in Zhejiang</w:t>
      </w:r>
      <w:r>
        <w:rPr>
          <w:rFonts w:hint="eastAsia" w:eastAsia="宋体"/>
          <w:lang w:val="en-US" w:eastAsia="zh-CN"/>
        </w:rPr>
        <w:t xml:space="preserve"> </w:t>
      </w:r>
      <w:r>
        <w:rPr>
          <w:rFonts w:hint="eastAsia" w:eastAsia="宋体"/>
        </w:rPr>
        <w:t>Cancer Registration Areas in 2021 and Trends from 2000 to 2021</w:t>
      </w:r>
      <w:r>
        <w:rPr>
          <w:rFonts w:eastAsia="宋体"/>
        </w:rPr>
        <w:t xml:space="preserve"> [J]. China</w:t>
      </w:r>
      <w:r>
        <w:rPr>
          <w:rFonts w:hint="eastAsia" w:eastAsia="宋体"/>
        </w:rPr>
        <w:t xml:space="preserve"> </w:t>
      </w:r>
      <w:r>
        <w:rPr>
          <w:rFonts w:eastAsia="宋体"/>
        </w:rPr>
        <w:t>Cancer, 2025, 34(10): 775–782.</w:t>
      </w:r>
    </w:p>
    <w:p w14:paraId="09048CB8">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38" w:name="_ENREF_30"/>
      <w:r>
        <w:rPr>
          <w:rFonts w:ascii="Times New Roman" w:hAnsi="Times New Roman" w:cs="Times New Roman" w:eastAsiaTheme="minorEastAsia"/>
          <w:kern w:val="2"/>
          <w:sz w:val="20"/>
          <w:szCs w:val="24"/>
          <w:lang w:val="en-US" w:eastAsia="zh-CN" w:bidi="ar-SA"/>
        </w:rPr>
        <w:t>[30]</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蔡红霞, 尹若云, 钱蒙,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1992—2021年中国前列腺癌发病与死亡年龄-时期-队列及灰色预测分析 [J]. 中国循证医学杂志, 2025, 25(07): 768–774.</w:t>
      </w:r>
      <w:bookmarkEnd w:id="38"/>
    </w:p>
    <w:p w14:paraId="334D3D4E">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CAI H X</w:t>
      </w:r>
      <w:r>
        <w:rPr>
          <w:rFonts w:eastAsia="宋体"/>
        </w:rPr>
        <w:t xml:space="preserve">, </w:t>
      </w:r>
      <w:r>
        <w:rPr>
          <w:rFonts w:hint="eastAsia" w:eastAsia="宋体"/>
        </w:rPr>
        <w:t>YIN R Y</w:t>
      </w:r>
      <w:r>
        <w:rPr>
          <w:rFonts w:eastAsia="宋体"/>
        </w:rPr>
        <w:t xml:space="preserve">, </w:t>
      </w:r>
      <w:r>
        <w:rPr>
          <w:rFonts w:hint="eastAsia" w:eastAsia="宋体"/>
        </w:rPr>
        <w:t>QIAN M</w:t>
      </w:r>
      <w:r>
        <w:rPr>
          <w:rFonts w:eastAsia="宋体"/>
        </w:rPr>
        <w:t xml:space="preserve">, et al. </w:t>
      </w:r>
      <w:r>
        <w:rPr>
          <w:rFonts w:hint="eastAsia" w:eastAsia="宋体"/>
        </w:rPr>
        <w:t>Analysis on age-period-cohort model of incidence and mortality of prostate cancer in China from 1992 to 2021 and grey prediction</w:t>
      </w:r>
      <w:r>
        <w:rPr>
          <w:rFonts w:eastAsia="宋体"/>
        </w:rPr>
        <w:t xml:space="preserve"> [J]. </w:t>
      </w:r>
      <w:r>
        <w:rPr>
          <w:rFonts w:hint="eastAsia" w:eastAsia="宋体"/>
        </w:rPr>
        <w:t>Chinese Journal of Evidence-Based Medicine</w:t>
      </w:r>
      <w:r>
        <w:rPr>
          <w:rFonts w:eastAsia="宋体"/>
        </w:rPr>
        <w:t>, 2025, 25(07): 768–774.</w:t>
      </w:r>
    </w:p>
    <w:p w14:paraId="36ED4C1F">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39" w:name="_ENREF_31"/>
      <w:r>
        <w:rPr>
          <w:rFonts w:ascii="Times New Roman" w:hAnsi="Times New Roman" w:cs="Times New Roman" w:eastAsiaTheme="minorEastAsia"/>
          <w:kern w:val="2"/>
          <w:sz w:val="20"/>
          <w:szCs w:val="24"/>
          <w:lang w:val="en-US" w:eastAsia="zh-CN" w:bidi="ar-SA"/>
        </w:rPr>
        <w:t>[31]</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邓青, 刘普林, 张晓霞,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2010—2019年武汉市膀胱癌死亡趋势及年龄-时期-队列模型分析 [J]. 中国癌症防治杂志, 2026, 18(01): 19–27.</w:t>
      </w:r>
      <w:bookmarkEnd w:id="39"/>
    </w:p>
    <w:p w14:paraId="00DCAC47">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DENG Q</w:t>
      </w:r>
      <w:r>
        <w:rPr>
          <w:rFonts w:eastAsia="宋体"/>
        </w:rPr>
        <w:t xml:space="preserve">, </w:t>
      </w:r>
      <w:r>
        <w:rPr>
          <w:rFonts w:hint="eastAsia" w:eastAsia="宋体"/>
        </w:rPr>
        <w:t>LIU P L</w:t>
      </w:r>
      <w:r>
        <w:rPr>
          <w:rFonts w:eastAsia="宋体"/>
        </w:rPr>
        <w:t xml:space="preserve">, </w:t>
      </w:r>
      <w:r>
        <w:rPr>
          <w:rFonts w:hint="eastAsia" w:eastAsia="宋体"/>
        </w:rPr>
        <w:t>ZAHNG X X</w:t>
      </w:r>
      <w:r>
        <w:rPr>
          <w:rFonts w:eastAsia="宋体"/>
        </w:rPr>
        <w:t>, et al. Mortality trend and age‑period‑cohort model analysis of bladder cancer in Wuhan,</w:t>
      </w:r>
      <w:r>
        <w:rPr>
          <w:rFonts w:hint="eastAsia" w:eastAsia="宋体"/>
        </w:rPr>
        <w:t xml:space="preserve"> 2010—2019</w:t>
      </w:r>
      <w:r>
        <w:rPr>
          <w:rFonts w:eastAsia="宋体"/>
        </w:rPr>
        <w:t xml:space="preserve"> [J]. </w:t>
      </w:r>
      <w:r>
        <w:rPr>
          <w:rFonts w:hint="eastAsia" w:eastAsia="宋体"/>
        </w:rPr>
        <w:t>Chinese Journal of Oncology Prevention and Treatment</w:t>
      </w:r>
      <w:r>
        <w:rPr>
          <w:rFonts w:eastAsia="宋体"/>
        </w:rPr>
        <w:t>, 2026, 18(01): 19–27</w:t>
      </w:r>
    </w:p>
    <w:p w14:paraId="18181BE9">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40" w:name="_ENREF_32"/>
      <w:r>
        <w:rPr>
          <w:rFonts w:ascii="Times New Roman" w:hAnsi="Times New Roman" w:cs="Times New Roman" w:eastAsiaTheme="minorEastAsia"/>
          <w:kern w:val="2"/>
          <w:sz w:val="20"/>
          <w:szCs w:val="24"/>
          <w:lang w:val="en-US" w:eastAsia="zh-CN" w:bidi="ar-SA"/>
        </w:rPr>
        <w:t>[32]</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陆玲玲, 孙燕, 严永锋,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全球及中国膀胱癌流行特征分析与趋势预测——基于GLOBOCAN 2022数据库 [J]. 中国肿瘤, 2025, 34(07): 499–506.</w:t>
      </w:r>
      <w:bookmarkEnd w:id="40"/>
    </w:p>
    <w:p w14:paraId="1908B8A0">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LU L L</w:t>
      </w:r>
      <w:r>
        <w:rPr>
          <w:rFonts w:eastAsia="宋体"/>
        </w:rPr>
        <w:t xml:space="preserve">, </w:t>
      </w:r>
      <w:r>
        <w:rPr>
          <w:rFonts w:hint="eastAsia" w:eastAsia="宋体"/>
        </w:rPr>
        <w:t>SUN Y</w:t>
      </w:r>
      <w:r>
        <w:rPr>
          <w:rFonts w:eastAsia="宋体"/>
        </w:rPr>
        <w:t xml:space="preserve">, </w:t>
      </w:r>
      <w:r>
        <w:rPr>
          <w:rFonts w:hint="eastAsia" w:eastAsia="宋体"/>
        </w:rPr>
        <w:t>YAN Y F</w:t>
      </w:r>
      <w:r>
        <w:rPr>
          <w:rFonts w:eastAsia="宋体"/>
        </w:rPr>
        <w:t xml:space="preserve">, et al. </w:t>
      </w:r>
      <w:r>
        <w:rPr>
          <w:rFonts w:hint="eastAsia" w:eastAsia="宋体"/>
        </w:rPr>
        <w:t>Epidemic Characteristics and Trend Prediction of Bladder</w:t>
      </w:r>
      <w:r>
        <w:rPr>
          <w:rFonts w:hint="eastAsia" w:eastAsia="宋体"/>
          <w:lang w:val="en-US" w:eastAsia="zh-CN"/>
        </w:rPr>
        <w:t xml:space="preserve"> </w:t>
      </w:r>
      <w:r>
        <w:rPr>
          <w:rFonts w:hint="eastAsia" w:eastAsia="宋体"/>
        </w:rPr>
        <w:t>Cancer Worldwide and in China： Based on the GLOBOCAN 2022 Database</w:t>
      </w:r>
      <w:r>
        <w:rPr>
          <w:rFonts w:eastAsia="宋体"/>
        </w:rPr>
        <w:t xml:space="preserve"> [J]. China</w:t>
      </w:r>
      <w:r>
        <w:rPr>
          <w:rFonts w:hint="eastAsia" w:eastAsia="宋体"/>
        </w:rPr>
        <w:t xml:space="preserve"> </w:t>
      </w:r>
      <w:r>
        <w:rPr>
          <w:rFonts w:eastAsia="宋体"/>
        </w:rPr>
        <w:t>Cancer, 2025, 34(07): 499–506.</w:t>
      </w:r>
    </w:p>
    <w:p w14:paraId="6BA0F81A">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41" w:name="_ENREF_33"/>
      <w:r>
        <w:rPr>
          <w:rFonts w:ascii="Times New Roman" w:hAnsi="Times New Roman" w:cs="Times New Roman" w:eastAsiaTheme="minorEastAsia"/>
          <w:kern w:val="2"/>
          <w:sz w:val="20"/>
          <w:szCs w:val="24"/>
          <w:lang w:val="en-US" w:eastAsia="zh-CN" w:bidi="ar-SA"/>
        </w:rPr>
        <w:t>[33]</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吴昕钰, 钱雯, 何燕,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2016—2021年四川省成都市恶性肿瘤流行特征及其趋势分析 [J]. 中国肿瘤, 2026, 35(03): 192–201.</w:t>
      </w:r>
      <w:bookmarkEnd w:id="41"/>
    </w:p>
    <w:p w14:paraId="710B00C3">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 xml:space="preserve">WU X Y, QIAN W, HE Y, </w:t>
      </w:r>
      <w:r>
        <w:rPr>
          <w:rFonts w:eastAsia="宋体"/>
        </w:rPr>
        <w:t>et al</w:t>
      </w:r>
      <w:r>
        <w:rPr>
          <w:rFonts w:hint="eastAsia" w:eastAsia="宋体"/>
        </w:rPr>
        <w:t xml:space="preserve">. </w:t>
      </w:r>
      <w:r>
        <w:rPr>
          <w:rFonts w:eastAsia="宋体"/>
        </w:rPr>
        <w:t>Trends of Cancer Incidence and Mortality in Chengdu</w:t>
      </w:r>
      <w:r>
        <w:rPr>
          <w:rFonts w:hint="eastAsia" w:eastAsia="宋体"/>
        </w:rPr>
        <w:t xml:space="preserve"> </w:t>
      </w:r>
      <w:r>
        <w:rPr>
          <w:rFonts w:eastAsia="宋体"/>
        </w:rPr>
        <w:t>City of Sichuan Province from 2016 to 2021</w:t>
      </w:r>
      <w:r>
        <w:rPr>
          <w:rFonts w:hint="eastAsia" w:eastAsia="宋体"/>
        </w:rPr>
        <w:t xml:space="preserve"> [J]. </w:t>
      </w:r>
      <w:r>
        <w:rPr>
          <w:rFonts w:eastAsia="宋体"/>
        </w:rPr>
        <w:t>China</w:t>
      </w:r>
      <w:r>
        <w:rPr>
          <w:rFonts w:hint="eastAsia" w:eastAsia="宋体"/>
        </w:rPr>
        <w:t xml:space="preserve"> </w:t>
      </w:r>
      <w:r>
        <w:rPr>
          <w:rFonts w:eastAsia="宋体"/>
        </w:rPr>
        <w:t>Cancer</w:t>
      </w:r>
      <w:r>
        <w:rPr>
          <w:rFonts w:hint="eastAsia" w:eastAsia="宋体"/>
        </w:rPr>
        <w:t>, 2026, 35(03): 192–201.</w:t>
      </w:r>
    </w:p>
    <w:p w14:paraId="0F957A38">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42" w:name="_ENREF_34"/>
      <w:r>
        <w:rPr>
          <w:rFonts w:ascii="Times New Roman" w:hAnsi="Times New Roman" w:cs="Times New Roman" w:eastAsiaTheme="minorEastAsia"/>
          <w:kern w:val="2"/>
          <w:sz w:val="20"/>
          <w:szCs w:val="24"/>
          <w:lang w:val="en-US" w:eastAsia="zh-CN" w:bidi="ar-SA"/>
        </w:rPr>
        <w:t>[34]</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LI M, HU M, JIANG L, et al. Trends in Cancer Incidence and Potential Associated Factors in China [J]. Jama Network Open, 2024, 7(10).</w:t>
      </w:r>
      <w:bookmarkEnd w:id="42"/>
    </w:p>
    <w:p w14:paraId="198A2931">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43" w:name="_ENREF_35"/>
      <w:r>
        <w:rPr>
          <w:rFonts w:ascii="Times New Roman" w:hAnsi="Times New Roman" w:cs="Times New Roman" w:eastAsiaTheme="minorEastAsia"/>
          <w:kern w:val="2"/>
          <w:sz w:val="20"/>
          <w:szCs w:val="24"/>
          <w:lang w:val="en-US" w:eastAsia="zh-CN" w:bidi="ar-SA"/>
        </w:rPr>
        <w:t>[35]</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王昕, 吕筠, 郭彧,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中国慢性病前瞻性研究：10个项目地区成年人群吸烟行为特征差异分析 [J]. 中华流行病学杂志, 2015, 36(11): 1200–1204.</w:t>
      </w:r>
      <w:bookmarkEnd w:id="43"/>
    </w:p>
    <w:p w14:paraId="0269162F">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 xml:space="preserve">WANG X, LYU J, GUO Y, </w:t>
      </w:r>
      <w:r>
        <w:rPr>
          <w:rFonts w:eastAsia="宋体"/>
        </w:rPr>
        <w:t>et al</w:t>
      </w:r>
      <w:r>
        <w:rPr>
          <w:rFonts w:hint="eastAsia" w:eastAsia="宋体"/>
        </w:rPr>
        <w:t xml:space="preserve">. </w:t>
      </w:r>
      <w:r>
        <w:rPr>
          <w:rFonts w:eastAsia="宋体"/>
        </w:rPr>
        <w:t>Regional differences in adults' smoking pattern: findings from China Kadoorie Biobank study in 10 areas in China</w:t>
      </w:r>
      <w:r>
        <w:rPr>
          <w:rFonts w:hint="eastAsia" w:eastAsia="宋体"/>
        </w:rPr>
        <w:t xml:space="preserve"> [J]. </w:t>
      </w:r>
      <w:r>
        <w:rPr>
          <w:rFonts w:eastAsia="宋体"/>
        </w:rPr>
        <w:t>Chinese journal of Epidemiology</w:t>
      </w:r>
      <w:r>
        <w:rPr>
          <w:rFonts w:hint="eastAsia" w:eastAsia="宋体"/>
        </w:rPr>
        <w:t>, 2015, 36(11): 1200–1204.</w:t>
      </w:r>
    </w:p>
    <w:p w14:paraId="7E641D69">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44" w:name="_ENREF_36"/>
      <w:r>
        <w:rPr>
          <w:rFonts w:ascii="Times New Roman" w:hAnsi="Times New Roman" w:cs="Times New Roman" w:eastAsiaTheme="minorEastAsia"/>
          <w:kern w:val="2"/>
          <w:sz w:val="20"/>
          <w:szCs w:val="24"/>
          <w:lang w:val="en-US" w:eastAsia="zh-CN" w:bidi="ar-SA"/>
        </w:rPr>
        <w:t>[36]</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SILVERMAN E K, WEISS S T, DRAZEN J M, et al. Gender-Related Differences in Severe, Early-Onset Chronic Obstructive Pulmonary Disease [J]. American Journal of Respiratory and Critical Care Medicine, 2000, 162(6): 2152–2158.</w:t>
      </w:r>
      <w:bookmarkEnd w:id="44"/>
    </w:p>
    <w:p w14:paraId="5B95A12D">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45" w:name="_ENREF_37"/>
      <w:r>
        <w:rPr>
          <w:rFonts w:ascii="Times New Roman" w:hAnsi="Times New Roman" w:cs="Times New Roman" w:eastAsiaTheme="minorEastAsia"/>
          <w:kern w:val="2"/>
          <w:sz w:val="20"/>
          <w:szCs w:val="24"/>
          <w:lang w:val="en-US" w:eastAsia="zh-CN" w:bidi="ar-SA"/>
        </w:rPr>
        <w:t>[37]</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WANG M, LUO X, XU S, et al. Trends in smoking prevalence and implication for chronic diseases in China: serial national cross-sectional surveys from 2003 to 2013 [J]. Lancet Respiratory Medicine, 2019, 7(1): 35–45.</w:t>
      </w:r>
      <w:bookmarkEnd w:id="45"/>
    </w:p>
    <w:p w14:paraId="4DD0ED8C">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46" w:name="_ENREF_38"/>
      <w:r>
        <w:rPr>
          <w:rFonts w:ascii="Times New Roman" w:hAnsi="Times New Roman" w:cs="Times New Roman" w:eastAsiaTheme="minorEastAsia"/>
          <w:kern w:val="2"/>
          <w:sz w:val="20"/>
          <w:szCs w:val="24"/>
          <w:lang w:val="en-US" w:eastAsia="zh-CN" w:bidi="ar-SA"/>
        </w:rPr>
        <w:t>[38]</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刘燕青, 张金丽. 2004—2021年中国女性宫颈癌疾病负担变化趋势分析 [J]. 实用肿瘤学杂志, 2025, 39(06): 507–514.</w:t>
      </w:r>
      <w:bookmarkEnd w:id="46"/>
    </w:p>
    <w:p w14:paraId="5D958583">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ascii="Times New Roman" w:hAnsi="Times New Roman" w:cs="Times New Roman" w:eastAsiaTheme="minorEastAsia"/>
          <w:kern w:val="2"/>
          <w:sz w:val="20"/>
          <w:szCs w:val="24"/>
          <w:lang w:val="en-US" w:eastAsia="zh-CN" w:bidi="ar-SA"/>
        </w:rPr>
      </w:pPr>
      <w:r>
        <w:rPr>
          <w:rFonts w:hint="eastAsia" w:eastAsia="宋体"/>
        </w:rPr>
        <w:t>LIU Y Q</w:t>
      </w:r>
      <w:r>
        <w:rPr>
          <w:rFonts w:eastAsia="宋体"/>
        </w:rPr>
        <w:t xml:space="preserve">, </w:t>
      </w:r>
      <w:r>
        <w:rPr>
          <w:rFonts w:hint="eastAsia" w:eastAsia="宋体"/>
        </w:rPr>
        <w:t>ZHANG J L</w:t>
      </w:r>
      <w:r>
        <w:rPr>
          <w:rFonts w:eastAsia="宋体"/>
        </w:rPr>
        <w:t xml:space="preserve">. </w:t>
      </w:r>
      <w:r>
        <w:rPr>
          <w:rFonts w:hint="eastAsia" w:eastAsia="宋体"/>
        </w:rPr>
        <w:t>Analysis for the changing trend of cervical cancer disease burden among Chinese women from 2004 to 2021</w:t>
      </w:r>
      <w:r>
        <w:rPr>
          <w:rFonts w:eastAsia="宋体"/>
        </w:rPr>
        <w:t xml:space="preserve"> [J]. </w:t>
      </w:r>
      <w:r>
        <w:rPr>
          <w:rFonts w:hint="eastAsia" w:eastAsia="宋体"/>
        </w:rPr>
        <w:t>Practical Oncology Journal</w:t>
      </w:r>
      <w:r>
        <w:rPr>
          <w:rFonts w:eastAsia="宋体"/>
        </w:rPr>
        <w:t>, 2025, 39(06): 507–514.</w:t>
      </w:r>
    </w:p>
    <w:p w14:paraId="3B84DEC7">
      <w:pPr>
        <w:pStyle w:val="18"/>
        <w:keepNext w:val="0"/>
        <w:keepLines w:val="0"/>
        <w:pageBreakBefore w:val="0"/>
        <w:widowControl w:val="0"/>
        <w:kinsoku/>
        <w:wordWrap/>
        <w:overflowPunct/>
        <w:topLinePunct w:val="0"/>
        <w:autoSpaceDE/>
        <w:autoSpaceDN/>
        <w:bidi w:val="0"/>
        <w:adjustRightInd/>
        <w:snapToGrid/>
        <w:ind w:left="600" w:leftChars="0" w:hanging="600" w:hangingChars="300"/>
        <w:textAlignment w:val="auto"/>
        <w:rPr>
          <w:rFonts w:ascii="Times New Roman" w:hAnsi="Times New Roman" w:cs="Times New Roman" w:eastAsiaTheme="minorEastAsia"/>
          <w:kern w:val="2"/>
          <w:sz w:val="20"/>
          <w:szCs w:val="24"/>
          <w:lang w:val="en-US" w:eastAsia="zh-CN" w:bidi="ar-SA"/>
        </w:rPr>
      </w:pPr>
      <w:bookmarkStart w:id="47" w:name="_ENREF_39"/>
      <w:r>
        <w:rPr>
          <w:rFonts w:ascii="Times New Roman" w:hAnsi="Times New Roman" w:cs="Times New Roman" w:eastAsiaTheme="minorEastAsia"/>
          <w:kern w:val="2"/>
          <w:sz w:val="20"/>
          <w:szCs w:val="24"/>
          <w:lang w:val="en-US" w:eastAsia="zh-CN" w:bidi="ar-SA"/>
        </w:rPr>
        <w:t>[39]</w:t>
      </w:r>
      <w:r>
        <w:rPr>
          <w:rFonts w:ascii="Times New Roman" w:hAnsi="Times New Roman" w:cs="Times New Roman" w:eastAsiaTheme="minorEastAsia"/>
          <w:kern w:val="2"/>
          <w:sz w:val="20"/>
          <w:szCs w:val="24"/>
          <w:lang w:val="en-US" w:eastAsia="zh-CN" w:bidi="ar-SA"/>
        </w:rPr>
        <w:tab/>
      </w:r>
      <w:r>
        <w:rPr>
          <w:rFonts w:ascii="Times New Roman" w:hAnsi="Times New Roman" w:cs="Times New Roman" w:eastAsiaTheme="minorEastAsia"/>
          <w:kern w:val="2"/>
          <w:sz w:val="20"/>
          <w:szCs w:val="24"/>
          <w:lang w:val="en-US" w:eastAsia="zh-CN" w:bidi="ar-SA"/>
        </w:rPr>
        <w:t xml:space="preserve">孟令昊, 胥秋艳, 李科, </w:t>
      </w:r>
      <w:r>
        <w:rPr>
          <w:rFonts w:hint="eastAsia" w:cs="Times New Roman"/>
          <w:kern w:val="2"/>
          <w:sz w:val="20"/>
          <w:szCs w:val="24"/>
          <w:lang w:val="en-US" w:eastAsia="zh-CN" w:bidi="ar-SA"/>
        </w:rPr>
        <w:t>等</w:t>
      </w:r>
      <w:r>
        <w:rPr>
          <w:rFonts w:ascii="Times New Roman" w:hAnsi="Times New Roman" w:cs="Times New Roman" w:eastAsiaTheme="minorEastAsia"/>
          <w:kern w:val="2"/>
          <w:sz w:val="20"/>
          <w:szCs w:val="24"/>
          <w:lang w:val="en-US" w:eastAsia="zh-CN" w:bidi="ar-SA"/>
        </w:rPr>
        <w:t>. 1990～2019年中国女性宫颈癌疾病负担变化的分析 [J]. 中国循证医学杂志, 2021, 21(06): 648–653.</w:t>
      </w:r>
      <w:bookmarkEnd w:id="47"/>
    </w:p>
    <w:p w14:paraId="60D62D62">
      <w:pPr>
        <w:pStyle w:val="18"/>
        <w:keepNext w:val="0"/>
        <w:keepLines w:val="0"/>
        <w:pageBreakBefore w:val="0"/>
        <w:widowControl w:val="0"/>
        <w:kinsoku/>
        <w:wordWrap/>
        <w:overflowPunct/>
        <w:topLinePunct w:val="0"/>
        <w:autoSpaceDE/>
        <w:autoSpaceDN/>
        <w:bidi w:val="0"/>
        <w:adjustRightInd/>
        <w:snapToGrid/>
        <w:ind w:left="598" w:leftChars="285" w:firstLine="0" w:firstLineChars="0"/>
        <w:textAlignment w:val="auto"/>
        <w:rPr>
          <w:rFonts w:eastAsia="宋体"/>
        </w:rPr>
      </w:pPr>
      <w:r>
        <w:rPr>
          <w:rFonts w:hint="eastAsia" w:eastAsia="宋体"/>
        </w:rPr>
        <w:t>MENG L H</w:t>
      </w:r>
      <w:r>
        <w:rPr>
          <w:rFonts w:eastAsia="宋体"/>
        </w:rPr>
        <w:t xml:space="preserve">, </w:t>
      </w:r>
      <w:r>
        <w:rPr>
          <w:rFonts w:hint="eastAsia" w:eastAsia="宋体"/>
        </w:rPr>
        <w:t>XU Q Y</w:t>
      </w:r>
      <w:r>
        <w:rPr>
          <w:rFonts w:eastAsia="宋体"/>
        </w:rPr>
        <w:t xml:space="preserve">, </w:t>
      </w:r>
      <w:r>
        <w:rPr>
          <w:rFonts w:hint="eastAsia" w:eastAsia="宋体"/>
        </w:rPr>
        <w:t>LI K</w:t>
      </w:r>
      <w:r>
        <w:rPr>
          <w:rFonts w:eastAsia="宋体"/>
        </w:rPr>
        <w:t xml:space="preserve">, et al. </w:t>
      </w:r>
      <w:r>
        <w:rPr>
          <w:rFonts w:hint="eastAsia" w:eastAsia="宋体"/>
        </w:rPr>
        <w:t>The burden of disease of Chinese females cervical cancer from 1990 to 2019</w:t>
      </w:r>
      <w:r>
        <w:rPr>
          <w:rFonts w:eastAsia="宋体"/>
        </w:rPr>
        <w:t xml:space="preserve"> [J]. </w:t>
      </w:r>
      <w:r>
        <w:rPr>
          <w:rFonts w:hint="eastAsia" w:eastAsia="宋体"/>
        </w:rPr>
        <w:t>Chinese Journal of Evidence-Based Medicine</w:t>
      </w:r>
      <w:r>
        <w:rPr>
          <w:rFonts w:eastAsia="宋体"/>
        </w:rPr>
        <w:t>, 2021, 21(06): 648–653.</w:t>
      </w:r>
    </w:p>
    <w:p w14:paraId="6EEB6DAA">
      <w:pPr>
        <w:rPr>
          <w:rFonts w:hint="eastAsia" w:ascii="Times New Roman" w:hAnsi="Times New Roman" w:cs="Times New Roman"/>
          <w:b w:val="0"/>
          <w:i w:val="0"/>
          <w:kern w:val="2"/>
          <w:sz w:val="20"/>
          <w:szCs w:val="24"/>
          <w:u w:val="none"/>
          <w:lang w:val="en-US" w:eastAsia="zh-CN" w:bidi="ar-SA"/>
        </w:rPr>
      </w:pPr>
    </w:p>
    <w:p w14:paraId="596D4380"/>
    <w:sectPr>
      <w:pgSz w:w="11906" w:h="16838"/>
      <w:pgMar w:top="1440" w:right="1803" w:bottom="1440" w:left="1803" w:header="851" w:footer="992" w:gutter="0"/>
      <w:pgBorders>
        <w:top w:val="none" w:sz="0" w:space="0"/>
        <w:left w:val="none" w:sz="0" w:space="0"/>
        <w:bottom w:val="none" w:sz="0" w:space="0"/>
        <w:right w:val="none" w:sz="0" w:space="0"/>
      </w:pgBorders>
      <w:cols w:space="0" w:num="1"/>
      <w:titlePg/>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ZLKHBM-18">
    <w:altName w:val="ESRI AMFM Electric"/>
    <w:panose1 w:val="00000000000000000000"/>
    <w:charset w:val="00"/>
    <w:family w:val="auto"/>
    <w:pitch w:val="default"/>
    <w:sig w:usb0="00000000" w:usb1="00000000" w:usb2="00000000" w:usb3="00000000" w:csb0="00000000" w:csb1="00000000"/>
  </w:font>
  <w:font w:name="ESRI AMFM Electric">
    <w:panose1 w:val="02000400000000000000"/>
    <w:charset w:val="00"/>
    <w:family w:val="auto"/>
    <w:pitch w:val="default"/>
    <w:sig w:usb0="00000003"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8C69B">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5AF21">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3926EEC"/>
    <w:rsid w:val="03926EEC"/>
    <w:rsid w:val="05E83FB0"/>
    <w:rsid w:val="288F2C81"/>
    <w:rsid w:val="307712DC"/>
    <w:rsid w:val="405720F1"/>
    <w:rsid w:val="41FB36A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32767"/>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8">
    <w:name w:val="Default Paragraph Font"/>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uiPriority w:val="99"/>
    <w:pPr>
      <w:jc w:val="left"/>
    </w:pPr>
  </w:style>
  <w:style w:type="paragraph" w:styleId="4">
    <w:name w:val="Plain Text"/>
    <w:basedOn w:val="1"/>
    <w:link w:val="25"/>
    <w:qFormat/>
    <w:uiPriority w:val="0"/>
    <w:rPr>
      <w:rFonts w:hAnsi="Courier New" w:cs="Courier New" w:asciiTheme="minorEastAsia"/>
    </w:rPr>
  </w:style>
  <w:style w:type="paragraph" w:styleId="5">
    <w:name w:val="footer"/>
    <w:basedOn w:val="1"/>
    <w:link w:val="27"/>
    <w:qFormat/>
    <w:uiPriority w:val="99"/>
    <w:pPr>
      <w:tabs>
        <w:tab w:val="center" w:pos="4153"/>
        <w:tab w:val="right" w:pos="8306"/>
      </w:tabs>
      <w:snapToGrid w:val="0"/>
      <w:jc w:val="left"/>
    </w:pPr>
    <w:rPr>
      <w:sz w:val="18"/>
      <w:szCs w:val="18"/>
    </w:rPr>
  </w:style>
  <w:style w:type="paragraph" w:styleId="6">
    <w:name w:val="header"/>
    <w:basedOn w:val="1"/>
    <w:link w:val="26"/>
    <w:qFormat/>
    <w:uiPriority w:val="0"/>
    <w:pPr>
      <w:tabs>
        <w:tab w:val="center" w:pos="4153"/>
        <w:tab w:val="right" w:pos="8306"/>
      </w:tabs>
      <w:snapToGrid w:val="0"/>
      <w:jc w:val="center"/>
    </w:pPr>
    <w:rPr>
      <w:sz w:val="18"/>
      <w:szCs w:val="18"/>
    </w:rPr>
  </w:style>
  <w:style w:type="character" w:styleId="9">
    <w:name w:val="Hyperlink"/>
    <w:qFormat/>
    <w:uiPriority w:val="0"/>
    <w:rPr>
      <w:rFonts w:ascii="Times New Roman" w:hAnsi="Times New Roman" w:cs="Times New Roman" w:eastAsiaTheme="minorEastAsia"/>
      <w:kern w:val="2"/>
      <w:sz w:val="28"/>
      <w:szCs w:val="28"/>
      <w:lang w:val="en-US" w:eastAsia="zh-CN" w:bidi="ar-SA"/>
    </w:rPr>
  </w:style>
  <w:style w:type="character" w:customStyle="1" w:styleId="10">
    <w:name w:val="font21"/>
    <w:basedOn w:val="8"/>
    <w:qFormat/>
    <w:uiPriority w:val="0"/>
    <w:rPr>
      <w:rFonts w:hint="eastAsia" w:ascii="宋体" w:hAnsi="宋体" w:eastAsia="宋体" w:cs="宋体"/>
      <w:color w:val="231F20"/>
      <w:sz w:val="18"/>
      <w:szCs w:val="18"/>
      <w:u w:val="none"/>
    </w:rPr>
  </w:style>
  <w:style w:type="character" w:customStyle="1" w:styleId="11">
    <w:name w:val="font11"/>
    <w:basedOn w:val="8"/>
    <w:qFormat/>
    <w:uiPriority w:val="0"/>
    <w:rPr>
      <w:rFonts w:hint="default" w:ascii="ZLKHBM-18" w:hAnsi="ZLKHBM-18" w:eastAsia="ZLKHBM-18" w:cs="ZLKHBM-18"/>
      <w:color w:val="231F20"/>
      <w:sz w:val="18"/>
      <w:szCs w:val="18"/>
      <w:u w:val="none"/>
    </w:rPr>
  </w:style>
  <w:style w:type="character" w:customStyle="1" w:styleId="12">
    <w:name w:val="font31"/>
    <w:basedOn w:val="8"/>
    <w:qFormat/>
    <w:uiPriority w:val="0"/>
    <w:rPr>
      <w:rFonts w:hint="eastAsia" w:ascii="宋体" w:hAnsi="宋体" w:eastAsia="宋体" w:cs="宋体"/>
      <w:color w:val="231F20"/>
      <w:sz w:val="20"/>
      <w:szCs w:val="20"/>
      <w:u w:val="none"/>
    </w:rPr>
  </w:style>
  <w:style w:type="character" w:customStyle="1" w:styleId="13">
    <w:name w:val="font41"/>
    <w:basedOn w:val="8"/>
    <w:qFormat/>
    <w:uiPriority w:val="0"/>
    <w:rPr>
      <w:rFonts w:hint="default" w:ascii="Times New Roman" w:hAnsi="Times New Roman" w:cs="Times New Roman"/>
      <w:color w:val="231F20"/>
      <w:sz w:val="20"/>
      <w:szCs w:val="20"/>
      <w:u w:val="none"/>
      <w:vertAlign w:val="superscript"/>
    </w:rPr>
  </w:style>
  <w:style w:type="character" w:customStyle="1" w:styleId="14">
    <w:name w:val="font51"/>
    <w:basedOn w:val="8"/>
    <w:qFormat/>
    <w:uiPriority w:val="0"/>
    <w:rPr>
      <w:rFonts w:hint="eastAsia" w:ascii="宋体" w:hAnsi="宋体" w:eastAsia="宋体" w:cs="宋体"/>
      <w:color w:val="231F20"/>
      <w:sz w:val="20"/>
      <w:szCs w:val="20"/>
      <w:u w:val="none"/>
    </w:rPr>
  </w:style>
  <w:style w:type="character" w:customStyle="1" w:styleId="15">
    <w:name w:val="font61"/>
    <w:basedOn w:val="8"/>
    <w:qFormat/>
    <w:uiPriority w:val="0"/>
    <w:rPr>
      <w:rFonts w:hint="default" w:ascii="Times New Roman" w:hAnsi="Times New Roman" w:cs="Times New Roman"/>
      <w:color w:val="231F20"/>
      <w:sz w:val="20"/>
      <w:szCs w:val="20"/>
      <w:u w:val="none"/>
      <w:vertAlign w:val="superscript"/>
    </w:rPr>
  </w:style>
  <w:style w:type="paragraph" w:customStyle="1" w:styleId="16">
    <w:name w:val="EndNote Bibliography Title"/>
    <w:basedOn w:val="1"/>
    <w:link w:val="17"/>
    <w:qFormat/>
    <w:uiPriority w:val="0"/>
    <w:pPr>
      <w:jc w:val="center"/>
    </w:pPr>
    <w:rPr>
      <w:rFonts w:ascii="Times New Roman" w:hAnsi="Times New Roman" w:cs="Times New Roman"/>
      <w:sz w:val="20"/>
    </w:rPr>
  </w:style>
  <w:style w:type="character" w:customStyle="1" w:styleId="17">
    <w:name w:val="EndNote Bibliography Title 字符"/>
    <w:basedOn w:val="8"/>
    <w:link w:val="16"/>
    <w:qFormat/>
    <w:uiPriority w:val="0"/>
    <w:rPr>
      <w:rFonts w:ascii="Times New Roman" w:hAnsi="Times New Roman" w:cs="Times New Roman"/>
      <w:sz w:val="20"/>
    </w:rPr>
  </w:style>
  <w:style w:type="paragraph" w:customStyle="1" w:styleId="18">
    <w:name w:val="EndNote Bibliography"/>
    <w:basedOn w:val="1"/>
    <w:link w:val="19"/>
    <w:qFormat/>
    <w:uiPriority w:val="0"/>
    <w:rPr>
      <w:rFonts w:ascii="Times New Roman" w:hAnsi="Times New Roman" w:cs="Times New Roman"/>
      <w:sz w:val="20"/>
    </w:rPr>
  </w:style>
  <w:style w:type="character" w:customStyle="1" w:styleId="19">
    <w:name w:val="EndNote Bibliography 字符"/>
    <w:basedOn w:val="8"/>
    <w:link w:val="18"/>
    <w:qFormat/>
    <w:uiPriority w:val="0"/>
    <w:rPr>
      <w:rFonts w:ascii="Times New Roman" w:hAnsi="Times New Roman" w:cs="Times New Roman"/>
      <w:sz w:val="20"/>
    </w:rPr>
  </w:style>
  <w:style w:type="character" w:styleId="20">
    <w:name w:val="Placeholder Text"/>
    <w:basedOn w:val="8"/>
    <w:unhideWhenUsed/>
    <w:qFormat/>
    <w:uiPriority w:val="99"/>
    <w:rPr>
      <w:color w:val="666666"/>
    </w:rPr>
  </w:style>
  <w:style w:type="character" w:customStyle="1" w:styleId="21">
    <w:name w:val="未处理的提及1"/>
    <w:basedOn w:val="8"/>
    <w:semiHidden/>
    <w:unhideWhenUsed/>
    <w:qFormat/>
    <w:uiPriority w:val="99"/>
    <w:rPr>
      <w:color w:val="605E5C"/>
      <w:shd w:val="clear" w:color="auto" w:fill="E1DFDD"/>
    </w:rPr>
  </w:style>
  <w:style w:type="paragraph" w:customStyle="1" w:styleId="22">
    <w:name w:val="EndNote Category Heading"/>
    <w:basedOn w:val="1"/>
    <w:link w:val="23"/>
    <w:qFormat/>
    <w:uiPriority w:val="0"/>
    <w:pPr>
      <w:spacing w:before="120" w:after="120"/>
      <w:jc w:val="left"/>
    </w:pPr>
    <w:rPr>
      <w:b/>
    </w:rPr>
  </w:style>
  <w:style w:type="character" w:customStyle="1" w:styleId="23">
    <w:name w:val="EndNote Category Heading 字符"/>
    <w:basedOn w:val="8"/>
    <w:link w:val="22"/>
    <w:qFormat/>
    <w:uiPriority w:val="0"/>
    <w:rPr>
      <w:b/>
    </w:rPr>
  </w:style>
  <w:style w:type="character" w:customStyle="1" w:styleId="24">
    <w:name w:val="Unresolved Mention"/>
    <w:basedOn w:val="8"/>
    <w:semiHidden/>
    <w:unhideWhenUsed/>
    <w:qFormat/>
    <w:uiPriority w:val="99"/>
    <w:rPr>
      <w:color w:val="605E5C"/>
      <w:shd w:val="clear" w:color="auto" w:fill="E1DFDD"/>
    </w:rPr>
  </w:style>
  <w:style w:type="character" w:customStyle="1" w:styleId="25">
    <w:name w:val="纯文本 字符"/>
    <w:basedOn w:val="8"/>
    <w:link w:val="4"/>
    <w:qFormat/>
    <w:uiPriority w:val="0"/>
    <w:rPr>
      <w:rFonts w:hAnsi="Courier New" w:cs="Courier New" w:asciiTheme="minorEastAsia"/>
    </w:rPr>
  </w:style>
  <w:style w:type="character" w:customStyle="1" w:styleId="26">
    <w:name w:val="页眉 字符"/>
    <w:basedOn w:val="8"/>
    <w:link w:val="6"/>
    <w:qFormat/>
    <w:uiPriority w:val="0"/>
    <w:rPr>
      <w:sz w:val="18"/>
      <w:szCs w:val="18"/>
    </w:rPr>
  </w:style>
  <w:style w:type="character" w:customStyle="1" w:styleId="27">
    <w:name w:val="页脚 字符"/>
    <w:basedOn w:val="8"/>
    <w:link w:val="5"/>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4052</Words>
  <Characters>12066</Characters>
  <Lines>0</Lines>
  <Paragraphs>0</Paragraphs>
  <TotalTime>0</TotalTime>
  <ScaleCrop>false</ScaleCrop>
  <LinksUpToDate>false</LinksUpToDate>
  <CharactersWithSpaces>13030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2026-06-30T01:40:00Z</dcterms:created>
  <dc:creator>邱晸熙</dc:creator>
  <cp:lastModifiedBy>邱晸熙</cp:lastModifiedBy>
  <dcterms:modified xsi:type="dcterms:W3CDTF">2026-06-30T02:43:59Z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FCECBFA9949F4703B4CAB4AFE6140683_11</vt:lpwstr>
  </property>
  <property fmtid="{D5CDD505-2E9C-101B-9397-08002B2CF9AE}" pid="4" name="KSOTemplateDocerSaveRecord">
    <vt:lpwstr>eyJoZGlkIjoiNzQ3NjMxY2FlYWY5MTU3YWQxYzNmYjk4YmQ3ZjE3NDAiLCJ1c2VySWQiOiIxNTU0Nzk5OTExIn0=</vt:lpwstr>
  </property>
</Properties>
</file>