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EE4B99">
      <w:pPr>
        <w:pStyle w:val="27"/>
        <w:spacing w:before="0" w:after="200" w:line="480" w:lineRule="exact"/>
        <w:jc w:val="center"/>
        <w:rPr>
          <w:rFonts w:ascii="Times New Roman" w:hAnsi="Times New Roman" w:eastAsia="黑体" w:cs="Times New Roman"/>
          <w:b/>
          <w:color w:val="auto"/>
        </w:rPr>
      </w:pPr>
      <w:r>
        <w:rPr>
          <w:rFonts w:hint="eastAsia" w:ascii="Times New Roman" w:hAnsi="Times New Roman" w:eastAsia="宋体" w:cs="Times New Roman"/>
          <w:b/>
          <w:color w:val="auto"/>
        </w:rPr>
        <w:t>肿瘤力学微环境在乳腺癌侵袭转移中的作用及诊疗意义研究进展</w:t>
      </w:r>
    </w:p>
    <w:p w14:paraId="2DD6D964">
      <w:pPr>
        <w:pStyle w:val="27"/>
        <w:spacing w:before="0" w:after="0"/>
        <w:jc w:val="center"/>
        <w:rPr>
          <w:rFonts w:eastAsia="宋体"/>
          <w:color w:val="auto"/>
        </w:rPr>
      </w:pPr>
      <w:r>
        <w:rPr>
          <w:rFonts w:ascii="Times New Roman" w:hAnsi="Times New Roman" w:eastAsia="宋体" w:cs="Times New Roman"/>
          <w:color w:val="auto"/>
        </w:rPr>
        <w:t>高欢</w:t>
      </w:r>
      <w:r>
        <w:rPr>
          <w:rFonts w:ascii="Times New Roman" w:hAnsi="Times New Roman" w:eastAsia="宋体" w:cs="Times New Roman"/>
          <w:color w:val="auto"/>
          <w:vertAlign w:val="superscript"/>
        </w:rPr>
        <w:t>1,2</w:t>
      </w:r>
      <w:r>
        <w:rPr>
          <w:rFonts w:ascii="Times New Roman" w:hAnsi="Times New Roman" w:eastAsia="宋体" w:cs="Times New Roman"/>
          <w:color w:val="auto"/>
        </w:rPr>
        <w:t>，张远起</w:t>
      </w:r>
      <w:r>
        <w:rPr>
          <w:rFonts w:hint="eastAsia" w:ascii="Times New Roman" w:hAnsi="Times New Roman" w:eastAsia="宋体" w:cs="Times New Roman"/>
          <w:color w:val="auto"/>
          <w:vertAlign w:val="superscript"/>
        </w:rPr>
        <w:t>1,2</w:t>
      </w:r>
    </w:p>
    <w:p w14:paraId="265E9CA3">
      <w:pPr>
        <w:pStyle w:val="27"/>
        <w:spacing w:before="0" w:after="0"/>
        <w:jc w:val="both"/>
        <w:rPr>
          <w:color w:val="auto"/>
        </w:rPr>
      </w:pPr>
      <w:r>
        <w:rPr>
          <w:rFonts w:ascii="Times New Roman" w:hAnsi="Times New Roman" w:eastAsia="宋体" w:cs="Times New Roman"/>
          <w:color w:val="auto"/>
        </w:rPr>
        <w:t>（1. 广东医科大学第一临床医学院，广东湛江 524000；2.  广东医科大学附属医院乳腺外科，广东湛江 524000）</w:t>
      </w:r>
    </w:p>
    <w:p w14:paraId="16ABD263">
      <w:pPr>
        <w:pStyle w:val="3"/>
        <w:spacing w:before="0" w:after="0" w:line="360" w:lineRule="auto"/>
        <w:ind w:firstLine="420"/>
        <w:jc w:val="both"/>
        <w:rPr>
          <w:rFonts w:ascii="Times New Roman" w:hAnsi="Times New Roman" w:cs="Times New Roman"/>
          <w:b/>
          <w:bCs/>
          <w:color w:val="auto"/>
        </w:rPr>
      </w:pPr>
    </w:p>
    <w:p w14:paraId="58B2EA25">
      <w:pPr>
        <w:pStyle w:val="3"/>
        <w:spacing w:before="0" w:after="0" w:line="360" w:lineRule="auto"/>
        <w:ind w:firstLine="420"/>
        <w:jc w:val="both"/>
        <w:rPr>
          <w:rFonts w:hint="eastAsia" w:ascii="宋体" w:hAnsi="宋体" w:eastAsia="宋体" w:cs="Times New Roman"/>
          <w:color w:val="auto"/>
        </w:rPr>
      </w:pPr>
      <w:r>
        <w:rPr>
          <w:rFonts w:ascii="Times New Roman" w:hAnsi="Times New Roman" w:eastAsia="宋体" w:cs="Times New Roman"/>
          <w:b/>
          <w:bCs/>
          <w:color w:val="auto"/>
        </w:rPr>
        <w:t>摘要</w:t>
      </w:r>
      <w:r>
        <w:rPr>
          <w:rFonts w:hint="eastAsia" w:ascii="Times New Roman" w:hAnsi="Times New Roman" w:cs="Times New Roman"/>
          <w:b/>
          <w:bCs/>
          <w:color w:val="auto"/>
        </w:rPr>
        <w:t>：</w:t>
      </w:r>
      <w:r>
        <w:rPr>
          <w:rFonts w:ascii="Times New Roman" w:hAnsi="Times New Roman" w:eastAsia="宋体" w:cs="Times New Roman"/>
          <w:color w:val="auto"/>
        </w:rPr>
        <w:t>肿瘤力学微环境是乳腺癌微环境的重要组成部分，其形成与细胞外基质（extracellular matrix，ECM）重塑、基质硬化及细胞-基质力传导异常密切相关。随着肿瘤进展，异常受力状态可改变乳腺癌细胞的黏附方式和迁移能力，并影响其局部侵袭、循环存活和远处定植。现有研究提示，ECM异常重塑可通过整合素/黏附斑激酶（focal adhesion kinase，FAK）轴、Yes相关蛋白（Yes-associated protein，</w:t>
      </w:r>
      <w:r>
        <w:rPr>
          <w:rFonts w:ascii="Times New Roman" w:hAnsi="Times New Roman" w:cs="Times New Roman"/>
          <w:i/>
          <w:color w:val="auto"/>
        </w:rPr>
        <w:t>YAP</w:t>
      </w:r>
      <w:r>
        <w:rPr>
          <w:rFonts w:ascii="Times New Roman" w:hAnsi="Times New Roman" w:cs="Times New Roman"/>
          <w:color w:val="auto"/>
        </w:rPr>
        <w:t>）</w:t>
      </w:r>
      <w:r>
        <w:rPr>
          <w:rFonts w:hint="eastAsia" w:ascii="Times New Roman" w:hAnsi="Times New Roman" w:cs="Times New Roman"/>
          <w:color w:val="auto"/>
        </w:rPr>
        <w:t>、</w:t>
      </w:r>
      <w:r>
        <w:rPr>
          <w:rFonts w:ascii="Times New Roman" w:hAnsi="Times New Roman" w:eastAsia="宋体" w:cs="Times New Roman"/>
          <w:color w:val="auto"/>
        </w:rPr>
        <w:t>含PDZ结合基序的转录共激活因子（transcriptional coactivator with PDZ-binding motif，</w:t>
      </w:r>
      <w:r>
        <w:rPr>
          <w:rFonts w:ascii="Times New Roman" w:hAnsi="Times New Roman" w:cs="Times New Roman"/>
          <w:i/>
          <w:color w:val="auto"/>
        </w:rPr>
        <w:t>TAZ</w:t>
      </w:r>
      <w:r>
        <w:rPr>
          <w:rFonts w:ascii="Times New Roman" w:hAnsi="Times New Roman" w:eastAsia="宋体" w:cs="Times New Roman"/>
          <w:color w:val="auto"/>
        </w:rPr>
        <w:t>）等机械转导通路，将外部物理刺激转化为促侵袭和耐受性表型。基于影像硬度、胶原结构及ECM相关分子</w:t>
      </w:r>
      <w:r>
        <w:rPr>
          <w:rFonts w:hint="eastAsia" w:ascii="Times New Roman" w:hAnsi="Times New Roman" w:eastAsia="宋体" w:cs="Times New Roman"/>
          <w:color w:val="auto"/>
        </w:rPr>
        <w:t>进行</w:t>
      </w:r>
      <w:r>
        <w:rPr>
          <w:rFonts w:ascii="Times New Roman" w:hAnsi="Times New Roman" w:eastAsia="宋体" w:cs="Times New Roman"/>
          <w:color w:val="auto"/>
        </w:rPr>
        <w:t>综合评价，有望为乳腺癌转移风险分层和疗效判断提供补充信息。针对ECM重塑和机械转导过程的干预研究，也为联合治疗策略提供了新的切入点。</w:t>
      </w:r>
      <w:r>
        <w:rPr>
          <w:rFonts w:hint="eastAsia" w:ascii="Times New Roman" w:hAnsi="Times New Roman" w:eastAsia="宋体" w:cs="Times New Roman"/>
          <w:color w:val="auto"/>
        </w:rPr>
        <w:t>本文</w:t>
      </w:r>
      <w:r>
        <w:rPr>
          <w:rFonts w:ascii="Times New Roman" w:hAnsi="Times New Roman" w:eastAsia="宋体" w:cs="Times New Roman"/>
          <w:color w:val="auto"/>
        </w:rPr>
        <w:t>围绕乳腺癌力学微环境的基本特征、侵袭转移机制及诊疗意义进行综述，以期为乳腺癌转移风险评估和个体化治疗策略优化提供参考。</w:t>
      </w:r>
    </w:p>
    <w:p w14:paraId="62CD6089">
      <w:pPr>
        <w:pStyle w:val="3"/>
        <w:spacing w:before="0" w:after="0" w:line="360" w:lineRule="auto"/>
        <w:ind w:firstLine="420"/>
        <w:jc w:val="both"/>
        <w:rPr>
          <w:rFonts w:hint="eastAsia" w:ascii="宋体" w:hAnsi="宋体" w:eastAsia="宋体" w:cs="Times New Roman"/>
          <w:color w:val="auto"/>
        </w:rPr>
      </w:pPr>
      <w:r>
        <w:rPr>
          <w:rFonts w:hint="eastAsia" w:ascii="Times New Roman" w:hAnsi="Times New Roman" w:eastAsia="宋体" w:cs="Times New Roman"/>
          <w:b/>
          <w:bCs/>
          <w:color w:val="auto"/>
        </w:rPr>
        <w:t>关键词</w:t>
      </w:r>
      <w:r>
        <w:rPr>
          <w:rFonts w:hint="eastAsia" w:ascii="Times New Roman" w:hAnsi="Times New Roman" w:eastAsia="宋体" w:cs="Times New Roman"/>
          <w:color w:val="auto"/>
        </w:rPr>
        <w:t>：乳腺癌；肿瘤力学微环境；侵袭转移；细胞外基质；机械转导</w:t>
      </w:r>
    </w:p>
    <w:p w14:paraId="7BFD5277">
      <w:pPr>
        <w:pStyle w:val="3"/>
        <w:spacing w:before="0" w:after="0" w:line="360" w:lineRule="auto"/>
        <w:jc w:val="both"/>
        <w:rPr>
          <w:color w:val="auto"/>
        </w:rPr>
      </w:pPr>
      <w:r>
        <w:rPr>
          <w:rFonts w:ascii="Times New Roman" w:hAnsi="Times New Roman" w:eastAsia="宋体" w:cs="Times New Roman"/>
          <w:b/>
          <w:color w:val="auto"/>
        </w:rPr>
        <w:t>【基金项目】</w:t>
      </w:r>
      <w:r>
        <w:rPr>
          <w:rFonts w:hint="eastAsia" w:ascii="Times New Roman" w:hAnsi="Times New Roman" w:eastAsia="宋体" w:cs="Times New Roman"/>
          <w:bCs/>
          <w:color w:val="auto"/>
        </w:rPr>
        <w:t>新疆生产建设</w:t>
      </w:r>
      <w:r>
        <w:rPr>
          <w:rFonts w:ascii="Times New Roman" w:hAnsi="Times New Roman" w:eastAsia="宋体" w:cs="Times New Roman"/>
          <w:color w:val="auto"/>
        </w:rPr>
        <w:t>兵团科技计划项目（2025DA068）</w:t>
      </w:r>
    </w:p>
    <w:p w14:paraId="4051923F">
      <w:pPr>
        <w:pStyle w:val="3"/>
        <w:spacing w:before="0" w:after="0" w:line="360" w:lineRule="auto"/>
        <w:jc w:val="both"/>
        <w:rPr>
          <w:color w:val="auto"/>
        </w:rPr>
      </w:pPr>
      <w:r>
        <w:rPr>
          <w:rFonts w:ascii="Times New Roman" w:hAnsi="Times New Roman" w:eastAsia="宋体" w:cs="Times New Roman"/>
          <w:b/>
          <w:color w:val="auto"/>
        </w:rPr>
        <w:t>【作者简介】</w:t>
      </w:r>
      <w:r>
        <w:rPr>
          <w:rFonts w:ascii="Times New Roman" w:hAnsi="Times New Roman" w:eastAsia="宋体" w:cs="Times New Roman"/>
          <w:color w:val="auto"/>
        </w:rPr>
        <w:t>高欢（Huan Gao），在读硕士研究生；单位：广东医科大学第一临床医学院；手机：13828638770；E-mail：gaohuan@gdmu.edu.cn；单位电话：2369323。</w:t>
      </w:r>
    </w:p>
    <w:p w14:paraId="14644DD6">
      <w:pPr>
        <w:pStyle w:val="3"/>
        <w:spacing w:before="0" w:after="0" w:line="360" w:lineRule="auto"/>
        <w:jc w:val="both"/>
        <w:rPr>
          <w:color w:val="auto"/>
        </w:rPr>
      </w:pPr>
      <w:r>
        <w:rPr>
          <w:rFonts w:ascii="Times New Roman" w:hAnsi="Times New Roman" w:eastAsia="宋体" w:cs="Times New Roman"/>
          <w:b/>
          <w:color w:val="auto"/>
        </w:rPr>
        <w:t>【通信作者】</w:t>
      </w:r>
      <w:r>
        <w:rPr>
          <w:rFonts w:ascii="Times New Roman" w:hAnsi="Times New Roman" w:eastAsia="宋体" w:cs="Times New Roman"/>
          <w:color w:val="auto"/>
        </w:rPr>
        <w:t>张远起（Yuanqi Zhang），主任医师，博士，研究生导师；工作单位：广东医科大学附属医院乳腺外科；手机：13828280375；E-mail：zhangyuanqi@gdmu.edu.cn；单位电话：2369323。</w:t>
      </w:r>
    </w:p>
    <w:p w14:paraId="670AC123">
      <w:pPr>
        <w:pStyle w:val="3"/>
        <w:spacing w:before="120" w:after="160" w:line="440" w:lineRule="exact"/>
        <w:jc w:val="center"/>
        <w:rPr>
          <w:rFonts w:ascii="Times New Roman" w:hAnsi="Times New Roman" w:eastAsia="Times New Roman" w:cs="Times New Roman"/>
          <w:b/>
          <w:color w:val="auto"/>
        </w:rPr>
      </w:pPr>
      <w:r>
        <w:rPr>
          <w:rFonts w:ascii="Times New Roman" w:hAnsi="Times New Roman" w:eastAsia="Times New Roman" w:cs="Times New Roman"/>
          <w:b/>
          <w:color w:val="auto"/>
        </w:rPr>
        <w:t>Research Progress on the Role of the Tumor Mechanical Microenvironment in Breast Cancer Invasion and Metastasis and Its Diagnostic and Therapeutic Significance</w:t>
      </w:r>
    </w:p>
    <w:p w14:paraId="22A056F9">
      <w:pPr>
        <w:pStyle w:val="3"/>
        <w:spacing w:before="0" w:after="0"/>
        <w:jc w:val="center"/>
        <w:rPr>
          <w:rFonts w:eastAsia="宋体"/>
          <w:color w:val="auto"/>
        </w:rPr>
      </w:pPr>
      <w:r>
        <w:rPr>
          <w:rFonts w:ascii="Times New Roman" w:hAnsi="Times New Roman" w:eastAsia="宋体" w:cs="Times New Roman"/>
          <w:color w:val="auto"/>
        </w:rPr>
        <w:t>GAO Huan</w:t>
      </w:r>
      <w:r>
        <w:rPr>
          <w:rFonts w:ascii="Times New Roman" w:hAnsi="Times New Roman" w:eastAsia="宋体" w:cs="Times New Roman"/>
          <w:color w:val="auto"/>
          <w:vertAlign w:val="superscript"/>
        </w:rPr>
        <w:t>1,2</w:t>
      </w:r>
      <w:r>
        <w:rPr>
          <w:rFonts w:ascii="Times New Roman" w:hAnsi="Times New Roman" w:eastAsia="宋体" w:cs="Times New Roman"/>
          <w:color w:val="auto"/>
        </w:rPr>
        <w:t>, ZHANG Yuanqi</w:t>
      </w:r>
      <w:r>
        <w:rPr>
          <w:rFonts w:hint="eastAsia" w:ascii="Times New Roman" w:hAnsi="Times New Roman" w:eastAsia="宋体" w:cs="Times New Roman"/>
          <w:color w:val="auto"/>
          <w:vertAlign w:val="superscript"/>
        </w:rPr>
        <w:t>1,2</w:t>
      </w:r>
    </w:p>
    <w:p w14:paraId="7C356093">
      <w:pPr>
        <w:pStyle w:val="3"/>
        <w:numPr>
          <w:ilvl w:val="0"/>
          <w:numId w:val="0"/>
        </w:numPr>
        <w:spacing w:before="0" w:after="0"/>
        <w:ind w:leftChars="0"/>
        <w:jc w:val="both"/>
        <w:rPr>
          <w:color w:val="auto"/>
        </w:rPr>
      </w:pPr>
      <w:r>
        <w:rPr>
          <w:rFonts w:ascii="Times New Roman" w:hAnsi="Times New Roman" w:eastAsia="宋体" w:cs="Times New Roman"/>
          <w:color w:val="auto"/>
        </w:rPr>
        <w:t>The First Clinical Medical School of Guangdong Medical University, Zhanjiang 524000, Guangdong, China; 2. Department of Breast Surgery, Affiliated Hospital of Guangdong Medical University, Zhanjiang 524000, Guangdong, China</w:t>
      </w:r>
      <w:r>
        <w:rPr>
          <w:rFonts w:hint="eastAsia" w:ascii="Times New Roman" w:hAnsi="Times New Roman" w:eastAsia="宋体" w:cs="Times New Roman"/>
          <w:color w:val="auto"/>
        </w:rPr>
        <w:t>)</w:t>
      </w:r>
    </w:p>
    <w:p w14:paraId="26C6EA9B">
      <w:pPr>
        <w:pStyle w:val="3"/>
        <w:spacing w:before="0" w:after="0" w:line="360" w:lineRule="auto"/>
        <w:rPr>
          <w:rFonts w:ascii="Times New Roman" w:hAnsi="Times New Roman" w:eastAsia="黑体" w:cs="Times New Roman"/>
          <w:b/>
          <w:color w:val="auto"/>
        </w:rPr>
      </w:pPr>
    </w:p>
    <w:p w14:paraId="3822F1E2">
      <w:pPr>
        <w:pStyle w:val="3"/>
        <w:spacing w:before="0" w:after="0" w:line="360" w:lineRule="auto"/>
        <w:jc w:val="both"/>
        <w:rPr>
          <w:color w:val="auto"/>
        </w:rPr>
      </w:pPr>
      <w:r>
        <w:rPr>
          <w:rFonts w:ascii="Times New Roman" w:hAnsi="Times New Roman" w:eastAsia="黑体" w:cs="Times New Roman"/>
          <w:b/>
          <w:color w:val="auto"/>
        </w:rPr>
        <w:t>Abstract</w:t>
      </w:r>
      <w:r>
        <w:rPr>
          <w:rFonts w:hint="eastAsia"/>
          <w:color w:val="auto"/>
        </w:rPr>
        <w:t>：</w:t>
      </w:r>
      <w:r>
        <w:rPr>
          <w:rFonts w:ascii="Times New Roman" w:hAnsi="Times New Roman" w:cs="Times New Roman"/>
          <w:color w:val="auto"/>
        </w:rPr>
        <w:t>The tumor mechanical microenvironment is an important component of the breast cancer microenvironment, and its formation is closely associated with extracellular matrix (ECM) remodeling, matrix stiffening, and abnormal cell-matrix mechano</w:t>
      </w:r>
      <w:r>
        <w:rPr>
          <w:rFonts w:hint="eastAsia" w:ascii="Times New Roman" w:hAnsi="Times New Roman" w:cs="Times New Roman"/>
          <w:color w:val="auto"/>
        </w:rPr>
        <w:t xml:space="preserve"> </w:t>
      </w:r>
      <w:r>
        <w:rPr>
          <w:rFonts w:ascii="Times New Roman" w:hAnsi="Times New Roman" w:cs="Times New Roman"/>
          <w:color w:val="auto"/>
        </w:rPr>
        <w:t>transduction. As tumors progress, abnormal mechanical states may alter the adhesion pattern and migratory capacity of breast cancer cells and affect local invasion, survival in circulation, and distant colonization. Current evidence suggests that abnormal ECM remodeling may convert external physical stimuli into pro-invasive and tolerant phenotypes through mechano</w:t>
      </w:r>
      <w:r>
        <w:rPr>
          <w:rFonts w:hint="eastAsia" w:ascii="Times New Roman" w:hAnsi="Times New Roman" w:cs="Times New Roman"/>
          <w:color w:val="auto"/>
        </w:rPr>
        <w:t xml:space="preserve"> </w:t>
      </w:r>
      <w:r>
        <w:rPr>
          <w:rFonts w:ascii="Times New Roman" w:hAnsi="Times New Roman" w:cs="Times New Roman"/>
          <w:color w:val="auto"/>
        </w:rPr>
        <w:t>transduction pathways such as the integrin/focal adhesion kinase (FAK) axis and Yes-associated protein (</w:t>
      </w:r>
      <w:r>
        <w:rPr>
          <w:rFonts w:ascii="Times New Roman" w:hAnsi="Times New Roman" w:cs="Times New Roman"/>
          <w:i/>
          <w:color w:val="auto"/>
        </w:rPr>
        <w:t>YAP</w:t>
      </w:r>
      <w:r>
        <w:rPr>
          <w:rFonts w:ascii="Times New Roman" w:hAnsi="Times New Roman" w:cs="Times New Roman"/>
          <w:color w:val="auto"/>
        </w:rPr>
        <w:t>)/transcriptional coactivator with PDZ-binding motif (</w:t>
      </w:r>
      <w:r>
        <w:rPr>
          <w:rFonts w:ascii="Times New Roman" w:hAnsi="Times New Roman" w:cs="Times New Roman"/>
          <w:i/>
          <w:color w:val="auto"/>
        </w:rPr>
        <w:t>TAZ</w:t>
      </w:r>
      <w:r>
        <w:rPr>
          <w:rFonts w:ascii="Times New Roman" w:hAnsi="Times New Roman" w:cs="Times New Roman"/>
          <w:color w:val="auto"/>
        </w:rPr>
        <w:t>) signaling. Comprehensive evaluation based on imaging-derived stiffness, collagen structure, and ECM-related molecules may provide complementary information for metastatic risk stratification and therapeutic response assessment in breast cancer. Intervention studies targeting ECM remodeling and mechano</w:t>
      </w:r>
      <w:r>
        <w:rPr>
          <w:rFonts w:hint="eastAsia" w:ascii="Times New Roman" w:hAnsi="Times New Roman" w:cs="Times New Roman"/>
          <w:color w:val="auto"/>
        </w:rPr>
        <w:t xml:space="preserve"> </w:t>
      </w:r>
      <w:r>
        <w:rPr>
          <w:rFonts w:ascii="Times New Roman" w:hAnsi="Times New Roman" w:cs="Times New Roman"/>
          <w:color w:val="auto"/>
        </w:rPr>
        <w:t>transduction also provide new entry points for combined treatment strategies. This review summarizes the basic characteristics, invasion- and metastasis-related mechanisms, and diagnostic and therapeutic significance of the mechanical microenvironment in breast cancer, with the aim of providing a reference for metastatic risk assessment and optimization of individualized treatment strategies.</w:t>
      </w:r>
    </w:p>
    <w:p w14:paraId="2FA64012">
      <w:pPr>
        <w:pStyle w:val="3"/>
        <w:spacing w:before="0" w:after="0" w:line="360" w:lineRule="auto"/>
        <w:jc w:val="both"/>
        <w:rPr>
          <w:rFonts w:ascii="Times New Roman" w:hAnsi="Times New Roman" w:eastAsia="黑体" w:cs="Times New Roman"/>
          <w:b/>
          <w:color w:val="auto"/>
        </w:rPr>
      </w:pPr>
    </w:p>
    <w:p w14:paraId="17F4CBA2">
      <w:pPr>
        <w:pStyle w:val="3"/>
        <w:spacing w:before="0" w:after="0" w:line="360" w:lineRule="auto"/>
        <w:jc w:val="both"/>
        <w:rPr>
          <w:rFonts w:ascii="Times New Roman" w:hAnsi="Times New Roman" w:cs="Times New Roman"/>
          <w:color w:val="auto"/>
        </w:rPr>
      </w:pPr>
      <w:r>
        <w:rPr>
          <w:rFonts w:ascii="Times New Roman" w:hAnsi="Times New Roman" w:eastAsia="黑体" w:cs="Times New Roman"/>
          <w:b/>
          <w:color w:val="auto"/>
        </w:rPr>
        <w:t>Key words</w:t>
      </w:r>
      <w:r>
        <w:rPr>
          <w:rFonts w:hint="eastAsia" w:ascii="Times New Roman" w:hAnsi="Times New Roman" w:eastAsia="黑体" w:cs="Times New Roman"/>
          <w:b/>
          <w:color w:val="auto"/>
        </w:rPr>
        <w:t>：</w:t>
      </w:r>
      <w:r>
        <w:rPr>
          <w:rFonts w:ascii="Times New Roman" w:hAnsi="Times New Roman" w:cs="Times New Roman"/>
          <w:color w:val="auto"/>
        </w:rPr>
        <w:t>breast cancer; tumor mechanical microenvironment; invasion and metastasis; extracellular matrix; mechano</w:t>
      </w:r>
      <w:r>
        <w:rPr>
          <w:rFonts w:hint="eastAsia" w:ascii="Times New Roman" w:hAnsi="Times New Roman" w:cs="Times New Roman"/>
          <w:color w:val="auto"/>
        </w:rPr>
        <w:t xml:space="preserve"> </w:t>
      </w:r>
      <w:r>
        <w:rPr>
          <w:rFonts w:ascii="Times New Roman" w:hAnsi="Times New Roman" w:cs="Times New Roman"/>
          <w:color w:val="auto"/>
        </w:rPr>
        <w:t>transduction</w:t>
      </w:r>
    </w:p>
    <w:p w14:paraId="2534B835">
      <w:pPr>
        <w:pStyle w:val="3"/>
        <w:spacing w:before="0" w:after="0" w:line="360" w:lineRule="auto"/>
        <w:jc w:val="both"/>
        <w:rPr>
          <w:rFonts w:ascii="Times New Roman" w:hAnsi="Times New Roman" w:eastAsia="宋体" w:cs="Times New Roman"/>
          <w:color w:val="auto"/>
        </w:rPr>
      </w:pPr>
    </w:p>
    <w:p w14:paraId="728B7F20">
      <w:pPr>
        <w:pStyle w:val="3"/>
        <w:spacing w:before="160" w:after="80" w:line="360" w:lineRule="auto"/>
        <w:rPr>
          <w:rFonts w:hint="eastAsia" w:ascii="宋体" w:hAnsi="宋体" w:eastAsia="宋体" w:cs="Times New Roman"/>
          <w:b/>
          <w:color w:val="auto"/>
        </w:rPr>
      </w:pPr>
      <w:r>
        <w:rPr>
          <w:rFonts w:ascii="Times New Roman" w:hAnsi="Times New Roman" w:eastAsia="宋体" w:cs="Times New Roman"/>
          <w:b/>
          <w:color w:val="auto"/>
        </w:rPr>
        <w:t xml:space="preserve">0 </w:t>
      </w:r>
      <w:r>
        <w:rPr>
          <w:rFonts w:hint="eastAsia" w:ascii="Times New Roman" w:hAnsi="Times New Roman" w:eastAsia="宋体" w:cs="Times New Roman"/>
          <w:b/>
          <w:color w:val="auto"/>
        </w:rPr>
        <w:t>引言</w:t>
      </w:r>
    </w:p>
    <w:p w14:paraId="6C98DF77">
      <w:pPr>
        <w:pStyle w:val="3"/>
        <w:spacing w:before="0" w:after="0" w:line="360" w:lineRule="auto"/>
        <w:ind w:firstLine="420"/>
        <w:jc w:val="both"/>
        <w:rPr>
          <w:rFonts w:hint="eastAsia" w:ascii="宋体" w:hAnsi="宋体" w:eastAsia="宋体" w:cs="Times New Roman"/>
          <w:color w:val="auto"/>
        </w:rPr>
      </w:pPr>
      <w:r>
        <w:rPr>
          <w:rFonts w:ascii="Times New Roman" w:hAnsi="Times New Roman" w:eastAsia="宋体" w:cs="Times New Roman"/>
          <w:color w:val="auto"/>
        </w:rPr>
        <w:t>乳腺癌远处转移仍是导致</w:t>
      </w:r>
      <w:r>
        <w:rPr>
          <w:rFonts w:hint="eastAsia" w:ascii="Times New Roman" w:hAnsi="Times New Roman" w:eastAsia="宋体" w:cs="Times New Roman"/>
          <w:color w:val="auto"/>
        </w:rPr>
        <w:t>乳腺癌</w:t>
      </w:r>
      <w:r>
        <w:rPr>
          <w:rFonts w:ascii="Times New Roman" w:hAnsi="Times New Roman" w:eastAsia="宋体" w:cs="Times New Roman"/>
          <w:color w:val="auto"/>
        </w:rPr>
        <w:t>治疗失败和肿瘤相关死亡的主要原因。因此，侵袭转移是贯穿乳腺癌发生与发展的重要环节</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CITEREF001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1</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CITEREF002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2</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rPr>
        <w:t>。乳腺癌转移潜能并不完全由分子</w:t>
      </w:r>
      <w:r>
        <w:rPr>
          <w:rFonts w:hint="eastAsia" w:ascii="Times New Roman" w:hAnsi="Times New Roman" w:eastAsia="宋体" w:cs="Times New Roman"/>
          <w:color w:val="auto"/>
        </w:rPr>
        <w:t>成</w:t>
      </w:r>
      <w:r>
        <w:rPr>
          <w:rFonts w:ascii="Times New Roman" w:hAnsi="Times New Roman" w:eastAsia="宋体" w:cs="Times New Roman"/>
          <w:color w:val="auto"/>
        </w:rPr>
        <w:t>份单独决定。肿瘤细胞在原发灶及播散过程中，还需要完成一系列与</w:t>
      </w:r>
      <w:r>
        <w:rPr>
          <w:rFonts w:hint="eastAsia" w:ascii="Times New Roman" w:hAnsi="Times New Roman" w:eastAsia="宋体" w:cs="Times New Roman"/>
          <w:color w:val="auto"/>
        </w:rPr>
        <w:t>肿瘤</w:t>
      </w:r>
      <w:r>
        <w:rPr>
          <w:rFonts w:ascii="Times New Roman" w:hAnsi="Times New Roman" w:eastAsia="宋体" w:cs="Times New Roman"/>
          <w:color w:val="auto"/>
        </w:rPr>
        <w:t>力学适应相关的过程，如基质硬化、致密间质渗透以及适应血液循环中的剪切应力</w:t>
      </w:r>
      <w:r>
        <w:rPr>
          <w:rFonts w:hint="eastAsia" w:ascii="Times New Roman" w:hAnsi="Times New Roman" w:eastAsia="宋体" w:cs="Times New Roman"/>
          <w:color w:val="auto"/>
        </w:rPr>
        <w:t>等</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CITEREF002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2</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CITEREF004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4</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rPr>
        <w:t>。</w:t>
      </w:r>
    </w:p>
    <w:p w14:paraId="3FC1C759">
      <w:pPr>
        <w:pStyle w:val="3"/>
        <w:spacing w:before="0" w:after="0" w:line="360" w:lineRule="auto"/>
        <w:ind w:firstLine="420"/>
        <w:jc w:val="both"/>
        <w:rPr>
          <w:rFonts w:hint="eastAsia" w:ascii="宋体" w:hAnsi="宋体" w:eastAsia="宋体" w:cs="Times New Roman"/>
          <w:color w:val="auto"/>
        </w:rPr>
      </w:pPr>
      <w:r>
        <w:rPr>
          <w:rFonts w:ascii="宋体" w:hAnsi="宋体" w:eastAsia="宋体"/>
          <w:color w:val="auto"/>
        </w:rPr>
        <w:t>肿瘤力学微环境属于肿瘤微环境中的物理组成部分，其形成与细胞外基质</w:t>
      </w:r>
      <w:r>
        <w:rPr>
          <w:rFonts w:ascii="Times New Roman" w:hAnsi="Times New Roman" w:cs="Times New Roman"/>
          <w:color w:val="auto"/>
        </w:rPr>
        <w:t>（extracellular matrix，ECM）</w:t>
      </w:r>
      <w:r>
        <w:rPr>
          <w:rFonts w:ascii="宋体" w:hAnsi="宋体" w:eastAsia="宋体"/>
          <w:color w:val="auto"/>
        </w:rPr>
        <w:t>沉积、重塑、交联以及局部组织受力状态改变密切相关。随着肿瘤持续生长，基质可逐渐硬化，胶原纤维排列也会发生改变；与此同时，</w:t>
      </w:r>
      <w:r>
        <w:rPr>
          <w:rFonts w:ascii="宋体" w:hAnsi="宋体" w:eastAsia="宋体" w:cs="宋体"/>
          <w:color w:val="auto"/>
          <w:sz w:val="24"/>
          <w:szCs w:val="24"/>
        </w:rPr>
        <w:t>肿瘤组织内的压缩应力</w:t>
      </w:r>
      <w:r>
        <w:rPr>
          <w:rFonts w:ascii="宋体" w:hAnsi="宋体" w:eastAsia="宋体"/>
          <w:color w:val="auto"/>
        </w:rPr>
        <w:t>、间质压力及</w:t>
      </w:r>
      <w:r>
        <w:rPr>
          <w:rFonts w:ascii="宋体" w:hAnsi="宋体" w:eastAsia="宋体"/>
          <w:color w:val="auto"/>
          <w:highlight w:val="none"/>
        </w:rPr>
        <w:t>流体剪切</w:t>
      </w:r>
      <w:r>
        <w:rPr>
          <w:rFonts w:hint="eastAsia" w:ascii="宋体" w:hAnsi="宋体" w:eastAsia="宋体"/>
          <w:color w:val="auto"/>
          <w:highlight w:val="none"/>
        </w:rPr>
        <w:t>力</w:t>
      </w:r>
      <w:r>
        <w:rPr>
          <w:rFonts w:ascii="宋体" w:hAnsi="宋体" w:eastAsia="宋体"/>
          <w:color w:val="auto"/>
        </w:rPr>
        <w:t>刺激等因素，可在不同阶段作用于肿瘤细胞。这些物理因素会进一步影响细胞黏附、迁移、循环存活和远处播散能力</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CITEREF003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3</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CITEREF005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5</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color w:val="auto"/>
        </w:rPr>
        <w:t>。</w:t>
      </w:r>
      <w:r>
        <w:rPr>
          <w:rFonts w:ascii="宋体" w:hAnsi="宋体" w:eastAsia="宋体"/>
          <w:color w:val="auto"/>
        </w:rPr>
        <w:t>因此，在乳腺癌侵袭转移研究中，将基质结构、组织受力状态和细胞力学响应结合起来分析，有助于更完整地理解肿瘤细胞局部突破和远处扩散的可能机制。</w:t>
      </w:r>
    </w:p>
    <w:p w14:paraId="08098990">
      <w:pPr>
        <w:pStyle w:val="3"/>
        <w:spacing w:before="0" w:after="0" w:line="360" w:lineRule="auto"/>
        <w:ind w:firstLine="420"/>
        <w:jc w:val="both"/>
        <w:rPr>
          <w:rFonts w:hint="eastAsia" w:ascii="宋体" w:hAnsi="宋体" w:eastAsia="宋体" w:cs="Times New Roman"/>
          <w:color w:val="auto"/>
        </w:rPr>
      </w:pPr>
      <w:r>
        <w:rPr>
          <w:rFonts w:ascii="Times New Roman" w:hAnsi="Times New Roman" w:eastAsia="宋体" w:cs="Times New Roman"/>
          <w:color w:val="auto"/>
        </w:rPr>
        <w:t>这一视角</w:t>
      </w:r>
      <w:r>
        <w:rPr>
          <w:rFonts w:hint="eastAsia" w:ascii="Times New Roman" w:hAnsi="Times New Roman" w:eastAsia="宋体" w:cs="Times New Roman"/>
          <w:color w:val="auto"/>
        </w:rPr>
        <w:t>也</w:t>
      </w:r>
      <w:r>
        <w:rPr>
          <w:rFonts w:ascii="Times New Roman" w:hAnsi="Times New Roman" w:eastAsia="宋体" w:cs="Times New Roman"/>
          <w:color w:val="auto"/>
        </w:rPr>
        <w:t>有潜力为解释不同患者之间的临床表型差异提供补充依据。已有研究显示，影像硬度、胶原结构特征及机械转导相关病理的读出数据，与乳腺癌复发风险及治疗反应存在一定相关性</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CITEREF006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6</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CITEREF008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8</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rPr>
        <w:t>。这提示力学微环境研究可能不仅具有机制解释价值，也可为风险评估和后续干预策略探索提供新的线索。</w:t>
      </w:r>
    </w:p>
    <w:p w14:paraId="6377E4AA">
      <w:pPr>
        <w:pStyle w:val="3"/>
        <w:spacing w:before="80" w:after="40" w:line="360" w:lineRule="auto"/>
        <w:rPr>
          <w:rFonts w:hint="eastAsia" w:ascii="宋体" w:hAnsi="宋体" w:eastAsia="宋体" w:cs="Times New Roman"/>
          <w:b/>
          <w:color w:val="auto"/>
          <w:highlight w:val="none"/>
        </w:rPr>
      </w:pPr>
      <w:r>
        <w:rPr>
          <w:rFonts w:hint="eastAsia" w:ascii="Times New Roman" w:hAnsi="Times New Roman" w:eastAsia="宋体" w:cs="Times New Roman"/>
          <w:b/>
          <w:color w:val="auto"/>
          <w:highlight w:val="none"/>
        </w:rPr>
        <w:t>1.乳腺癌肿瘤力学微环境的主要组成及生物学特征</w:t>
      </w:r>
    </w:p>
    <w:p w14:paraId="098C3D68">
      <w:pPr>
        <w:pStyle w:val="3"/>
        <w:spacing w:before="0" w:after="0" w:line="360" w:lineRule="auto"/>
        <w:ind w:firstLine="420"/>
        <w:jc w:val="both"/>
        <w:rPr>
          <w:rFonts w:hint="eastAsia" w:ascii="宋体" w:hAnsi="宋体" w:eastAsia="宋体" w:cs="Times New Roman"/>
          <w:color w:val="auto"/>
        </w:rPr>
      </w:pPr>
      <w:r>
        <w:rPr>
          <w:rFonts w:eastAsia="宋体"/>
          <w:color w:val="auto"/>
        </w:rPr>
        <w:t xml:space="preserve">乳腺癌力学微环境的核心变化首先体现在 ECM </w:t>
      </w:r>
      <w:r>
        <w:rPr>
          <w:rFonts w:hint="eastAsia" w:eastAsia="宋体"/>
          <w:color w:val="auto"/>
        </w:rPr>
        <w:t>的</w:t>
      </w:r>
      <w:r>
        <w:rPr>
          <w:rFonts w:eastAsia="宋体"/>
          <w:color w:val="auto"/>
        </w:rPr>
        <w:t>结构和物理性质持续改变。乳腺癌间质活化后，胶原沉积和交联逐渐增强，肿瘤-间质界面可由相对疏松状态转向致密状态，局部弹性、黏性和孔隙结构也随之改变</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CITEREF003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3</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CITEREF005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5</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eastAsia="宋体"/>
          <w:color w:val="auto"/>
        </w:rPr>
        <w:t>。这些变化可增强细胞与基质之间的黏附耦联，使整合素及黏附斑复合体更容易接受外界牵张信号，并进一步影响细胞骨架重构和侵袭前沿形成</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CITEREF009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9</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CITEREF010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10</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eastAsia="宋体"/>
          <w:color w:val="auto"/>
        </w:rPr>
        <w:t>。与此同时，胶原纤维取向、基质降解程度、间质液压力和</w:t>
      </w:r>
      <w:r>
        <w:rPr>
          <w:rFonts w:hint="eastAsia" w:eastAsia="宋体"/>
          <w:color w:val="auto"/>
        </w:rPr>
        <w:t>周围</w:t>
      </w:r>
      <w:r>
        <w:rPr>
          <w:rFonts w:eastAsia="宋体"/>
          <w:color w:val="auto"/>
        </w:rPr>
        <w:t>酸性环境也会</w:t>
      </w:r>
      <w:r>
        <w:rPr>
          <w:rFonts w:hint="eastAsia" w:eastAsia="宋体"/>
          <w:color w:val="auto"/>
        </w:rPr>
        <w:t>影响</w:t>
      </w:r>
      <w:r>
        <w:rPr>
          <w:rFonts w:eastAsia="宋体"/>
          <w:color w:val="auto"/>
        </w:rPr>
        <w:t>肿瘤细胞</w:t>
      </w:r>
      <w:r>
        <w:rPr>
          <w:rFonts w:hint="eastAsia" w:eastAsia="宋体"/>
          <w:color w:val="auto"/>
        </w:rPr>
        <w:t>转移</w:t>
      </w:r>
      <w:r>
        <w:rPr>
          <w:rFonts w:eastAsia="宋体"/>
          <w:color w:val="auto"/>
        </w:rPr>
        <w:t>时所面对的空间阻力和代谢压力。因此，乳腺癌 ECM 的物理学特征</w:t>
      </w:r>
      <w:r>
        <w:rPr>
          <w:rFonts w:hint="eastAsia" w:eastAsia="宋体"/>
          <w:color w:val="auto"/>
        </w:rPr>
        <w:t>不能</w:t>
      </w:r>
      <w:r>
        <w:rPr>
          <w:rFonts w:eastAsia="宋体"/>
          <w:color w:val="auto"/>
        </w:rPr>
        <w:t>仅用单一硬度指标概括，</w:t>
      </w:r>
      <w:r>
        <w:rPr>
          <w:rFonts w:hint="eastAsia" w:eastAsia="宋体"/>
          <w:color w:val="auto"/>
        </w:rPr>
        <w:t>也要考虑到</w:t>
      </w:r>
      <w:r>
        <w:rPr>
          <w:rFonts w:eastAsia="宋体"/>
          <w:color w:val="auto"/>
        </w:rPr>
        <w:t>基质结构、力学响应和细胞感知转导之间的关系。</w:t>
      </w:r>
    </w:p>
    <w:p w14:paraId="641C649E">
      <w:pPr>
        <w:pStyle w:val="3"/>
        <w:spacing w:before="0" w:after="0" w:line="360" w:lineRule="auto"/>
        <w:ind w:firstLine="420"/>
        <w:jc w:val="both"/>
        <w:rPr>
          <w:rFonts w:hint="eastAsia" w:ascii="宋体" w:hAnsi="宋体" w:eastAsia="宋体" w:cs="Times New Roman"/>
          <w:color w:val="auto"/>
        </w:rPr>
      </w:pPr>
      <w:r>
        <w:rPr>
          <w:rFonts w:eastAsia="宋体"/>
          <w:color w:val="auto"/>
        </w:rPr>
        <w:t>ECM 黏弹性和局部酸碱状态也可影响乳腺癌细胞的侵袭</w:t>
      </w:r>
      <w:r>
        <w:rPr>
          <w:rFonts w:hint="eastAsia" w:eastAsia="宋体"/>
          <w:color w:val="auto"/>
        </w:rPr>
        <w:t>能力</w:t>
      </w:r>
      <w:r>
        <w:rPr>
          <w:rFonts w:eastAsia="宋体"/>
          <w:color w:val="auto"/>
        </w:rPr>
        <w:t>。在藻酸盐-胶原基质中，基质刚度、应力松弛速度和胶原密度的改变均可促进乳腺癌细胞及乳腺上皮细胞向侵袭相关状态转变，并增强肿瘤球</w:t>
      </w:r>
      <w:r>
        <w:rPr>
          <w:rFonts w:hint="eastAsia" w:eastAsia="宋体"/>
          <w:color w:val="auto"/>
        </w:rPr>
        <w:t>的侵袭能力</w:t>
      </w:r>
      <w:r>
        <w:rPr>
          <w:color w:val="auto"/>
        </w:rPr>
        <w:t>；</w:t>
      </w:r>
      <w:r>
        <w:rPr>
          <w:rFonts w:hint="eastAsia" w:eastAsia="宋体"/>
          <w:color w:val="auto"/>
        </w:rPr>
        <w:t>而</w:t>
      </w:r>
      <w:r>
        <w:rPr>
          <w:rFonts w:eastAsia="宋体"/>
          <w:color w:val="auto"/>
        </w:rPr>
        <w:t>这一过程</w:t>
      </w:r>
      <w:r>
        <w:rPr>
          <w:rFonts w:hint="eastAsia" w:eastAsia="宋体"/>
          <w:color w:val="auto"/>
        </w:rPr>
        <w:t>常</w:t>
      </w:r>
      <w:r>
        <w:rPr>
          <w:rFonts w:eastAsia="宋体"/>
          <w:color w:val="auto"/>
        </w:rPr>
        <w:t>伴随</w:t>
      </w:r>
      <w:r>
        <w:rPr>
          <w:rFonts w:hint="eastAsia" w:eastAsia="宋体"/>
          <w:color w:val="auto"/>
        </w:rPr>
        <w:t>着</w:t>
      </w:r>
      <w:r>
        <w:rPr>
          <w:rFonts w:eastAsia="宋体"/>
          <w:color w:val="auto"/>
        </w:rPr>
        <w:t>特异性蛋白1（specificity protein 1，Sp1）相关机械转导程序的转录改变</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CITEREF011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11</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eastAsia="宋体"/>
          <w:color w:val="auto"/>
        </w:rPr>
        <w:t>。局部酸化则反映了 ECM 重塑、缺氧和代谢重编程之间的相互作用。肿瘤细胞周围可形成空间分布不均的酸化区域，该状态与乳酸外排、细胞毒性 T 细胞排斥及免疫逃逸有关</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CITEREF012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12</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eastAsia="宋体"/>
          <w:color w:val="auto"/>
        </w:rPr>
        <w:t>。在乳腺癌研究中，乳酸</w:t>
      </w:r>
      <w:r>
        <w:rPr>
          <w:rFonts w:hint="eastAsia" w:eastAsia="宋体"/>
          <w:color w:val="auto"/>
        </w:rPr>
        <w:t>为主的</w:t>
      </w:r>
      <w:r>
        <w:rPr>
          <w:rFonts w:eastAsia="宋体"/>
          <w:color w:val="auto"/>
        </w:rPr>
        <w:t>酸性微环境还可通过转化生长因子-β（transforming growth factor-β，TGF-β）</w:t>
      </w:r>
      <w:r>
        <w:rPr>
          <w:rFonts w:hint="eastAsia"/>
          <w:color w:val="auto"/>
        </w:rPr>
        <w:t>-</w:t>
      </w:r>
      <w:r>
        <w:rPr>
          <w:rFonts w:eastAsia="宋体"/>
          <w:color w:val="auto"/>
        </w:rPr>
        <w:t>Smad 相关机制影响自然杀伤细胞（natural killer cell，NK）功能，并促进三阴性乳腺癌（triple-negative breast cancer，TNBC）肺转移</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CITEREF013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13</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eastAsia="宋体"/>
          <w:color w:val="auto"/>
        </w:rPr>
        <w:t>；此外，酸性肿瘤微环境（tumor microenvironment，TME）与肿瘤进展、治疗抵抗和免疫逃逸也具有密切联系</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CITEREF014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14</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eastAsia="宋体"/>
          <w:color w:val="auto"/>
        </w:rPr>
        <w:t>。因此，乳腺癌 ECM 相关微环境评价不宜局限于硬度，还应结合黏弹性、胶原结构和局部酸碱状态进行综合分析。</w:t>
      </w:r>
    </w:p>
    <w:p w14:paraId="304CF730">
      <w:pPr>
        <w:pStyle w:val="3"/>
        <w:spacing w:before="0" w:after="0" w:line="360" w:lineRule="auto"/>
        <w:ind w:firstLine="420"/>
        <w:jc w:val="both"/>
        <w:rPr>
          <w:rFonts w:hint="eastAsia" w:ascii="宋体" w:hAnsi="宋体" w:eastAsia="宋体" w:cs="Times New Roman"/>
          <w:color w:val="auto"/>
        </w:rPr>
      </w:pPr>
      <w:r>
        <w:rPr>
          <w:rFonts w:hint="eastAsia" w:ascii="Times New Roman" w:hAnsi="Times New Roman" w:eastAsia="宋体" w:cs="Times New Roman"/>
          <w:color w:val="auto"/>
        </w:rPr>
        <w:t>在细胞组成方面，癌相关成纤维细胞（cancer-associated fibroblast，CAF）、肿瘤细胞、内皮细胞及免疫细胞均参与这一微环境的形成。其中，CAF 与 ECM 沉积和纤维重排关系最为密切，因而在局部力学状态塑形中占据重要位置。内皮细胞主要影响肿瘤细胞跨血管迁移过程，免疫细胞则在受压、缺氧及基质重塑条件下出现功能偏移。力学信号进入细胞后，通常先由整合素（integrin）及黏附斑复合体感知，随后再向细胞骨架、细胞核及代谢调控层面传递。上述变化可进一步影响细胞黏附、收缩、形变和迁移状态</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CITEREF002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2</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CITEREF010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10</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hint="eastAsia" w:ascii="Times New Roman" w:hAnsi="Times New Roman" w:eastAsia="宋体" w:cs="Times New Roman"/>
          <w:color w:val="auto"/>
        </w:rPr>
        <w:t>。此外，ECM 刚度变化还可能改变肿瘤相关外泌体的信息输出，并进一步影响细胞运动状态</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CITEREF015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15</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hint="eastAsia" w:ascii="Times New Roman" w:hAnsi="Times New Roman" w:eastAsia="宋体" w:cs="Times New Roman"/>
          <w:color w:val="auto"/>
        </w:rPr>
        <w:t>。这些现象提示，肿瘤力学微环境不仅反映组织结构改变，也可能参与侵袭转移表型的形成。</w:t>
      </w:r>
    </w:p>
    <w:p w14:paraId="13B3B499">
      <w:pPr>
        <w:pStyle w:val="3"/>
        <w:spacing w:before="160" w:after="80" w:line="360" w:lineRule="auto"/>
        <w:rPr>
          <w:rFonts w:hint="eastAsia" w:ascii="宋体" w:hAnsi="宋体" w:eastAsia="宋体" w:cs="Times New Roman"/>
          <w:b/>
          <w:color w:val="auto"/>
        </w:rPr>
      </w:pPr>
      <w:r>
        <w:rPr>
          <w:rFonts w:hint="eastAsia" w:ascii="Times New Roman" w:hAnsi="Times New Roman" w:eastAsia="宋体" w:cs="Times New Roman"/>
          <w:b/>
          <w:color w:val="auto"/>
        </w:rPr>
        <w:t>2 肿瘤力学微环境参与乳腺癌侵袭转移的关键机制</w:t>
      </w:r>
    </w:p>
    <w:p w14:paraId="702401FC">
      <w:pPr>
        <w:pStyle w:val="3"/>
        <w:spacing w:before="80" w:after="40" w:line="360" w:lineRule="auto"/>
        <w:rPr>
          <w:rFonts w:hint="eastAsia" w:ascii="宋体" w:hAnsi="宋体" w:eastAsia="宋体" w:cs="Times New Roman"/>
          <w:b/>
          <w:color w:val="auto"/>
        </w:rPr>
      </w:pPr>
      <w:r>
        <w:rPr>
          <w:rFonts w:hint="eastAsia" w:ascii="Times New Roman" w:hAnsi="Times New Roman" w:eastAsia="宋体" w:cs="Times New Roman"/>
          <w:b/>
          <w:color w:val="auto"/>
        </w:rPr>
        <w:t>2.1 乳腺癌中细胞外基质动态重塑与侵袭启动</w:t>
      </w:r>
    </w:p>
    <w:p w14:paraId="306D076D">
      <w:pPr>
        <w:pStyle w:val="3"/>
        <w:spacing w:before="0" w:after="0" w:line="360" w:lineRule="auto"/>
        <w:ind w:firstLine="420"/>
        <w:jc w:val="both"/>
        <w:rPr>
          <w:rFonts w:hint="eastAsia" w:ascii="宋体" w:hAnsi="宋体" w:eastAsia="宋体" w:cs="Times New Roman"/>
          <w:color w:val="auto"/>
        </w:rPr>
      </w:pPr>
      <w:r>
        <w:rPr>
          <w:rFonts w:ascii="Times New Roman" w:hAnsi="Times New Roman" w:eastAsia="宋体" w:cs="Times New Roman"/>
          <w:color w:val="auto"/>
        </w:rPr>
        <w:t>在乳腺癌侵袭启动阶段，肿瘤-基质界面常先发生结构和受力状态的改变。随着局部间质逐渐致密，肿瘤细胞与周围基质之间的黏附关系和牵引方向也会随之调整。此时，原本相对稳定的组织边界可逐步转变为更易发生局部突破的侵袭前沿</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CITEREF003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3</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CITEREF005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5</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rPr>
        <w:t>。</w:t>
      </w:r>
    </w:p>
    <w:p w14:paraId="61C2A335">
      <w:pPr>
        <w:pStyle w:val="3"/>
        <w:spacing w:before="0" w:after="0" w:line="360" w:lineRule="auto"/>
        <w:ind w:firstLine="420"/>
        <w:jc w:val="both"/>
        <w:rPr>
          <w:rFonts w:hint="eastAsia" w:ascii="Times New Roman" w:hAnsi="Times New Roman" w:cs="Times New Roman"/>
          <w:color w:val="auto"/>
        </w:rPr>
      </w:pPr>
      <w:r>
        <w:rPr>
          <w:rFonts w:hint="eastAsia" w:ascii="宋体" w:hAnsi="宋体" w:eastAsia="宋体" w:cs="宋体"/>
          <w:color w:val="auto"/>
        </w:rPr>
        <w:t>乳腺癌相关研究提示，基质硬化可通过</w:t>
      </w:r>
      <w:r>
        <w:rPr>
          <w:rFonts w:hint="eastAsia" w:ascii="宋体" w:hAnsi="宋体" w:eastAsia="宋体" w:cs="宋体"/>
          <w:color w:val="auto"/>
          <w:sz w:val="24"/>
          <w:szCs w:val="24"/>
          <w:highlight w:val="none"/>
        </w:rPr>
        <w:t>骨膜蛋白</w:t>
      </w:r>
      <w:r>
        <w:rPr>
          <w:rFonts w:ascii="宋体" w:hAnsi="宋体" w:eastAsia="宋体" w:cs="宋体"/>
          <w:color w:val="auto"/>
          <w:sz w:val="24"/>
          <w:szCs w:val="24"/>
          <w:highlight w:val="none"/>
        </w:rPr>
        <w:t>（periostin，POSTN）-整合素（integrin）</w:t>
      </w:r>
      <w:r>
        <w:rPr>
          <w:rFonts w:ascii="宋体" w:hAnsi="宋体" w:eastAsia="宋体" w:cs="宋体"/>
          <w:color w:val="auto"/>
          <w:sz w:val="24"/>
          <w:szCs w:val="24"/>
        </w:rPr>
        <w:t xml:space="preserve"> 机械转导轴</w:t>
      </w:r>
      <w:r>
        <w:rPr>
          <w:rFonts w:ascii="Times New Roman" w:hAnsi="Times New Roman" w:eastAsia="宋体" w:cs="Times New Roman"/>
          <w:color w:val="auto"/>
        </w:rPr>
        <w:t>促</w:t>
      </w:r>
      <w:r>
        <w:rPr>
          <w:rFonts w:hint="eastAsia" w:ascii="宋体" w:hAnsi="宋体" w:eastAsia="宋体" w:cs="宋体"/>
          <w:color w:val="auto"/>
        </w:rPr>
        <w:t>进集体侵袭</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CITEREF009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9</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ascii="Times New Roman" w:hAnsi="Times New Roman" w:eastAsia="宋体" w:cs="Times New Roman"/>
          <w:color w:val="auto"/>
        </w:rPr>
        <w:t>。这一作用更适合理解为硬度变化对肿瘤-基质交界面的持续改造，而不是硬度本身对迁移的直接推动。基质增硬后，肿瘤细胞与胶原、纤维连接蛋白等 ECM 成分之间的黏附耦联增强，牵引力更容易集中于侵袭前沿。三维乳腺上皮原位增硬模型进一步显示，动态增硬先表现为基底膜连续性受损、层黏连蛋白破坏和</w:t>
      </w:r>
      <w:r>
        <w:rPr>
          <w:rFonts w:ascii="Times New Roman" w:hAnsi="Times New Roman" w:eastAsia="宋体" w:cs="Times New Roman"/>
          <w:color w:val="auto"/>
          <w:highlight w:val="none"/>
        </w:rPr>
        <w:t>纤维连接蛋白</w:t>
      </w:r>
      <w:r>
        <w:rPr>
          <w:rFonts w:ascii="Times New Roman" w:hAnsi="Times New Roman" w:eastAsia="宋体" w:cs="Times New Roman"/>
          <w:color w:val="auto"/>
        </w:rPr>
        <w:t>分泌增加，随后出现以 β1 整合素</w:t>
      </w:r>
      <w:r>
        <w:rPr>
          <w:rFonts w:hint="default" w:ascii="Times New Roman" w:hAnsi="Times New Roman" w:eastAsia="宋体" w:cs="Times New Roman"/>
          <w:color w:val="auto"/>
        </w:rPr>
        <w:t>（β1-integrin）</w:t>
      </w:r>
      <w:r>
        <w:rPr>
          <w:rFonts w:ascii="Times New Roman" w:hAnsi="Times New Roman" w:eastAsia="宋体" w:cs="Times New Roman"/>
          <w:color w:val="auto"/>
        </w:rPr>
        <w:t>、</w:t>
      </w:r>
      <w:r>
        <w:rPr>
          <w:rFonts w:ascii="宋体" w:hAnsi="宋体" w:eastAsia="宋体" w:cs="宋体"/>
          <w:color w:val="auto"/>
          <w:sz w:val="24"/>
          <w:szCs w:val="24"/>
        </w:rPr>
        <w:t>黏附斑激酶</w:t>
      </w:r>
      <w:r>
        <w:rPr>
          <w:rFonts w:hint="default" w:ascii="Times New Roman" w:hAnsi="Times New Roman" w:eastAsia="宋体" w:cs="Times New Roman"/>
          <w:color w:val="auto"/>
          <w:sz w:val="24"/>
          <w:szCs w:val="24"/>
        </w:rPr>
        <w:t>（focal adhesion kinase，FAK）</w:t>
      </w:r>
      <w:r>
        <w:rPr>
          <w:rFonts w:ascii="宋体" w:hAnsi="宋体" w:eastAsia="宋体" w:cs="宋体"/>
          <w:color w:val="auto"/>
          <w:sz w:val="24"/>
          <w:szCs w:val="24"/>
        </w:rPr>
        <w:t>和Piezo型机械敏感离子通道组分1</w:t>
      </w:r>
      <w:r>
        <w:rPr>
          <w:rFonts w:hint="default" w:ascii="Times New Roman" w:hAnsi="Times New Roman" w:eastAsia="宋体" w:cs="Times New Roman"/>
          <w:color w:val="auto"/>
          <w:sz w:val="24"/>
          <w:szCs w:val="24"/>
        </w:rPr>
        <w:t>（piezo-type mechanosensitive ion channel component 1，Piezo1）</w:t>
      </w:r>
      <w:r>
        <w:rPr>
          <w:rFonts w:ascii="宋体" w:hAnsi="宋体" w:eastAsia="宋体" w:cs="宋体"/>
          <w:color w:val="auto"/>
          <w:sz w:val="24"/>
          <w:szCs w:val="24"/>
        </w:rPr>
        <w:t>相关信号促进ECM再塑，并引发延迟性侵袭</w:t>
      </w:r>
      <w:r>
        <w:rPr>
          <w:rFonts w:ascii="宋体" w:hAnsi="宋体" w:eastAsia="宋体" w:cs="宋体"/>
          <w:color w:val="auto"/>
          <w:sz w:val="24"/>
          <w:szCs w:val="24"/>
          <w:vertAlign w:val="superscript"/>
        </w:rPr>
        <w:t>[</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color w:val="auto"/>
          <w:vertAlign w:val="superscript"/>
        </w:rPr>
        <w:instrText xml:space="preserve"> REF CITEREF016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16</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ascii="Times New Roman" w:hAnsi="Times New Roman" w:eastAsia="宋体" w:cs="Times New Roman"/>
          <w:color w:val="auto"/>
        </w:rPr>
        <w:t>。在该模型中，6 h 内整体弹性模量可由 86</w:t>
      </w:r>
      <w:r>
        <w:rPr>
          <w:rFonts w:hint="eastAsia" w:ascii="Times New Roman" w:hAnsi="Times New Roman" w:cs="Times New Roman"/>
          <w:color w:val="auto"/>
        </w:rPr>
        <w:t>.0</w:t>
      </w:r>
      <w:r>
        <w:rPr>
          <w:rFonts w:ascii="Times New Roman" w:hAnsi="Times New Roman" w:cs="Times New Roman"/>
          <w:color w:val="auto"/>
        </w:rPr>
        <w:t xml:space="preserve"> ± 29 </w:t>
      </w:r>
      <w:r>
        <w:rPr>
          <w:rFonts w:hint="eastAsia" w:ascii="Times New Roman" w:hAnsi="Times New Roman" w:cs="Times New Roman"/>
          <w:color w:val="auto"/>
        </w:rPr>
        <w:t>.0k</w:t>
      </w:r>
      <w:r>
        <w:rPr>
          <w:rFonts w:ascii="Times New Roman" w:hAnsi="Times New Roman" w:eastAsia="宋体" w:cs="Times New Roman"/>
          <w:color w:val="auto"/>
        </w:rPr>
        <w:t>Pa 升至 24.8 ± 22.1 kPa，约 40% 成熟腺泡出现结构丢失或侵袭；阻断 β1-integrin、抑制 FAK 或抑制 Piezo1 后，大多数腺泡仍可维持非侵袭状态</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CITEREF016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16</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ascii="Times New Roman" w:hAnsi="Times New Roman" w:eastAsia="宋体" w:cs="Times New Roman"/>
          <w:color w:val="auto"/>
        </w:rPr>
        <w:t>。因此，ECM 硬度变化并不宜简单等同于迁移增强，而应理解为通过改变交界面结构、黏附受力和局部基质再塑能力，逐步提高乳腺癌细胞突破局部屏障和发生侵袭迁移的机会。</w:t>
      </w:r>
    </w:p>
    <w:p w14:paraId="02FC1474">
      <w:pPr>
        <w:pStyle w:val="3"/>
        <w:spacing w:before="0" w:after="0" w:line="360" w:lineRule="auto"/>
        <w:ind w:firstLine="420"/>
        <w:jc w:val="both"/>
        <w:rPr>
          <w:rFonts w:hint="eastAsia" w:ascii="宋体" w:hAnsi="宋体" w:eastAsia="宋体" w:cs="Times New Roman"/>
          <w:color w:val="auto"/>
        </w:rPr>
      </w:pPr>
      <w:r>
        <w:rPr>
          <w:rFonts w:ascii="Times New Roman" w:hAnsi="Times New Roman" w:eastAsia="宋体" w:cs="Times New Roman"/>
          <w:color w:val="auto"/>
        </w:rPr>
        <w:t>外部 ECM 物理条件本身也可作为实验变量，用于观察乳腺癌细胞对不同基质状态的适应过程。除均一基质刚度外，刚度梯度、空间方向性和局部基质重塑同样具有实验解释价值。刚度定向基质模型显示，在通过胰蛋白酶包被磁珠局部软化细胞来源基质后，MDA-MB-231 细胞更倾向向较硬基质方向迁移，</w:t>
      </w:r>
      <w:r>
        <w:rPr>
          <w:rFonts w:hint="default" w:ascii="Times New Roman" w:hAnsi="Times New Roman" w:eastAsia="宋体" w:cs="Times New Roman"/>
          <w:color w:val="auto"/>
          <w:sz w:val="24"/>
          <w:szCs w:val="24"/>
        </w:rPr>
        <w:t>SLIT-ROBO Rho GTP</w:t>
      </w:r>
      <w:r>
        <w:rPr>
          <w:rFonts w:ascii="宋体" w:hAnsi="宋体" w:eastAsia="宋体" w:cs="宋体"/>
          <w:color w:val="auto"/>
          <w:sz w:val="24"/>
          <w:szCs w:val="24"/>
        </w:rPr>
        <w:t>酶激活蛋白2（</w:t>
      </w:r>
      <w:r>
        <w:rPr>
          <w:rFonts w:hint="default" w:ascii="Times New Roman" w:hAnsi="Times New Roman" w:eastAsia="宋体" w:cs="Times New Roman"/>
          <w:color w:val="auto"/>
          <w:sz w:val="24"/>
          <w:szCs w:val="24"/>
        </w:rPr>
        <w:t>SLIT-ROBO Rho GTPase-activating protein 2，srGAP2</w:t>
      </w:r>
      <w:r>
        <w:rPr>
          <w:rFonts w:ascii="宋体" w:hAnsi="宋体" w:eastAsia="宋体" w:cs="宋体"/>
          <w:color w:val="auto"/>
          <w:sz w:val="24"/>
          <w:szCs w:val="24"/>
        </w:rPr>
        <w:t>）在细胞内形成由后缘向前缘升高的张力梯度；当srGAP2</w:t>
      </w:r>
      <w:r>
        <w:rPr>
          <w:rFonts w:hint="eastAsia" w:ascii="宋体" w:hAnsi="宋体" w:eastAsia="宋体" w:cs="宋体"/>
          <w:color w:val="auto"/>
          <w:sz w:val="24"/>
          <w:szCs w:val="24"/>
          <w:lang w:val="en-US" w:eastAsia="zh-CN"/>
        </w:rPr>
        <w:t>蛋白</w:t>
      </w:r>
      <w:r>
        <w:rPr>
          <w:rFonts w:ascii="宋体" w:hAnsi="宋体" w:eastAsia="宋体" w:cs="宋体"/>
          <w:color w:val="auto"/>
          <w:sz w:val="24"/>
          <w:szCs w:val="24"/>
        </w:rPr>
        <w:t>的Ser206磷酸化位点发生突变后，该张力梯度和迁移方向性均被削弱，28 d体内模型中的肺转移结节也相应减少</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CITEREF017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17</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ascii="Times New Roman" w:hAnsi="Times New Roman" w:eastAsia="宋体" w:cs="Times New Roman"/>
          <w:color w:val="auto"/>
        </w:rPr>
        <w:t>。交联剂扩散法构建的藻酸盐水凝胶</w:t>
      </w:r>
      <w:r>
        <w:rPr>
          <w:rFonts w:hint="eastAsia" w:ascii="Times New Roman" w:hAnsi="Times New Roman" w:eastAsia="宋体" w:cs="Times New Roman"/>
          <w:color w:val="auto"/>
          <w:lang w:val="en-US" w:eastAsia="zh-CN"/>
        </w:rPr>
        <w:t>基质</w:t>
      </w:r>
      <w:r>
        <w:rPr>
          <w:rFonts w:ascii="Times New Roman" w:hAnsi="Times New Roman" w:eastAsia="宋体" w:cs="Times New Roman"/>
          <w:color w:val="auto"/>
        </w:rPr>
        <w:t>还可形成 0.5-50 kPa 的连续刚度梯度；在胶原功能化基质中，MDA-MB-231 细胞更容易向较硬区域深入侵袭</w:t>
      </w:r>
      <w:r>
        <w:rPr>
          <w:rFonts w:hint="eastAsia" w:ascii="Times New Roman" w:hAnsi="Times New Roman" w:cs="Times New Roman"/>
          <w:color w:val="auto"/>
          <w:lang w:eastAsia="zh-CN"/>
        </w:rPr>
        <w:t>；</w:t>
      </w:r>
      <w:r>
        <w:rPr>
          <w:rFonts w:ascii="宋体" w:hAnsi="宋体" w:eastAsia="宋体" w:cs="宋体"/>
          <w:color w:val="auto"/>
          <w:sz w:val="24"/>
          <w:szCs w:val="24"/>
        </w:rPr>
        <w:t>培养24 h后，细胞可到达基质表面以下约150 μm处</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CITEREF018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18</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ascii="Times New Roman" w:hAnsi="Times New Roman" w:eastAsia="宋体" w:cs="Times New Roman"/>
          <w:color w:val="auto"/>
        </w:rPr>
        <w:t xml:space="preserve">。此外，CAF 介导的胶原重塑模型显示，CAF 极化收缩可使胶原水凝胶刚度由 350 Pa 升至 775 Pa，并使孔径由 5.0 μm降至 1.9 μm；这一变化伴随 </w:t>
      </w:r>
      <w:r>
        <w:rPr>
          <w:rFonts w:ascii="Times New Roman" w:hAnsi="Times New Roman" w:cs="Times New Roman"/>
          <w:i/>
          <w:color w:val="auto"/>
        </w:rPr>
        <w:t>YAP/TAZ</w:t>
      </w:r>
      <w:r>
        <w:rPr>
          <w:rFonts w:ascii="Times New Roman" w:hAnsi="Times New Roman" w:eastAsia="宋体" w:cs="Times New Roman"/>
          <w:color w:val="auto"/>
        </w:rPr>
        <w:t xml:space="preserve"> 入核增强、乳腺癌细胞增殖，而抑制 </w:t>
      </w:r>
      <w:r>
        <w:rPr>
          <w:rFonts w:ascii="Times New Roman" w:hAnsi="Times New Roman" w:cs="Times New Roman"/>
          <w:i/>
          <w:color w:val="auto"/>
        </w:rPr>
        <w:t>YAP</w:t>
      </w:r>
      <w:r>
        <w:rPr>
          <w:rFonts w:ascii="Times New Roman" w:hAnsi="Times New Roman" w:eastAsia="宋体" w:cs="Times New Roman"/>
          <w:color w:val="auto"/>
        </w:rPr>
        <w:t>、肌动球蛋白收缩或胶原结构可部分逆转上述效应</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CITEREF019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19</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ascii="Times New Roman" w:hAnsi="Times New Roman" w:eastAsia="宋体" w:cs="Times New Roman"/>
          <w:color w:val="auto"/>
        </w:rPr>
        <w:t>。近期</w:t>
      </w:r>
      <w:r>
        <w:rPr>
          <w:rFonts w:hint="eastAsia" w:ascii="Times New Roman" w:hAnsi="Times New Roman" w:eastAsia="宋体" w:cs="Times New Roman"/>
          <w:color w:val="auto"/>
        </w:rPr>
        <w:t>研究中，</w:t>
      </w:r>
      <w:r>
        <w:rPr>
          <w:rFonts w:ascii="Times New Roman" w:hAnsi="Times New Roman" w:eastAsia="宋体" w:cs="Times New Roman"/>
          <w:color w:val="auto"/>
        </w:rPr>
        <w:t>三维生物打印微流控模型也将肿瘤基质刚度、生长因子梯度和骨样微环境纳入同一实验系统，用于模拟乳腺癌骨转移相关微环境影响</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CITEREF020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20</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ascii="Times New Roman" w:hAnsi="Times New Roman" w:eastAsia="宋体" w:cs="Times New Roman"/>
          <w:color w:val="auto"/>
        </w:rPr>
        <w:t>。这些研究说明，乳腺癌力学微环境研究不宜只从肿瘤细胞内部基因或信号通路解释 ECM 改变，还应关注外部 ECM 刚度、梯度、孔径和空间结构被人为调控后所引起的细胞迁移、侵袭和增殖反应。不过，上述证据多来自工程化体外模型或前临床系统，仍需结合患者组织中的胶原结构、侵袭前沿状态及临床转移结局进一步验证。</w:t>
      </w:r>
    </w:p>
    <w:p w14:paraId="1BA964B5">
      <w:pPr>
        <w:pStyle w:val="3"/>
        <w:spacing w:before="0" w:after="0" w:line="360" w:lineRule="auto"/>
        <w:ind w:firstLine="420"/>
        <w:jc w:val="both"/>
        <w:rPr>
          <w:rFonts w:hint="eastAsia" w:ascii="宋体" w:hAnsi="宋体" w:eastAsia="宋体" w:cs="Times New Roman"/>
          <w:color w:val="auto"/>
        </w:rPr>
      </w:pPr>
      <w:r>
        <w:rPr>
          <w:rFonts w:eastAsia="宋体"/>
          <w:color w:val="auto"/>
        </w:rPr>
        <w:t>目前，胶原交联、纤维取向及纤维化促进侵袭的部分机制链，仍有一部分来自跨癌种或泛实体瘤研究</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CITEREF002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2</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CITEREF005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5</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eastAsia="宋体"/>
          <w:color w:val="auto"/>
        </w:rPr>
        <w:t>。因此，在乳腺癌中，ECM 重塑和基质硬化可能</w:t>
      </w:r>
      <w:r>
        <w:rPr>
          <w:rFonts w:hint="eastAsia" w:eastAsia="宋体"/>
          <w:color w:val="auto"/>
        </w:rPr>
        <w:t>倾向于</w:t>
      </w:r>
      <w:r>
        <w:rPr>
          <w:rFonts w:eastAsia="宋体"/>
          <w:color w:val="auto"/>
        </w:rPr>
        <w:t>塑造有利于侵袭启动的局部环境，但其作用具有动态性和情境依赖性。</w:t>
      </w:r>
      <w:r>
        <w:rPr>
          <w:rFonts w:hint="eastAsia" w:eastAsia="宋体"/>
          <w:color w:val="auto"/>
        </w:rPr>
        <w:t>当</w:t>
      </w:r>
      <w:r>
        <w:rPr>
          <w:rFonts w:eastAsia="宋体"/>
          <w:color w:val="auto"/>
        </w:rPr>
        <w:t>基底膜相对完整、孔隙空间受限或肿瘤细胞变形能力不足时，ECM 可对迁移形成物理约束</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CITEREF021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21</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eastAsia="宋体"/>
          <w:color w:val="auto"/>
        </w:rPr>
        <w:t>；当胶原交联、纤维重排和整合素-黏附斑信号增强，并伴随蛋白水解和细胞核形变适应时，ECM 才更容易转向支持侵袭前沿形成和局部突破</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CITEREF005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5</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CITEREF009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9</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CITEREF016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16</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eastAsia="宋体"/>
          <w:color w:val="auto"/>
        </w:rPr>
        <w:t>。此外，</w:t>
      </w:r>
      <w:r>
        <w:rPr>
          <w:rFonts w:hint="default" w:ascii="Times New Roman" w:hAnsi="Times New Roman" w:cs="Times New Roman"/>
          <w:i/>
          <w:color w:val="auto"/>
        </w:rPr>
        <w:t>ULK1/2</w:t>
      </w:r>
      <w:r>
        <w:rPr>
          <w:rFonts w:hint="default" w:ascii="Times New Roman" w:hAnsi="Times New Roman" w:cs="Times New Roman"/>
          <w:color w:val="auto"/>
        </w:rPr>
        <w:t>-</w:t>
      </w:r>
      <w:r>
        <w:rPr>
          <w:rFonts w:hint="default" w:ascii="Times New Roman" w:hAnsi="Times New Roman" w:cs="Times New Roman"/>
          <w:i/>
          <w:color w:val="auto"/>
        </w:rPr>
        <w:t>PXN</w:t>
      </w:r>
      <w:r>
        <w:rPr>
          <w:rFonts w:hint="default" w:ascii="Times New Roman" w:hAnsi="Times New Roman" w:eastAsia="宋体" w:cs="Times New Roman"/>
          <w:color w:val="auto"/>
        </w:rPr>
        <w:t xml:space="preserve"> </w:t>
      </w:r>
      <w:r>
        <w:rPr>
          <w:rFonts w:eastAsia="宋体"/>
          <w:color w:val="auto"/>
        </w:rPr>
        <w:t xml:space="preserve">通路对黏附斑装配、细胞收缩和迁移具有抑制作用，低刚度条件下 </w:t>
      </w:r>
      <w:r>
        <w:rPr>
          <w:i/>
          <w:color w:val="auto"/>
        </w:rPr>
        <w:t>TYK2</w:t>
      </w:r>
      <w:r>
        <w:rPr>
          <w:rFonts w:eastAsia="宋体"/>
          <w:color w:val="auto"/>
        </w:rPr>
        <w:t xml:space="preserve"> 也可能参与限制 EMT 和侵袭，这些证据提示，ECM 相关机制应结合基质硬度、细胞状态和具体信号背景进行解释</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rFonts w:ascii="Times New Roman" w:hAnsi="Times New Roman" w:cs="Times New Roman"/>
          <w:color w:val="auto"/>
          <w:vertAlign w:val="superscript"/>
        </w:rPr>
        <w:instrText xml:space="preserve"> REF CITEREF010 \r \h \# "0"  \* MERGEFORMAT </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10</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hint="eastAsia"/>
          <w:color w:val="auto"/>
          <w:vertAlign w:val="superscript"/>
        </w:rPr>
        <w:t>，</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rFonts w:ascii="Times New Roman" w:hAnsi="Times New Roman" w:cs="Times New Roman"/>
          <w:color w:val="auto"/>
          <w:vertAlign w:val="superscript"/>
        </w:rPr>
        <w:instrText xml:space="preserve"> REF CITEREF022 \r \h \# "0"  \* MERGEFORMAT </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22</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hint="eastAsia"/>
          <w:color w:val="auto"/>
        </w:rPr>
        <w:t>。</w:t>
      </w:r>
    </w:p>
    <w:p w14:paraId="4C8940EF">
      <w:pPr>
        <w:pStyle w:val="3"/>
        <w:spacing w:before="80" w:after="40" w:line="360" w:lineRule="auto"/>
        <w:rPr>
          <w:rFonts w:hint="eastAsia" w:ascii="宋体" w:hAnsi="宋体" w:eastAsia="宋体" w:cs="Times New Roman"/>
          <w:b/>
          <w:color w:val="auto"/>
        </w:rPr>
      </w:pPr>
      <w:r>
        <w:rPr>
          <w:rFonts w:ascii="Times New Roman" w:hAnsi="Times New Roman" w:eastAsia="宋体" w:cs="Times New Roman"/>
          <w:b/>
          <w:color w:val="auto"/>
        </w:rPr>
        <w:t xml:space="preserve">2.2 </w:t>
      </w:r>
      <w:r>
        <w:rPr>
          <w:rFonts w:hint="eastAsia" w:ascii="Times New Roman" w:hAnsi="Times New Roman" w:eastAsia="宋体" w:cs="Times New Roman"/>
          <w:b/>
          <w:color w:val="auto"/>
        </w:rPr>
        <w:t>乳腺癌中黏附斑-细胞骨架重塑与迁移侵袭增强</w:t>
      </w:r>
    </w:p>
    <w:p w14:paraId="488CDEC0">
      <w:pPr>
        <w:pStyle w:val="3"/>
        <w:spacing w:before="0" w:after="0" w:line="360" w:lineRule="auto"/>
        <w:ind w:firstLine="420"/>
        <w:jc w:val="both"/>
        <w:rPr>
          <w:rFonts w:hint="eastAsia" w:ascii="宋体" w:hAnsi="宋体" w:eastAsia="宋体" w:cs="Times New Roman"/>
          <w:color w:val="auto"/>
        </w:rPr>
      </w:pPr>
      <w:r>
        <w:rPr>
          <w:rFonts w:ascii="Times New Roman" w:hAnsi="Times New Roman" w:eastAsia="宋体" w:cs="Times New Roman"/>
          <w:color w:val="auto"/>
        </w:rPr>
        <w:t>乳腺癌ECM 异常并不会自动转化为侵袭行为，其关键在于肿瘤细胞能否将外部受力变化进一步转写为迁移程序</w:t>
      </w:r>
      <w:r>
        <w:rPr>
          <w:rFonts w:ascii="宋体" w:hAnsi="宋体" w:eastAsia="宋体" w:cs="宋体"/>
          <w:color w:val="auto"/>
          <w:sz w:val="24"/>
          <w:szCs w:val="24"/>
          <w:vertAlign w:val="superscript"/>
        </w:rPr>
        <w:t>[10]</w:t>
      </w:r>
      <w:r>
        <w:rPr>
          <w:rFonts w:ascii="Times New Roman" w:hAnsi="Times New Roman" w:eastAsia="宋体" w:cs="Times New Roman"/>
          <w:color w:val="auto"/>
        </w:rPr>
        <w:t>。整合素与基质结合后，黏附斑会逐渐装配，随后 FAK/Src激酶（Src kinase，Src）等信号被激活，并将机械刺激传递至肌动</w:t>
      </w:r>
      <w:r>
        <w:rPr>
          <w:rFonts w:ascii="宋体" w:hAnsi="宋体" w:eastAsia="宋体" w:cs="Times New Roman"/>
          <w:color w:val="auto"/>
        </w:rPr>
        <w:t>蛋白-肌球蛋白收缩系统。随着牵引力重新分配，细胞极性建立，其边缘伸展和局部组织突破能力均可增强。乳腺癌相关研究显示，</w:t>
      </w:r>
      <w:r>
        <w:rPr>
          <w:rFonts w:ascii="Times New Roman" w:hAnsi="Times New Roman" w:cs="Times New Roman"/>
          <w:i/>
          <w:color w:val="auto"/>
        </w:rPr>
        <w:t>ULK1/2</w:t>
      </w:r>
      <w:r>
        <w:rPr>
          <w:rFonts w:ascii="Times New Roman" w:hAnsi="Times New Roman" w:cs="Times New Roman"/>
          <w:color w:val="auto"/>
        </w:rPr>
        <w:t>-</w:t>
      </w:r>
      <w:r>
        <w:rPr>
          <w:rFonts w:ascii="Times New Roman" w:hAnsi="Times New Roman" w:cs="Times New Roman"/>
          <w:i/>
          <w:color w:val="auto"/>
        </w:rPr>
        <w:t>PXN</w:t>
      </w:r>
      <w:r>
        <w:rPr>
          <w:rFonts w:ascii="宋体" w:hAnsi="宋体" w:eastAsia="宋体" w:cs="Times New Roman"/>
          <w:color w:val="auto"/>
        </w:rPr>
        <w:t>通路可通过调节</w:t>
      </w:r>
      <w:r>
        <w:rPr>
          <w:rFonts w:ascii="Times New Roman" w:hAnsi="Times New Roman" w:cs="Times New Roman"/>
          <w:i/>
          <w:color w:val="auto"/>
        </w:rPr>
        <w:t>PXN</w:t>
      </w:r>
      <w:r>
        <w:rPr>
          <w:rFonts w:ascii="宋体" w:hAnsi="宋体" w:eastAsia="宋体" w:cs="Times New Roman"/>
          <w:color w:val="auto"/>
        </w:rPr>
        <w:t>相关黏附斑装配抑制细胞迁移</w:t>
      </w:r>
      <w:r>
        <w:rPr>
          <w:rFonts w:ascii="宋体" w:hAnsi="宋体" w:eastAsia="宋体" w:cs="Times New Roman"/>
          <w:color w:val="auto"/>
          <w:vertAlign w:val="superscript"/>
        </w:rPr>
        <w:t>[</w:t>
      </w:r>
      <w:r>
        <w:rPr>
          <w:rFonts w:ascii="宋体" w:hAnsi="宋体" w:eastAsia="宋体" w:cs="Times New Roman"/>
          <w:color w:val="auto"/>
          <w:vertAlign w:val="superscript"/>
        </w:rPr>
        <w:fldChar w:fldCharType="begin"/>
      </w:r>
      <w:r>
        <w:rPr>
          <w:rFonts w:ascii="宋体" w:hAnsi="宋体" w:eastAsia="宋体" w:cs="Times New Roman"/>
          <w:color w:val="auto"/>
          <w:vertAlign w:val="superscript"/>
        </w:rPr>
        <w:instrText xml:space="preserve"> REF CITEREF010 \r \h \# "0" </w:instrText>
      </w:r>
      <w:r>
        <w:rPr>
          <w:rFonts w:hint="eastAsia" w:ascii="宋体" w:hAnsi="宋体" w:eastAsia="宋体" w:cs="Times New Roman"/>
          <w:color w:val="auto"/>
          <w:vertAlign w:val="superscript"/>
        </w:rPr>
        <w:instrText xml:space="preserve"> \* MERGEFORMAT </w:instrText>
      </w:r>
      <w:r>
        <w:rPr>
          <w:rFonts w:ascii="宋体" w:hAnsi="宋体" w:eastAsia="宋体" w:cs="Times New Roman"/>
          <w:color w:val="auto"/>
          <w:vertAlign w:val="superscript"/>
        </w:rPr>
        <w:fldChar w:fldCharType="separate"/>
      </w:r>
      <w:r>
        <w:rPr>
          <w:rFonts w:ascii="宋体" w:hAnsi="宋体" w:eastAsia="宋体" w:cs="Times New Roman"/>
          <w:color w:val="auto"/>
          <w:vertAlign w:val="superscript"/>
        </w:rPr>
        <w:t>10</w:t>
      </w:r>
      <w:r>
        <w:rPr>
          <w:rFonts w:ascii="宋体" w:hAnsi="宋体" w:eastAsia="宋体" w:cs="Times New Roman"/>
          <w:color w:val="auto"/>
          <w:vertAlign w:val="superscript"/>
        </w:rPr>
        <w:fldChar w:fldCharType="end"/>
      </w:r>
      <w:r>
        <w:rPr>
          <w:rFonts w:ascii="宋体" w:hAnsi="宋体" w:eastAsia="宋体" w:cs="Times New Roman"/>
          <w:color w:val="auto"/>
          <w:vertAlign w:val="superscript"/>
        </w:rPr>
        <w:t>]</w:t>
      </w:r>
      <w:r>
        <w:rPr>
          <w:rFonts w:ascii="Times New Roman" w:hAnsi="Times New Roman" w:eastAsia="宋体" w:cs="Times New Roman"/>
          <w:color w:val="auto"/>
        </w:rPr>
        <w:t>。这一结果提示，黏附斑稳定性并非单纯的结构现象，而可能是决定乳腺癌细胞能否进入侵袭状态的重要环节之一。</w:t>
      </w:r>
    </w:p>
    <w:p w14:paraId="5F4A41FE">
      <w:pPr>
        <w:pStyle w:val="3"/>
        <w:spacing w:before="0" w:after="0" w:line="360" w:lineRule="auto"/>
        <w:ind w:firstLine="420"/>
        <w:jc w:val="both"/>
        <w:rPr>
          <w:rFonts w:hint="eastAsia" w:ascii="宋体" w:hAnsi="宋体" w:eastAsia="宋体" w:cs="Times New Roman"/>
          <w:color w:val="auto"/>
        </w:rPr>
      </w:pPr>
      <w:r>
        <w:rPr>
          <w:rFonts w:ascii="Times New Roman" w:hAnsi="Times New Roman" w:eastAsia="宋体" w:cs="Times New Roman"/>
          <w:color w:val="auto"/>
        </w:rPr>
        <w:t>在黏附和牵引力持续改变的基础上，机械信号可进一步传递至转录调控层面。</w:t>
      </w:r>
      <w:r>
        <w:rPr>
          <w:rFonts w:hint="eastAsia" w:ascii="Times New Roman" w:hAnsi="Times New Roman" w:eastAsia="宋体" w:cs="Times New Roman"/>
          <w:color w:val="auto"/>
        </w:rPr>
        <w:t>Yes相关蛋白（</w:t>
      </w:r>
      <w:r>
        <w:rPr>
          <w:rFonts w:hint="default" w:ascii="Times New Roman" w:hAnsi="Times New Roman" w:eastAsia="宋体" w:cs="Times New Roman"/>
          <w:color w:val="auto"/>
        </w:rPr>
        <w:t>Yes-associated protein，YAP</w:t>
      </w:r>
      <w:r>
        <w:rPr>
          <w:rFonts w:hint="eastAsia" w:ascii="Times New Roman" w:hAnsi="Times New Roman" w:eastAsia="宋体" w:cs="Times New Roman"/>
          <w:color w:val="auto"/>
        </w:rPr>
        <w:t>）和含PDZ结合基序的转录共激活因子（</w:t>
      </w:r>
      <w:r>
        <w:rPr>
          <w:rFonts w:hint="default" w:ascii="Times New Roman" w:hAnsi="Times New Roman" w:eastAsia="宋体" w:cs="Times New Roman"/>
          <w:color w:val="auto"/>
        </w:rPr>
        <w:t>transcriptional coactivator with PDZ-binding motif，TAZ</w:t>
      </w:r>
      <w:r>
        <w:rPr>
          <w:rFonts w:hint="eastAsia" w:ascii="Times New Roman" w:hAnsi="Times New Roman" w:eastAsia="宋体" w:cs="Times New Roman"/>
          <w:color w:val="auto"/>
        </w:rPr>
        <w:t>）</w:t>
      </w:r>
      <w:r>
        <w:rPr>
          <w:rFonts w:ascii="Times New Roman" w:hAnsi="Times New Roman" w:eastAsia="宋体" w:cs="Times New Roman"/>
          <w:color w:val="auto"/>
        </w:rPr>
        <w:t>常在这一过程中被激活，</w:t>
      </w:r>
      <w:r>
        <w:rPr>
          <w:rFonts w:hint="eastAsia" w:ascii="Times New Roman" w:hAnsi="Times New Roman" w:eastAsia="宋体" w:cs="Times New Roman"/>
          <w:color w:val="auto"/>
        </w:rPr>
        <w:t>并与侵袭表型增强相关</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CITEREF009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9</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CITEREF023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23</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rPr>
        <w:t>。在乳腺癌现有研究中，</w:t>
      </w:r>
      <w:r>
        <w:rPr>
          <w:rFonts w:ascii="Times New Roman" w:hAnsi="Times New Roman" w:eastAsia="宋体" w:cs="Times New Roman"/>
          <w:i/>
          <w:iCs/>
          <w:color w:val="auto"/>
        </w:rPr>
        <w:t xml:space="preserve">YAP/TAZ </w:t>
      </w:r>
      <w:r>
        <w:rPr>
          <w:rFonts w:ascii="Times New Roman" w:hAnsi="Times New Roman" w:eastAsia="宋体" w:cs="Times New Roman"/>
          <w:color w:val="auto"/>
        </w:rPr>
        <w:t>的激活多与细胞迁移、侵袭增强及治疗耐受等表型相伴出现，其作用更可能体现在侵袭程序的持续推进和表型维持过程中</w:t>
      </w:r>
      <w:r>
        <w:rPr>
          <w:rFonts w:hint="eastAsia" w:ascii="Times New Roman" w:hAnsi="Times New Roman" w:eastAsia="宋体" w:cs="Times New Roman"/>
          <w:color w:val="auto"/>
        </w:rPr>
        <w:t>。</w:t>
      </w:r>
    </w:p>
    <w:p w14:paraId="3ED289BC">
      <w:pPr>
        <w:pStyle w:val="3"/>
        <w:spacing w:before="0" w:after="0" w:line="360" w:lineRule="auto"/>
        <w:ind w:firstLine="420"/>
        <w:jc w:val="both"/>
        <w:rPr>
          <w:rFonts w:hint="eastAsia" w:ascii="Times New Roman" w:hAnsi="Times New Roman" w:eastAsia="宋体" w:cs="Times New Roman"/>
          <w:color w:val="auto"/>
        </w:rPr>
      </w:pPr>
      <w:r>
        <w:rPr>
          <w:rFonts w:hint="eastAsia" w:ascii="Times New Roman" w:hAnsi="Times New Roman" w:eastAsia="宋体" w:cs="Times New Roman"/>
          <w:color w:val="auto"/>
        </w:rPr>
        <w:t>整合素汇集以及踝蛋白（talin）和纽蛋白（vinculin）的受力展开，是机械信号向细胞内传递的重要环节，但相关执行层证据仍主要来自跨癌种力学生物学研究</w:t>
      </w:r>
      <w:r>
        <w:rPr>
          <w:rFonts w:hint="eastAsia" w:ascii="Times New Roman" w:hAnsi="Times New Roman" w:eastAsia="宋体" w:cs="Times New Roman"/>
          <w:color w:val="auto"/>
          <w:vertAlign w:val="superscript"/>
        </w:rPr>
        <w:t>[</w:t>
      </w:r>
      <w:r>
        <w:rPr>
          <w:rFonts w:hint="eastAsia" w:ascii="Times New Roman" w:hAnsi="Times New Roman" w:eastAsia="宋体" w:cs="Times New Roman"/>
          <w:color w:val="auto"/>
          <w:vertAlign w:val="superscript"/>
        </w:rPr>
        <w:fldChar w:fldCharType="begin"/>
      </w:r>
      <w:r>
        <w:rPr>
          <w:color w:val="auto"/>
          <w:vertAlign w:val="superscript"/>
        </w:rPr>
        <w:instrText xml:space="preserve"> REF CITEREF024 \r \h \# "0"  \* MERGEFORMAT</w:instrText>
      </w:r>
      <w:r>
        <w:rPr>
          <w:rFonts w:hint="eastAsia" w:ascii="Times New Roman" w:hAnsi="Times New Roman" w:eastAsia="宋体" w:cs="Times New Roman"/>
          <w:color w:val="auto"/>
          <w:vertAlign w:val="superscript"/>
        </w:rPr>
        <w:fldChar w:fldCharType="separate"/>
      </w:r>
      <w:r>
        <w:rPr>
          <w:rFonts w:hint="eastAsia" w:ascii="Times New Roman" w:hAnsi="Times New Roman" w:eastAsia="宋体" w:cs="Times New Roman"/>
          <w:color w:val="auto"/>
          <w:vertAlign w:val="superscript"/>
        </w:rPr>
        <w:t>24</w:t>
      </w:r>
      <w:r>
        <w:rPr>
          <w:rFonts w:hint="eastAsia" w:ascii="Times New Roman" w:hAnsi="Times New Roman" w:eastAsia="宋体" w:cs="Times New Roman"/>
          <w:color w:val="auto"/>
          <w:vertAlign w:val="superscript"/>
        </w:rPr>
        <w:fldChar w:fldCharType="end"/>
      </w:r>
      <w:r>
        <w:rPr>
          <w:rFonts w:hint="eastAsia" w:ascii="Times New Roman" w:hAnsi="Times New Roman" w:eastAsia="宋体" w:cs="Times New Roman"/>
          <w:color w:val="auto"/>
          <w:vertAlign w:val="superscript"/>
        </w:rPr>
        <w:t>-</w:t>
      </w:r>
      <w:r>
        <w:rPr>
          <w:rFonts w:hint="eastAsia" w:ascii="Times New Roman" w:hAnsi="Times New Roman" w:eastAsia="宋体" w:cs="Times New Roman"/>
          <w:color w:val="auto"/>
          <w:vertAlign w:val="superscript"/>
        </w:rPr>
        <w:fldChar w:fldCharType="begin"/>
      </w:r>
      <w:r>
        <w:rPr>
          <w:color w:val="auto"/>
          <w:vertAlign w:val="superscript"/>
        </w:rPr>
        <w:instrText xml:space="preserve"> REF CITEREF025 \r \h \# "0"  \* MERGEFORMAT</w:instrText>
      </w:r>
      <w:r>
        <w:rPr>
          <w:rFonts w:hint="eastAsia" w:ascii="Times New Roman" w:hAnsi="Times New Roman" w:eastAsia="宋体" w:cs="Times New Roman"/>
          <w:color w:val="auto"/>
          <w:vertAlign w:val="superscript"/>
        </w:rPr>
        <w:fldChar w:fldCharType="separate"/>
      </w:r>
      <w:r>
        <w:rPr>
          <w:rFonts w:hint="eastAsia" w:ascii="Times New Roman" w:hAnsi="Times New Roman" w:eastAsia="宋体" w:cs="Times New Roman"/>
          <w:color w:val="auto"/>
          <w:vertAlign w:val="superscript"/>
        </w:rPr>
        <w:t>25</w:t>
      </w:r>
      <w:r>
        <w:rPr>
          <w:rFonts w:hint="eastAsia" w:ascii="Times New Roman" w:hAnsi="Times New Roman" w:eastAsia="宋体" w:cs="Times New Roman"/>
          <w:color w:val="auto"/>
          <w:vertAlign w:val="superscript"/>
        </w:rPr>
        <w:fldChar w:fldCharType="end"/>
      </w:r>
      <w:r>
        <w:rPr>
          <w:rFonts w:hint="eastAsia" w:ascii="Times New Roman" w:hAnsi="Times New Roman" w:eastAsia="宋体" w:cs="Times New Roman"/>
          <w:color w:val="auto"/>
          <w:vertAlign w:val="superscript"/>
        </w:rPr>
        <w:t>]</w:t>
      </w:r>
      <w:r>
        <w:rPr>
          <w:rFonts w:hint="eastAsia" w:ascii="Times New Roman" w:hAnsi="Times New Roman" w:eastAsia="宋体" w:cs="Times New Roman"/>
          <w:color w:val="auto"/>
        </w:rPr>
        <w:t>。当机械刺激持续一定时间时，细胞形成的适应性变化可能不会随着刺激撤除而立即消失，由此产生机械记忆。机械记忆是指细胞在经历一定强度和持续时间的机械刺激后，即使原有刺激被撤除或细胞进入新的力学环境，仍能在一定时期内维持此前形成的表型和功能状态</w:t>
      </w:r>
      <w:r>
        <w:rPr>
          <w:rFonts w:hint="eastAsia" w:ascii="Times New Roman" w:hAnsi="Times New Roman" w:eastAsia="宋体" w:cs="Times New Roman"/>
          <w:color w:val="auto"/>
          <w:vertAlign w:val="superscript"/>
        </w:rPr>
        <w:t>[26]</w:t>
      </w:r>
      <w:r>
        <w:rPr>
          <w:rFonts w:hint="eastAsia" w:ascii="Times New Roman" w:hAnsi="Times New Roman" w:eastAsia="宋体" w:cs="Times New Roman"/>
          <w:color w:val="auto"/>
        </w:rPr>
        <w:t>。其维持可能涉及黏附斑和细胞骨架重塑、机械转导通路的持续激活以及相对稳定的表观遗传改变</w:t>
      </w:r>
      <w:r>
        <w:rPr>
          <w:rFonts w:hint="eastAsia" w:ascii="Times New Roman" w:hAnsi="Times New Roman" w:eastAsia="宋体" w:cs="Times New Roman"/>
          <w:color w:val="auto"/>
          <w:vertAlign w:val="superscript"/>
        </w:rPr>
        <w:t>[25-26]</w:t>
      </w:r>
      <w:r>
        <w:rPr>
          <w:rFonts w:hint="eastAsia" w:ascii="Times New Roman" w:hAnsi="Times New Roman" w:eastAsia="宋体" w:cs="Times New Roman"/>
          <w:color w:val="auto"/>
        </w:rPr>
        <w:t>。在肿瘤转移过程中，原发灶高硬度环境诱导的收缩、变形和迁移适应可能因此延续至后续阶段，进而影响肿瘤细胞的循环存活、外渗和远处定植。</w:t>
      </w:r>
      <w:r>
        <w:rPr>
          <w:rFonts w:hint="eastAsia" w:ascii="Times New Roman" w:hAnsi="Times New Roman" w:eastAsia="宋体" w:cs="Times New Roman"/>
          <w:color w:val="auto"/>
          <w:lang w:val="en-US" w:eastAsia="zh-CN"/>
        </w:rPr>
        <w:t>但是</w:t>
      </w:r>
      <w:r>
        <w:rPr>
          <w:rFonts w:hint="eastAsia" w:ascii="Times New Roman" w:hAnsi="Times New Roman" w:eastAsia="宋体" w:cs="Times New Roman"/>
          <w:color w:val="auto"/>
        </w:rPr>
        <w:t>，这一机制框架目前仍主要建立在前临床证据和理论推演基础上，其在乳腺癌中的持续时间、关键维持机制及患者层面的临床意义仍需进一步验证</w:t>
      </w:r>
      <w:r>
        <w:rPr>
          <w:rFonts w:hint="eastAsia" w:ascii="Times New Roman" w:hAnsi="Times New Roman" w:eastAsia="宋体" w:cs="Times New Roman"/>
          <w:color w:val="auto"/>
          <w:vertAlign w:val="superscript"/>
        </w:rPr>
        <w:t>[26]</w:t>
      </w:r>
      <w:r>
        <w:rPr>
          <w:rFonts w:hint="eastAsia" w:ascii="Times New Roman" w:hAnsi="Times New Roman" w:eastAsia="宋体" w:cs="Times New Roman"/>
          <w:color w:val="auto"/>
        </w:rPr>
        <w:t>。</w:t>
      </w:r>
    </w:p>
    <w:p w14:paraId="2DFAD0AF">
      <w:pPr>
        <w:pStyle w:val="3"/>
        <w:spacing w:before="80" w:after="40" w:line="360" w:lineRule="auto"/>
        <w:rPr>
          <w:rFonts w:hint="eastAsia" w:ascii="宋体" w:hAnsi="宋体" w:eastAsia="宋体" w:cs="Times New Roman"/>
          <w:b/>
          <w:color w:val="auto"/>
        </w:rPr>
      </w:pPr>
      <w:r>
        <w:rPr>
          <w:rFonts w:ascii="Times New Roman" w:hAnsi="Times New Roman" w:eastAsia="宋体" w:cs="Times New Roman"/>
          <w:b/>
          <w:color w:val="auto"/>
        </w:rPr>
        <w:t xml:space="preserve">2.3 </w:t>
      </w:r>
      <w:r>
        <w:rPr>
          <w:rFonts w:hint="eastAsia" w:ascii="Times New Roman" w:hAnsi="Times New Roman" w:eastAsia="宋体" w:cs="Times New Roman"/>
          <w:b/>
          <w:color w:val="auto"/>
        </w:rPr>
        <w:t>乳腺癌受限迁移中的核力学适应与循环存活</w:t>
      </w:r>
    </w:p>
    <w:p w14:paraId="76ECB6D1">
      <w:pPr>
        <w:pStyle w:val="3"/>
        <w:spacing w:before="0" w:after="0" w:line="360" w:lineRule="auto"/>
        <w:ind w:firstLine="420"/>
        <w:jc w:val="both"/>
        <w:rPr>
          <w:rFonts w:hint="eastAsia" w:ascii="Times New Roman" w:hAnsi="Times New Roman" w:eastAsia="宋体" w:cs="Times New Roman"/>
          <w:color w:val="auto"/>
        </w:rPr>
      </w:pPr>
      <w:r>
        <w:rPr>
          <w:rFonts w:hint="eastAsia" w:ascii="Times New Roman" w:hAnsi="Times New Roman" w:eastAsia="宋体" w:cs="Times New Roman"/>
          <w:color w:val="auto"/>
        </w:rPr>
        <w:t>在乳腺癌侵袭转移过程中，受限迁移是肿瘤细胞突破局部屏障的重要环节。乳腺癌细胞穿越致密间质和基底膜孔隙时，限制因素不仅在于伪足能否伸展，还取决于细胞核能否发生可逆性形变并维持结构完整。由于细胞核是细胞内相对坚硬的结构，常成为受限迁移的主要物理瓶颈。核纤层与连接核骨架和细胞骨架复合体（</w:t>
      </w:r>
      <w:r>
        <w:rPr>
          <w:rFonts w:hint="default" w:ascii="Times New Roman" w:hAnsi="Times New Roman" w:eastAsia="宋体" w:cs="Times New Roman"/>
          <w:color w:val="auto"/>
        </w:rPr>
        <w:t>linker of nucleoskeleton and cytoskeleton，LINC</w:t>
      </w:r>
      <w:r>
        <w:rPr>
          <w:rFonts w:hint="eastAsia" w:ascii="Times New Roman" w:hAnsi="Times New Roman" w:eastAsia="宋体" w:cs="Times New Roman"/>
          <w:color w:val="auto"/>
        </w:rPr>
        <w:t>）共同调控细胞核的形变能力，并在一定程度上决定肿瘤细胞能否在穿越狭窄空间的同时维持存活</w:t>
      </w:r>
      <w:r>
        <w:rPr>
          <w:rFonts w:hint="eastAsia" w:ascii="Times New Roman" w:hAnsi="Times New Roman" w:eastAsia="宋体" w:cs="Times New Roman"/>
          <w:color w:val="auto"/>
          <w:vertAlign w:val="superscript"/>
        </w:rPr>
        <w:t>[21,27]</w:t>
      </w:r>
      <w:r>
        <w:rPr>
          <w:rFonts w:hint="eastAsia" w:ascii="Times New Roman" w:hAnsi="Times New Roman" w:eastAsia="宋体" w:cs="Times New Roman"/>
          <w:color w:val="auto"/>
        </w:rPr>
        <w:t>。在乳腺癌组织中，除核纤层蛋白A/C（lamin A/C）外，LINC复合体中的Sad1和UNC-84结构域蛋白1/2（Sad1 and UNC-84 domain-containing protein 1/2，SUN1/2）及核膜血影重复蛋白2（nuclear envelope spectrin repeat protein 2，nesprin-2）的表达也可下调</w:t>
      </w:r>
      <w:r>
        <w:rPr>
          <w:rFonts w:hint="eastAsia" w:ascii="Times New Roman" w:hAnsi="Times New Roman" w:eastAsia="宋体" w:cs="Times New Roman"/>
          <w:color w:val="auto"/>
          <w:vertAlign w:val="superscript"/>
        </w:rPr>
        <w:t>[28]</w:t>
      </w:r>
      <w:r>
        <w:rPr>
          <w:rFonts w:hint="eastAsia" w:ascii="Times New Roman" w:hAnsi="Times New Roman" w:eastAsia="宋体" w:cs="Times New Roman"/>
          <w:color w:val="auto"/>
        </w:rPr>
        <w:t>。近期研究进一步提示，核膜血影重复蛋白4（nuclear envelope spectrin repeat protein 4，nesprin-4）可能通过影响细胞极性和核力学参与乳腺癌细胞迁移和侵袭调控</w:t>
      </w:r>
      <w:r>
        <w:rPr>
          <w:rFonts w:hint="eastAsia" w:ascii="Times New Roman" w:hAnsi="Times New Roman" w:eastAsia="宋体" w:cs="Times New Roman"/>
          <w:color w:val="auto"/>
          <w:vertAlign w:val="superscript"/>
        </w:rPr>
        <w:t>[29]</w:t>
      </w:r>
      <w:r>
        <w:rPr>
          <w:rFonts w:hint="eastAsia" w:ascii="Times New Roman" w:hAnsi="Times New Roman" w:eastAsia="宋体" w:cs="Times New Roman"/>
          <w:color w:val="auto"/>
        </w:rPr>
        <w:t>。这些结果</w:t>
      </w:r>
      <w:r>
        <w:rPr>
          <w:rFonts w:hint="eastAsia" w:ascii="Times New Roman" w:hAnsi="Times New Roman" w:eastAsia="宋体" w:cs="Times New Roman"/>
          <w:color w:val="auto"/>
          <w:lang w:val="en-US" w:eastAsia="zh-CN"/>
        </w:rPr>
        <w:t>共同</w:t>
      </w:r>
      <w:r>
        <w:rPr>
          <w:rFonts w:hint="eastAsia" w:ascii="Times New Roman" w:hAnsi="Times New Roman" w:eastAsia="宋体" w:cs="Times New Roman"/>
          <w:color w:val="auto"/>
        </w:rPr>
        <w:t>提示，乳腺癌细胞的核结构重塑可能改变其细胞核形变能力，进而影响受限迁移过程。</w:t>
      </w:r>
    </w:p>
    <w:p w14:paraId="362E7E44">
      <w:pPr>
        <w:pStyle w:val="3"/>
        <w:spacing w:before="0" w:after="0" w:line="360" w:lineRule="auto"/>
        <w:ind w:firstLine="420"/>
        <w:jc w:val="both"/>
        <w:rPr>
          <w:rFonts w:hint="eastAsia" w:ascii="宋体" w:hAnsi="宋体" w:eastAsia="宋体" w:cs="Times New Roman"/>
          <w:color w:val="auto"/>
          <w:highlight w:val="none"/>
        </w:rPr>
      </w:pPr>
      <w:r>
        <w:rPr>
          <w:rFonts w:hint="eastAsia" w:eastAsia="宋体"/>
          <w:color w:val="auto"/>
        </w:rPr>
        <w:t>受限迁移过程中，细胞核需要在狭窄空间内发生可逆性形变，同时也会承受较高的结构损伤和修复压力。持续挤压会增加核膜破裂、DNA损伤及核质组分错位的风险</w:t>
      </w:r>
      <w:r>
        <w:rPr>
          <w:rFonts w:hint="eastAsia" w:eastAsia="宋体"/>
          <w:color w:val="auto"/>
          <w:vertAlign w:val="superscript"/>
        </w:rPr>
        <w:t>[30-32]</w:t>
      </w:r>
      <w:r>
        <w:rPr>
          <w:rFonts w:hint="eastAsia" w:eastAsia="宋体"/>
          <w:color w:val="auto"/>
        </w:rPr>
        <w:t>。内体分选转运所需复合体III（</w:t>
      </w:r>
      <w:r>
        <w:rPr>
          <w:rFonts w:hint="default" w:ascii="Times New Roman" w:hAnsi="Times New Roman" w:eastAsia="宋体" w:cs="Times New Roman"/>
          <w:color w:val="auto"/>
        </w:rPr>
        <w:t>endosomal sorting complex required for transport III，ESCRT-III</w:t>
      </w:r>
      <w:r>
        <w:rPr>
          <w:rFonts w:hint="eastAsia" w:eastAsia="宋体"/>
          <w:color w:val="auto"/>
        </w:rPr>
        <w:t>）参与核膜破裂后的修复，</w:t>
      </w:r>
      <w:r>
        <w:rPr>
          <w:rFonts w:hint="eastAsia" w:eastAsia="宋体"/>
          <w:color w:val="auto"/>
          <w:highlight w:val="none"/>
        </w:rPr>
        <w:t>其中</w:t>
      </w:r>
      <w:r>
        <w:rPr>
          <w:rFonts w:eastAsia="宋体"/>
          <w:color w:val="auto"/>
          <w:highlight w:val="none"/>
        </w:rPr>
        <w:t>染色质修饰蛋白7（</w:t>
      </w:r>
      <w:r>
        <w:rPr>
          <w:rFonts w:hint="default" w:ascii="Times New Roman" w:hAnsi="Times New Roman" w:eastAsia="宋体" w:cs="Times New Roman"/>
          <w:color w:val="auto"/>
          <w:highlight w:val="none"/>
        </w:rPr>
        <w:t>chromatin modifying protein 7</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CHMP7</w:t>
      </w:r>
      <w:r>
        <w:rPr>
          <w:color w:val="auto"/>
          <w:highlight w:val="none"/>
        </w:rPr>
        <w:t>）</w:t>
      </w:r>
      <w:r>
        <w:rPr>
          <w:rFonts w:hint="eastAsia" w:eastAsia="宋体"/>
          <w:color w:val="auto"/>
          <w:highlight w:val="none"/>
        </w:rPr>
        <w:t>可促进相关修复组分在破裂部位募集</w:t>
      </w:r>
      <w:r>
        <w:rPr>
          <w:rFonts w:hint="eastAsia" w:eastAsia="宋体"/>
          <w:color w:val="auto"/>
          <w:highlight w:val="none"/>
          <w:vertAlign w:val="superscript"/>
        </w:rPr>
        <w:t>[30,33]</w:t>
      </w:r>
      <w:r>
        <w:rPr>
          <w:rFonts w:hint="eastAsia" w:eastAsia="宋体"/>
          <w:color w:val="auto"/>
          <w:highlight w:val="none"/>
        </w:rPr>
        <w:t>。波形蛋白（</w:t>
      </w:r>
      <w:r>
        <w:rPr>
          <w:rFonts w:hint="eastAsia" w:eastAsia="宋体"/>
          <w:color w:val="auto"/>
          <w:highlight w:val="none"/>
          <w:lang w:val="en-US" w:eastAsia="zh-CN"/>
        </w:rPr>
        <w:t>V</w:t>
      </w:r>
      <w:r>
        <w:rPr>
          <w:rFonts w:hint="eastAsia" w:eastAsia="宋体"/>
          <w:color w:val="auto"/>
          <w:highlight w:val="none"/>
        </w:rPr>
        <w:t>imentin）则可在核周形成力学支撑网络，从而减少受限迁移过程中的核膜破裂和DNA损伤</w:t>
      </w:r>
      <w:r>
        <w:rPr>
          <w:rFonts w:hint="eastAsia" w:eastAsia="宋体"/>
          <w:color w:val="auto"/>
          <w:highlight w:val="none"/>
          <w:vertAlign w:val="superscript"/>
        </w:rPr>
        <w:t>[34]</w:t>
      </w:r>
      <w:r>
        <w:rPr>
          <w:rFonts w:hint="eastAsia" w:eastAsia="宋体"/>
          <w:color w:val="auto"/>
          <w:highlight w:val="none"/>
        </w:rPr>
        <w:t>。共济失调毛细血管扩张突变蛋白（ataxia telangiectasia mutated，ATM）可通过调节核纤层蛋白A水平影响核力学</w:t>
      </w:r>
      <w:r>
        <w:rPr>
          <w:rFonts w:hint="eastAsia"/>
          <w:color w:val="auto"/>
          <w:highlight w:val="none"/>
          <w:vertAlign w:val="superscript"/>
        </w:rPr>
        <w:t>[35]</w:t>
      </w:r>
      <w:r>
        <w:rPr>
          <w:rFonts w:hint="eastAsia" w:eastAsia="宋体"/>
          <w:color w:val="auto"/>
          <w:highlight w:val="none"/>
        </w:rPr>
        <w:t>；共济失调毛细血管扩张突变和Rad3相关蛋白（ataxia telangiectasia and Rad3-related，ATR）介导的核纤层蛋白A/C磷酸化，则与DNA损伤后的核膜稳定性变化有关</w:t>
      </w:r>
      <w:r>
        <w:rPr>
          <w:rFonts w:hint="eastAsia" w:eastAsia="宋体"/>
          <w:color w:val="auto"/>
          <w:highlight w:val="none"/>
          <w:vertAlign w:val="superscript"/>
        </w:rPr>
        <w:t>[31]</w:t>
      </w:r>
      <w:r>
        <w:rPr>
          <w:rFonts w:hint="eastAsia" w:eastAsia="宋体"/>
          <w:color w:val="auto"/>
          <w:highlight w:val="none"/>
        </w:rPr>
        <w:t>。在受限迁移阶段，核纤层蛋白A/C与波形蛋白的协同调节、线粒体极化分布所形成的能量适应以及AMP活化蛋白激酶（</w:t>
      </w:r>
      <w:r>
        <w:rPr>
          <w:rFonts w:hint="default" w:ascii="Times New Roman" w:hAnsi="Times New Roman" w:eastAsia="宋体" w:cs="Times New Roman"/>
          <w:color w:val="auto"/>
          <w:highlight w:val="none"/>
        </w:rPr>
        <w:t>AMP-activated protein kinase，AMPK</w:t>
      </w:r>
      <w:r>
        <w:rPr>
          <w:rFonts w:hint="eastAsia" w:eastAsia="宋体"/>
          <w:color w:val="auto"/>
          <w:highlight w:val="none"/>
        </w:rPr>
        <w:t>）介导的机械-代谢感应</w:t>
      </w:r>
      <w:r>
        <w:rPr>
          <w:rFonts w:hint="eastAsia"/>
          <w:color w:val="auto"/>
          <w:highlight w:val="none"/>
          <w:vertAlign w:val="superscript"/>
        </w:rPr>
        <w:t>[3</w:t>
      </w:r>
      <w:r>
        <w:rPr>
          <w:rFonts w:hint="eastAsia"/>
          <w:color w:val="auto"/>
          <w:highlight w:val="none"/>
          <w:vertAlign w:val="superscript"/>
          <w:lang w:val="en-US" w:eastAsia="zh-CN"/>
        </w:rPr>
        <w:t>6</w:t>
      </w:r>
      <w:r>
        <w:rPr>
          <w:rFonts w:hint="eastAsia"/>
          <w:color w:val="auto"/>
          <w:highlight w:val="none"/>
          <w:vertAlign w:val="superscript"/>
        </w:rPr>
        <w:t>-39]</w:t>
      </w:r>
      <w:r>
        <w:rPr>
          <w:rFonts w:hint="eastAsia" w:eastAsia="宋体"/>
          <w:color w:val="auto"/>
          <w:highlight w:val="none"/>
        </w:rPr>
        <w:t>，可能共同支持细胞持续迁移和存活。进入血液循环后，乳腺癌细胞还需应对流体剪切应力；相关研究提示，Piezo1活性变化可影响乳腺癌细胞在剪切应力下的存活</w:t>
      </w:r>
      <w:r>
        <w:rPr>
          <w:rFonts w:hint="eastAsia"/>
          <w:color w:val="auto"/>
          <w:highlight w:val="none"/>
          <w:vertAlign w:val="superscript"/>
        </w:rPr>
        <w:t>[4]</w:t>
      </w:r>
      <w:r>
        <w:rPr>
          <w:rFonts w:hint="eastAsia" w:eastAsia="宋体"/>
          <w:color w:val="auto"/>
          <w:highlight w:val="none"/>
        </w:rPr>
        <w:t>。因此，核力学适应可能贯穿乳腺癌细胞局部穿行、循环存活及后续定植等多个阶段，并在不同转移环节中发挥连续性调节作用。</w:t>
      </w:r>
    </w:p>
    <w:p w14:paraId="30AEBA4A">
      <w:pPr>
        <w:pStyle w:val="3"/>
        <w:spacing w:before="80" w:after="40" w:line="360" w:lineRule="auto"/>
        <w:rPr>
          <w:rFonts w:hint="eastAsia" w:ascii="宋体" w:hAnsi="宋体" w:eastAsia="宋体" w:cs="Times New Roman"/>
          <w:b/>
          <w:color w:val="auto"/>
        </w:rPr>
      </w:pPr>
      <w:r>
        <w:rPr>
          <w:rFonts w:hint="eastAsia" w:ascii="Times New Roman" w:hAnsi="Times New Roman" w:eastAsia="宋体" w:cs="Times New Roman"/>
          <w:b/>
          <w:color w:val="auto"/>
          <w:lang w:val="en-US" w:eastAsia="zh-CN"/>
        </w:rPr>
        <w:t>2.4</w:t>
      </w:r>
      <w:r>
        <w:rPr>
          <w:rFonts w:ascii="Times New Roman" w:hAnsi="Times New Roman" w:eastAsia="宋体" w:cs="Times New Roman"/>
          <w:b/>
          <w:color w:val="auto"/>
        </w:rPr>
        <w:t xml:space="preserve"> </w:t>
      </w:r>
      <w:r>
        <w:rPr>
          <w:rFonts w:hint="eastAsia" w:ascii="Times New Roman" w:hAnsi="Times New Roman" w:eastAsia="宋体" w:cs="Times New Roman"/>
          <w:b/>
          <w:color w:val="auto"/>
        </w:rPr>
        <w:t>乳腺癌力学微环境对血管、免疫及转移相关微环境的塑形作用</w:t>
      </w:r>
    </w:p>
    <w:p w14:paraId="3A2D7C94">
      <w:pPr>
        <w:pStyle w:val="3"/>
        <w:spacing w:before="0" w:after="0" w:line="360" w:lineRule="auto"/>
        <w:ind w:firstLine="420"/>
        <w:jc w:val="both"/>
        <w:rPr>
          <w:rFonts w:hint="eastAsia" w:ascii="宋体" w:hAnsi="宋体" w:eastAsia="宋体" w:cs="Times New Roman"/>
          <w:color w:val="auto"/>
        </w:rPr>
      </w:pPr>
      <w:r>
        <w:rPr>
          <w:rFonts w:ascii="Times New Roman" w:hAnsi="Times New Roman" w:eastAsia="宋体" w:cs="Times New Roman"/>
          <w:color w:val="auto"/>
        </w:rPr>
        <w:t>从乳腺癌原发灶微环境看，癌相关成纤维细胞-细胞外基质（c</w:t>
      </w:r>
      <w:r>
        <w:rPr>
          <w:rFonts w:hint="default" w:ascii="Times New Roman" w:hAnsi="Times New Roman" w:eastAsia="宋体" w:cs="Times New Roman"/>
          <w:color w:val="auto"/>
        </w:rPr>
        <w:t>ancer-associated fibroblast-extracellular matrix，CAF-ECM</w:t>
      </w:r>
      <w:r>
        <w:rPr>
          <w:rFonts w:ascii="Times New Roman" w:hAnsi="Times New Roman" w:eastAsia="宋体" w:cs="Times New Roman"/>
          <w:color w:val="auto"/>
        </w:rPr>
        <w:t>）轴是连接力学异常与肿瘤物理微环境重塑的重要环节之一。CAF 持续活化后，可促进胶原纤维重排，并进一步加重基质硬化。随着局部组织受力状态改变，侵袭前沿的牵引条件也随之增强。与此同时，肿瘤组织的缺氧状态可进一步加重，异常血管形成和免疫抑制微环境也进一步发展。</w:t>
      </w:r>
      <w:r>
        <w:rPr>
          <w:rFonts w:hint="eastAsia" w:ascii="Times New Roman" w:hAnsi="Times New Roman" w:eastAsia="宋体" w:cs="Times New Roman"/>
          <w:color w:val="auto"/>
        </w:rPr>
        <w:t>TNBC</w:t>
      </w:r>
      <w:r>
        <w:rPr>
          <w:rFonts w:ascii="Times New Roman" w:hAnsi="Times New Roman" w:eastAsia="宋体" w:cs="Times New Roman"/>
          <w:color w:val="auto"/>
        </w:rPr>
        <w:t>相关研究显示，较高剪切波弹性与 α-平滑肌肌动蛋白（</w:t>
      </w:r>
      <w:r>
        <w:rPr>
          <w:rFonts w:hint="default" w:ascii="Times New Roman" w:hAnsi="Times New Roman" w:eastAsia="宋体" w:cs="Times New Roman"/>
          <w:color w:val="auto"/>
        </w:rPr>
        <w:t>alpha-smooth muscle actin，alpha-SMA</w:t>
      </w:r>
      <w:r>
        <w:rPr>
          <w:rFonts w:ascii="Times New Roman" w:hAnsi="Times New Roman" w:eastAsia="宋体" w:cs="Times New Roman"/>
          <w:color w:val="auto"/>
        </w:rPr>
        <w:t>）富集及新辅助治疗耐受有关；在正位模型中，抑制 CAF 功能并降低肿瘤刚度后，缺氧可得到缓解，紫杉醇联合程序性死亡受体1（programmed death-1，PD-1）抑制剂的效应也可增强，从而降低了乳腺癌细胞的转移</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CITEREF040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40</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rPr>
        <w:t>。这些结果提示，乳腺癌中的硬基质与 CAF 活化可能共同参与转移相关微环境的形成。</w:t>
      </w:r>
    </w:p>
    <w:p w14:paraId="7E110F7B">
      <w:pPr>
        <w:pStyle w:val="3"/>
        <w:spacing w:before="0" w:after="0" w:line="360" w:lineRule="auto"/>
        <w:ind w:firstLine="420"/>
        <w:jc w:val="both"/>
        <w:rPr>
          <w:rFonts w:hint="eastAsia" w:ascii="宋体" w:hAnsi="宋体" w:eastAsia="宋体" w:cs="Times New Roman"/>
          <w:color w:val="auto"/>
        </w:rPr>
      </w:pPr>
      <w:r>
        <w:rPr>
          <w:rFonts w:eastAsia="宋体"/>
          <w:color w:val="auto"/>
        </w:rPr>
        <w:t>乳腺癌力学异常对转移相关微环境的影响还可延伸至血管和免疫层面。ECM 致密化可压迫局部微血管，造成灌注不足和药物到达受限，并进一步加重缺氧相关免疫抑制</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CITEREF003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3</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CITEREF040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40</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eastAsia="宋体"/>
          <w:color w:val="auto"/>
        </w:rPr>
        <w:t>。同时，</w:t>
      </w:r>
      <w:r>
        <w:rPr>
          <w:rFonts w:hint="eastAsia" w:eastAsia="宋体"/>
          <w:color w:val="auto"/>
          <w:highlight w:val="none"/>
        </w:rPr>
        <w:t>肿瘤硬度值</w:t>
      </w:r>
      <w:r>
        <w:rPr>
          <w:rFonts w:eastAsia="宋体"/>
          <w:color w:val="auto"/>
        </w:rPr>
        <w:t>与肿瘤浸润淋巴细胞水平之间的关系提示，其反映的可能不只是基质致密程度，还包括局部免疫状态的变化</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CITEREF041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41</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eastAsia="宋体"/>
          <w:color w:val="auto"/>
        </w:rPr>
        <w:t>。原发灶力学状态还可通过 ECM 再塑、血管生成改变及外泌体通信向远端延伸。</w:t>
      </w:r>
      <w:r>
        <w:rPr>
          <w:rFonts w:hint="eastAsia" w:eastAsia="宋体"/>
          <w:color w:val="auto"/>
        </w:rPr>
        <w:t>硬基质条件下乳腺癌细胞外泌体释放增加，且外泌体中血小板反应蛋白1（thrombospondin-1，THBS1）含量升高；敲低THBS1后，外泌体介导的细胞侵袭能力和基质金属蛋白酶9（matrix metalloproteinase-9，MMP-9）活性均下降，提示THBS1-FAK/MMP-9轴可能参与受体细胞黏附和基质重塑</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CITEREF015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15</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color w:val="auto"/>
        </w:rPr>
        <w:t>。</w:t>
      </w:r>
    </w:p>
    <w:p w14:paraId="633AA0A9">
      <w:pPr>
        <w:spacing w:line="360" w:lineRule="auto"/>
        <w:jc w:val="center"/>
        <w:rPr>
          <w:color w:val="auto"/>
        </w:rPr>
      </w:pPr>
      <w:r>
        <w:rPr>
          <w:rFonts w:ascii="Times New Roman" w:hAnsi="Times New Roman" w:cs="Times New Roman"/>
          <w:color w:val="auto"/>
          <w:sz w:val="21"/>
          <w:szCs w:val="21"/>
        </w:rPr>
        <w:drawing>
          <wp:inline distT="0" distB="0" distL="114300" distR="114300">
            <wp:extent cx="5687695" cy="3140710"/>
            <wp:effectExtent l="0" t="0" r="12065" b="139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stretch>
                      <a:fillRect/>
                    </a:stretch>
                  </pic:blipFill>
                  <pic:spPr>
                    <a:xfrm>
                      <a:off x="0" y="0"/>
                      <a:ext cx="5688000" cy="3141277"/>
                    </a:xfrm>
                    <a:prstGeom prst="rect">
                      <a:avLst/>
                    </a:prstGeom>
                  </pic:spPr>
                </pic:pic>
              </a:graphicData>
            </a:graphic>
          </wp:inline>
        </w:drawing>
      </w:r>
    </w:p>
    <w:p w14:paraId="5B325A6B">
      <w:pPr>
        <w:spacing w:line="360" w:lineRule="auto"/>
        <w:jc w:val="center"/>
        <w:rPr>
          <w:color w:val="auto"/>
          <w:sz w:val="18"/>
          <w:szCs w:val="18"/>
        </w:rPr>
      </w:pPr>
      <w:bookmarkStart w:id="0" w:name="FIG1_LABEL"/>
      <w:r>
        <w:rPr>
          <w:rFonts w:ascii="Times New Roman" w:hAnsi="Times New Roman" w:eastAsia="宋体" w:cs="Times New Roman"/>
          <w:color w:val="auto"/>
          <w:sz w:val="18"/>
          <w:szCs w:val="18"/>
        </w:rPr>
        <w:t>图1 肿瘤力学微环境通过细胞外基质重塑、机械转导和胶原排列促进乳腺癌侵袭转移的核心机制示意图</w:t>
      </w:r>
      <w:bookmarkEnd w:id="0"/>
    </w:p>
    <w:p w14:paraId="35C3B1B5">
      <w:pPr>
        <w:spacing w:line="360" w:lineRule="auto"/>
        <w:jc w:val="center"/>
        <w:rPr>
          <w:color w:val="auto"/>
          <w:sz w:val="18"/>
          <w:szCs w:val="18"/>
        </w:rPr>
      </w:pPr>
      <w:r>
        <w:rPr>
          <w:rFonts w:ascii="Times New Roman" w:hAnsi="Times New Roman" w:cs="Times New Roman"/>
          <w:color w:val="auto"/>
          <w:sz w:val="18"/>
          <w:szCs w:val="18"/>
        </w:rPr>
        <w:t>Fig.1 Core schematic of the tumor mechanical microenvironment promoting breast cancer invasion and metastasis through extracellular matrix remodeling, mechanotransduction, and collagen alignment</w:t>
      </w:r>
    </w:p>
    <w:p w14:paraId="2F8549BE">
      <w:pPr>
        <w:spacing w:line="360" w:lineRule="auto"/>
        <w:jc w:val="both"/>
        <w:rPr>
          <w:iCs/>
          <w:color w:val="auto"/>
          <w:sz w:val="18"/>
          <w:szCs w:val="18"/>
        </w:rPr>
      </w:pPr>
      <w:r>
        <w:rPr>
          <w:rFonts w:ascii="Times New Roman" w:hAnsi="Times New Roman" w:eastAsia="宋体" w:cs="Times New Roman"/>
          <w:color w:val="auto"/>
          <w:sz w:val="18"/>
          <w:szCs w:val="18"/>
        </w:rPr>
        <w:t>注：ECM 为细胞外基质（extracellular matrix）；CAF 为癌相关成纤维细胞（cancer-associated fibroblast）；LOX 为赖氨酰氧化酶（lysyl oxidase）；Integrin 为整合素；FAK 为黏附斑激酶（focal adhesion kinase）；</w:t>
      </w:r>
      <w:r>
        <w:rPr>
          <w:rFonts w:ascii="Times New Roman" w:hAnsi="Times New Roman" w:eastAsia="宋体" w:cs="Times New Roman"/>
          <w:iCs/>
          <w:color w:val="auto"/>
          <w:sz w:val="18"/>
          <w:szCs w:val="18"/>
        </w:rPr>
        <w:t>YAP/TAZ 为 Yes相关蛋白（Yes-associated protein，YAP）/含PDZ结合基序的转录共激活因子（transcriptional coactivator with PDZ-binding motif，TAZ）。</w:t>
      </w:r>
    </w:p>
    <w:p w14:paraId="276AC176">
      <w:pPr>
        <w:spacing w:line="360" w:lineRule="auto"/>
        <w:jc w:val="both"/>
        <w:rPr>
          <w:color w:val="auto"/>
          <w:sz w:val="18"/>
          <w:szCs w:val="18"/>
        </w:rPr>
      </w:pPr>
      <w:r>
        <w:rPr>
          <w:rFonts w:ascii="Times New Roman" w:hAnsi="Times New Roman" w:cs="Times New Roman"/>
          <w:color w:val="auto"/>
          <w:sz w:val="18"/>
          <w:szCs w:val="18"/>
        </w:rPr>
        <w:t xml:space="preserve"> Note: ECM, extracellular matrix; CAF, cancer-associated fibroblast; LOX, lysyl oxidase; Integrin, integrin; FAK, focal adhesion kinase; </w:t>
      </w:r>
      <w:r>
        <w:rPr>
          <w:rFonts w:ascii="Times New Roman" w:hAnsi="Times New Roman" w:cs="Times New Roman"/>
          <w:iCs/>
          <w:color w:val="auto"/>
          <w:sz w:val="18"/>
          <w:szCs w:val="18"/>
        </w:rPr>
        <w:t>YAP/TAZ</w:t>
      </w:r>
      <w:r>
        <w:rPr>
          <w:rFonts w:ascii="Times New Roman" w:hAnsi="Times New Roman" w:cs="Times New Roman"/>
          <w:color w:val="auto"/>
          <w:sz w:val="18"/>
          <w:szCs w:val="18"/>
        </w:rPr>
        <w:t>, Yes-associated protein/transcriptional coactivator with PDZ-binding motif.</w:t>
      </w:r>
    </w:p>
    <w:p w14:paraId="458C91A0">
      <w:pPr>
        <w:spacing w:after="20" w:line="360" w:lineRule="auto"/>
        <w:jc w:val="center"/>
        <w:rPr>
          <w:color w:val="auto"/>
          <w:sz w:val="18"/>
          <w:szCs w:val="18"/>
        </w:rPr>
      </w:pPr>
      <w:bookmarkStart w:id="1" w:name="TAB1_LABEL"/>
      <w:r>
        <w:rPr>
          <w:rFonts w:ascii="Times New Roman" w:hAnsi="Times New Roman" w:eastAsia="宋体" w:cs="Times New Roman"/>
          <w:b/>
          <w:color w:val="auto"/>
          <w:sz w:val="18"/>
          <w:szCs w:val="18"/>
        </w:rPr>
        <w:t>表1 乳腺癌力学微环境与侵袭转移相关的关键机制证据汇总</w:t>
      </w:r>
      <w:bookmarkEnd w:id="1"/>
    </w:p>
    <w:p w14:paraId="3CBB8516">
      <w:pPr>
        <w:spacing w:after="40" w:line="360" w:lineRule="auto"/>
        <w:jc w:val="center"/>
        <w:rPr>
          <w:color w:val="auto"/>
          <w:sz w:val="18"/>
          <w:szCs w:val="18"/>
        </w:rPr>
      </w:pPr>
      <w:r>
        <w:rPr>
          <w:rFonts w:ascii="Times New Roman" w:hAnsi="Times New Roman" w:eastAsia="宋体" w:cs="Times New Roman"/>
          <w:b/>
          <w:color w:val="auto"/>
          <w:sz w:val="18"/>
          <w:szCs w:val="18"/>
        </w:rPr>
        <w:t>Tab.1 Key mechanistic evidence linking the mechanical microenvironment to breast cancer invasion and metastasis</w:t>
      </w:r>
    </w:p>
    <w:tbl>
      <w:tblPr>
        <w:tblStyle w:val="20"/>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44"/>
        <w:gridCol w:w="2041"/>
        <w:gridCol w:w="2665"/>
        <w:gridCol w:w="2494"/>
        <w:gridCol w:w="680"/>
      </w:tblGrid>
      <w:tr w14:paraId="57EC171D">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blHeader/>
          <w:jc w:val="center"/>
        </w:trPr>
        <w:tc>
          <w:tcPr>
            <w:tcW w:w="1644" w:type="dxa"/>
            <w:tcBorders>
              <w:top w:val="single" w:color="000000" w:sz="8" w:space="0"/>
              <w:left w:val="nil"/>
              <w:bottom w:val="single" w:color="000000" w:sz="8" w:space="0"/>
              <w:right w:val="nil"/>
            </w:tcBorders>
            <w:tcMar>
              <w:top w:w="60" w:type="dxa"/>
              <w:left w:w="80" w:type="dxa"/>
              <w:bottom w:w="60" w:type="dxa"/>
              <w:right w:w="80" w:type="dxa"/>
            </w:tcMar>
            <w:vAlign w:val="center"/>
          </w:tcPr>
          <w:p w14:paraId="00ED6E4B">
            <w:pPr>
              <w:spacing w:after="0" w:line="360" w:lineRule="auto"/>
              <w:jc w:val="center"/>
              <w:rPr>
                <w:color w:val="auto"/>
                <w:sz w:val="18"/>
                <w:szCs w:val="18"/>
              </w:rPr>
            </w:pPr>
            <w:r>
              <w:rPr>
                <w:rFonts w:ascii="Times New Roman" w:hAnsi="Times New Roman" w:eastAsia="宋体" w:cs="Times New Roman"/>
                <w:b/>
                <w:color w:val="auto"/>
                <w:sz w:val="18"/>
                <w:szCs w:val="18"/>
              </w:rPr>
              <w:t>Mechanism module</w:t>
            </w:r>
          </w:p>
        </w:tc>
        <w:tc>
          <w:tcPr>
            <w:tcW w:w="2041" w:type="dxa"/>
            <w:tcBorders>
              <w:top w:val="single" w:color="000000" w:sz="8" w:space="0"/>
              <w:left w:val="nil"/>
              <w:bottom w:val="single" w:color="000000" w:sz="8" w:space="0"/>
              <w:right w:val="nil"/>
            </w:tcBorders>
            <w:tcMar>
              <w:top w:w="60" w:type="dxa"/>
              <w:left w:w="80" w:type="dxa"/>
              <w:bottom w:w="60" w:type="dxa"/>
              <w:right w:w="80" w:type="dxa"/>
            </w:tcMar>
            <w:vAlign w:val="center"/>
          </w:tcPr>
          <w:p w14:paraId="2FACE9CC">
            <w:pPr>
              <w:spacing w:after="0" w:line="360" w:lineRule="auto"/>
              <w:jc w:val="center"/>
              <w:rPr>
                <w:color w:val="auto"/>
                <w:sz w:val="18"/>
                <w:szCs w:val="18"/>
              </w:rPr>
            </w:pPr>
            <w:r>
              <w:rPr>
                <w:rFonts w:ascii="Times New Roman" w:hAnsi="Times New Roman" w:eastAsia="宋体" w:cs="Times New Roman"/>
                <w:b/>
                <w:color w:val="auto"/>
                <w:sz w:val="18"/>
                <w:szCs w:val="18"/>
              </w:rPr>
              <w:t>Representative factors</w:t>
            </w:r>
          </w:p>
        </w:tc>
        <w:tc>
          <w:tcPr>
            <w:tcW w:w="2665" w:type="dxa"/>
            <w:tcBorders>
              <w:top w:val="single" w:color="000000" w:sz="8" w:space="0"/>
              <w:left w:val="nil"/>
              <w:bottom w:val="single" w:color="000000" w:sz="8" w:space="0"/>
              <w:right w:val="nil"/>
            </w:tcBorders>
            <w:tcMar>
              <w:top w:w="60" w:type="dxa"/>
              <w:left w:w="80" w:type="dxa"/>
              <w:bottom w:w="60" w:type="dxa"/>
              <w:right w:w="80" w:type="dxa"/>
            </w:tcMar>
            <w:vAlign w:val="center"/>
          </w:tcPr>
          <w:p w14:paraId="1791F395">
            <w:pPr>
              <w:spacing w:after="0" w:line="360" w:lineRule="auto"/>
              <w:jc w:val="center"/>
              <w:rPr>
                <w:color w:val="auto"/>
                <w:sz w:val="18"/>
                <w:szCs w:val="18"/>
              </w:rPr>
            </w:pPr>
            <w:r>
              <w:rPr>
                <w:rFonts w:ascii="Times New Roman" w:hAnsi="Times New Roman" w:eastAsia="宋体" w:cs="Times New Roman"/>
                <w:b/>
                <w:color w:val="auto"/>
                <w:sz w:val="18"/>
                <w:szCs w:val="18"/>
              </w:rPr>
              <w:t>Mechanism of action</w:t>
            </w:r>
          </w:p>
        </w:tc>
        <w:tc>
          <w:tcPr>
            <w:tcW w:w="2494" w:type="dxa"/>
            <w:tcBorders>
              <w:top w:val="single" w:color="000000" w:sz="8" w:space="0"/>
              <w:left w:val="nil"/>
              <w:bottom w:val="single" w:color="000000" w:sz="8" w:space="0"/>
              <w:right w:val="nil"/>
            </w:tcBorders>
            <w:tcMar>
              <w:top w:w="60" w:type="dxa"/>
              <w:left w:w="80" w:type="dxa"/>
              <w:bottom w:w="60" w:type="dxa"/>
              <w:right w:w="80" w:type="dxa"/>
            </w:tcMar>
            <w:vAlign w:val="center"/>
          </w:tcPr>
          <w:p w14:paraId="553A4A25">
            <w:pPr>
              <w:spacing w:after="0" w:line="360" w:lineRule="auto"/>
              <w:jc w:val="center"/>
              <w:rPr>
                <w:color w:val="auto"/>
                <w:sz w:val="18"/>
                <w:szCs w:val="18"/>
              </w:rPr>
            </w:pPr>
            <w:r>
              <w:rPr>
                <w:rFonts w:ascii="Times New Roman" w:hAnsi="Times New Roman" w:eastAsia="宋体" w:cs="Times New Roman"/>
                <w:b/>
                <w:color w:val="auto"/>
                <w:sz w:val="18"/>
                <w:szCs w:val="18"/>
              </w:rPr>
              <w:t>Impact on breast cancer</w:t>
            </w:r>
          </w:p>
        </w:tc>
        <w:tc>
          <w:tcPr>
            <w:tcW w:w="680" w:type="dxa"/>
            <w:tcBorders>
              <w:top w:val="single" w:color="000000" w:sz="8" w:space="0"/>
              <w:left w:val="nil"/>
              <w:bottom w:val="single" w:color="000000" w:sz="8" w:space="0"/>
              <w:right w:val="nil"/>
            </w:tcBorders>
            <w:tcMar>
              <w:top w:w="60" w:type="dxa"/>
              <w:left w:w="80" w:type="dxa"/>
              <w:bottom w:w="60" w:type="dxa"/>
              <w:right w:w="80" w:type="dxa"/>
            </w:tcMar>
            <w:vAlign w:val="center"/>
          </w:tcPr>
          <w:p w14:paraId="383B59AD">
            <w:pPr>
              <w:spacing w:after="0" w:line="360" w:lineRule="auto"/>
              <w:jc w:val="center"/>
              <w:rPr>
                <w:color w:val="auto"/>
                <w:sz w:val="18"/>
                <w:szCs w:val="18"/>
              </w:rPr>
            </w:pPr>
            <w:r>
              <w:rPr>
                <w:rFonts w:ascii="Times New Roman" w:hAnsi="Times New Roman" w:eastAsia="宋体" w:cs="Times New Roman"/>
                <w:b/>
                <w:color w:val="auto"/>
                <w:sz w:val="18"/>
                <w:szCs w:val="18"/>
              </w:rPr>
              <w:t>References</w:t>
            </w:r>
          </w:p>
        </w:tc>
      </w:tr>
      <w:tr w14:paraId="6906DA2E">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4" w:type="dxa"/>
            <w:tcBorders>
              <w:top w:val="nil"/>
              <w:left w:val="nil"/>
              <w:bottom w:val="nil"/>
              <w:right w:val="nil"/>
            </w:tcBorders>
            <w:tcMar>
              <w:top w:w="60" w:type="dxa"/>
              <w:left w:w="80" w:type="dxa"/>
              <w:bottom w:w="60" w:type="dxa"/>
              <w:right w:w="80" w:type="dxa"/>
            </w:tcMar>
            <w:vAlign w:val="center"/>
          </w:tcPr>
          <w:p w14:paraId="173FA880">
            <w:pPr>
              <w:spacing w:after="0" w:line="360" w:lineRule="auto"/>
              <w:rPr>
                <w:color w:val="auto"/>
                <w:sz w:val="18"/>
                <w:szCs w:val="18"/>
              </w:rPr>
            </w:pPr>
            <w:r>
              <w:rPr>
                <w:rFonts w:ascii="Times New Roman" w:hAnsi="Times New Roman" w:eastAsia="宋体" w:cs="Times New Roman"/>
                <w:color w:val="auto"/>
                <w:sz w:val="18"/>
                <w:szCs w:val="18"/>
              </w:rPr>
              <w:t>ECM remodeling and matrix stiffening</w:t>
            </w:r>
          </w:p>
        </w:tc>
        <w:tc>
          <w:tcPr>
            <w:tcW w:w="2041" w:type="dxa"/>
            <w:tcBorders>
              <w:top w:val="nil"/>
              <w:left w:val="nil"/>
              <w:bottom w:val="nil"/>
              <w:right w:val="nil"/>
            </w:tcBorders>
            <w:tcMar>
              <w:top w:w="60" w:type="dxa"/>
              <w:left w:w="80" w:type="dxa"/>
              <w:bottom w:w="60" w:type="dxa"/>
              <w:right w:w="80" w:type="dxa"/>
            </w:tcMar>
            <w:vAlign w:val="center"/>
          </w:tcPr>
          <w:p w14:paraId="002FFEBC">
            <w:pPr>
              <w:spacing w:after="0" w:line="360" w:lineRule="auto"/>
              <w:rPr>
                <w:color w:val="auto"/>
                <w:sz w:val="18"/>
                <w:szCs w:val="18"/>
              </w:rPr>
            </w:pPr>
            <w:r>
              <w:rPr>
                <w:rFonts w:ascii="Times New Roman" w:hAnsi="Times New Roman" w:eastAsia="宋体" w:cs="Times New Roman"/>
                <w:color w:val="auto"/>
                <w:sz w:val="18"/>
                <w:szCs w:val="18"/>
              </w:rPr>
              <w:t>ECM accumulation, collagen realignment, periostin</w:t>
            </w:r>
            <w:r>
              <w:rPr>
                <w:rFonts w:ascii="Times New Roman" w:hAnsi="Times New Roman" w:cs="Times New Roman"/>
                <w:color w:val="auto"/>
                <w:sz w:val="18"/>
                <w:szCs w:val="18"/>
              </w:rPr>
              <w:t xml:space="preserve">-integrin signaling, </w:t>
            </w:r>
            <w:r>
              <w:rPr>
                <w:rFonts w:ascii="Times New Roman" w:hAnsi="Times New Roman" w:cs="Times New Roman"/>
                <w:i/>
                <w:color w:val="auto"/>
                <w:sz w:val="18"/>
                <w:szCs w:val="18"/>
              </w:rPr>
              <w:t>LOXL2</w:t>
            </w:r>
          </w:p>
        </w:tc>
        <w:tc>
          <w:tcPr>
            <w:tcW w:w="2665" w:type="dxa"/>
            <w:tcBorders>
              <w:top w:val="nil"/>
              <w:left w:val="nil"/>
              <w:bottom w:val="nil"/>
              <w:right w:val="nil"/>
            </w:tcBorders>
            <w:tcMar>
              <w:top w:w="60" w:type="dxa"/>
              <w:left w:w="80" w:type="dxa"/>
              <w:bottom w:w="60" w:type="dxa"/>
              <w:right w:w="80" w:type="dxa"/>
            </w:tcMar>
            <w:vAlign w:val="center"/>
          </w:tcPr>
          <w:p w14:paraId="4C4C29AB">
            <w:pPr>
              <w:spacing w:after="0" w:line="360" w:lineRule="auto"/>
              <w:rPr>
                <w:color w:val="auto"/>
                <w:sz w:val="18"/>
                <w:szCs w:val="18"/>
              </w:rPr>
            </w:pPr>
            <w:r>
              <w:rPr>
                <w:rFonts w:ascii="Times New Roman" w:hAnsi="Times New Roman" w:eastAsia="宋体" w:cs="Times New Roman"/>
                <w:color w:val="auto"/>
                <w:sz w:val="18"/>
                <w:szCs w:val="18"/>
              </w:rPr>
              <w:t>Reshapes the invasive front and amplifies local force transmission before downstream mechanotransduction is engaged</w:t>
            </w:r>
          </w:p>
        </w:tc>
        <w:tc>
          <w:tcPr>
            <w:tcW w:w="2494" w:type="dxa"/>
            <w:tcBorders>
              <w:top w:val="nil"/>
              <w:left w:val="nil"/>
              <w:bottom w:val="nil"/>
              <w:right w:val="nil"/>
            </w:tcBorders>
            <w:tcMar>
              <w:top w:w="60" w:type="dxa"/>
              <w:left w:w="80" w:type="dxa"/>
              <w:bottom w:w="60" w:type="dxa"/>
              <w:right w:w="80" w:type="dxa"/>
            </w:tcMar>
            <w:vAlign w:val="center"/>
          </w:tcPr>
          <w:p w14:paraId="20E767E1">
            <w:pPr>
              <w:spacing w:after="0" w:line="360" w:lineRule="auto"/>
              <w:rPr>
                <w:color w:val="auto"/>
                <w:sz w:val="18"/>
                <w:szCs w:val="18"/>
              </w:rPr>
            </w:pPr>
            <w:r>
              <w:rPr>
                <w:rFonts w:ascii="Times New Roman" w:hAnsi="Times New Roman" w:eastAsia="宋体" w:cs="Times New Roman"/>
                <w:color w:val="auto"/>
                <w:sz w:val="18"/>
                <w:szCs w:val="18"/>
              </w:rPr>
              <w:t>May facilitate invasion initiation and local tissue breach, but patient-level dynamic validation remains limited</w:t>
            </w:r>
          </w:p>
        </w:tc>
        <w:tc>
          <w:tcPr>
            <w:tcW w:w="680" w:type="dxa"/>
            <w:tcBorders>
              <w:top w:val="nil"/>
              <w:left w:val="nil"/>
              <w:bottom w:val="nil"/>
              <w:right w:val="nil"/>
            </w:tcBorders>
            <w:tcMar>
              <w:top w:w="60" w:type="dxa"/>
              <w:left w:w="80" w:type="dxa"/>
              <w:bottom w:w="60" w:type="dxa"/>
              <w:right w:w="80" w:type="dxa"/>
            </w:tcMar>
            <w:vAlign w:val="center"/>
          </w:tcPr>
          <w:p w14:paraId="6888F409">
            <w:pPr>
              <w:spacing w:after="0" w:line="360" w:lineRule="auto"/>
              <w:jc w:val="center"/>
              <w:rPr>
                <w:color w:val="auto"/>
                <w:sz w:val="18"/>
                <w:szCs w:val="18"/>
              </w:rPr>
            </w:pPr>
            <w:r>
              <w:rPr>
                <w:rFonts w:ascii="Times New Roman" w:hAnsi="Times New Roman" w:eastAsia="宋体" w:cs="Times New Roman"/>
                <w:color w:val="auto"/>
                <w:sz w:val="18"/>
                <w:szCs w:val="18"/>
                <w:vertAlign w:val="superscript"/>
              </w:rPr>
              <w:t>[3,5,9,16,42]</w:t>
            </w:r>
            <w:r>
              <w:rPr>
                <w:rFonts w:ascii="Times New Roman" w:hAnsi="Times New Roman" w:eastAsia="宋体" w:cs="Times New Roman"/>
                <w:color w:val="auto"/>
                <w:sz w:val="18"/>
                <w:szCs w:val="18"/>
                <w:vertAlign w:val="superscript"/>
              </w:rPr>
              <w:fldChar w:fldCharType="begin"/>
            </w:r>
            <w:r>
              <w:instrText xml:space="preserve"> REF CITEREF003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fldChar w:fldCharType="begin"/>
            </w:r>
            <w:r>
              <w:instrText xml:space="preserve"> REF CITEREF005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fldChar w:fldCharType="begin"/>
            </w:r>
            <w:r>
              <w:instrText xml:space="preserve"> REF CITEREF009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fldChar w:fldCharType="begin"/>
            </w:r>
            <w:r>
              <w:instrText xml:space="preserve"> REF CITEREF016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fldChar w:fldCharType="begin"/>
            </w:r>
            <w:r>
              <w:instrText xml:space="preserve"> REF CITEREF043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fldChar w:fldCharType="end"/>
            </w:r>
          </w:p>
        </w:tc>
      </w:tr>
      <w:tr w14:paraId="44239050">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4" w:type="dxa"/>
            <w:tcBorders>
              <w:top w:val="nil"/>
              <w:left w:val="nil"/>
              <w:bottom w:val="nil"/>
              <w:right w:val="nil"/>
            </w:tcBorders>
            <w:tcMar>
              <w:top w:w="60" w:type="dxa"/>
              <w:left w:w="80" w:type="dxa"/>
              <w:bottom w:w="60" w:type="dxa"/>
              <w:right w:w="80" w:type="dxa"/>
            </w:tcMar>
            <w:vAlign w:val="center"/>
          </w:tcPr>
          <w:p w14:paraId="46ECF98B">
            <w:pPr>
              <w:spacing w:after="0" w:line="360" w:lineRule="auto"/>
              <w:rPr>
                <w:color w:val="auto"/>
                <w:sz w:val="18"/>
                <w:szCs w:val="18"/>
              </w:rPr>
            </w:pPr>
            <w:r>
              <w:rPr>
                <w:rFonts w:ascii="Times New Roman" w:hAnsi="Times New Roman" w:eastAsia="宋体" w:cs="Times New Roman"/>
                <w:color w:val="auto"/>
                <w:sz w:val="18"/>
                <w:szCs w:val="18"/>
              </w:rPr>
              <w:t>Collagen alignment and TACS-related architecture</w:t>
            </w:r>
          </w:p>
        </w:tc>
        <w:tc>
          <w:tcPr>
            <w:tcW w:w="2041" w:type="dxa"/>
            <w:tcBorders>
              <w:top w:val="nil"/>
              <w:left w:val="nil"/>
              <w:bottom w:val="nil"/>
              <w:right w:val="nil"/>
            </w:tcBorders>
            <w:tcMar>
              <w:top w:w="60" w:type="dxa"/>
              <w:left w:w="80" w:type="dxa"/>
              <w:bottom w:w="60" w:type="dxa"/>
              <w:right w:w="80" w:type="dxa"/>
            </w:tcMar>
            <w:vAlign w:val="center"/>
          </w:tcPr>
          <w:p w14:paraId="0C2E1361">
            <w:pPr>
              <w:spacing w:after="0" w:line="360" w:lineRule="auto"/>
              <w:rPr>
                <w:color w:val="auto"/>
                <w:sz w:val="18"/>
                <w:szCs w:val="18"/>
              </w:rPr>
            </w:pPr>
            <w:r>
              <w:rPr>
                <w:rFonts w:ascii="Times New Roman" w:hAnsi="Times New Roman" w:eastAsia="宋体" w:cs="Times New Roman"/>
                <w:color w:val="auto"/>
                <w:sz w:val="18"/>
                <w:szCs w:val="18"/>
              </w:rPr>
              <w:t>SHG/TACS, TACS-3, aligned collagen bundles</w:t>
            </w:r>
          </w:p>
        </w:tc>
        <w:tc>
          <w:tcPr>
            <w:tcW w:w="2665" w:type="dxa"/>
            <w:tcBorders>
              <w:top w:val="nil"/>
              <w:left w:val="nil"/>
              <w:bottom w:val="nil"/>
              <w:right w:val="nil"/>
            </w:tcBorders>
            <w:tcMar>
              <w:top w:w="60" w:type="dxa"/>
              <w:left w:w="80" w:type="dxa"/>
              <w:bottom w:w="60" w:type="dxa"/>
              <w:right w:w="80" w:type="dxa"/>
            </w:tcMar>
            <w:vAlign w:val="center"/>
          </w:tcPr>
          <w:p w14:paraId="5EAA2775">
            <w:pPr>
              <w:spacing w:after="0" w:line="360" w:lineRule="auto"/>
              <w:rPr>
                <w:color w:val="auto"/>
                <w:sz w:val="18"/>
                <w:szCs w:val="18"/>
              </w:rPr>
            </w:pPr>
            <w:r>
              <w:rPr>
                <w:rFonts w:ascii="Times New Roman" w:hAnsi="Times New Roman" w:eastAsia="宋体" w:cs="Times New Roman"/>
                <w:color w:val="auto"/>
                <w:sz w:val="18"/>
                <w:szCs w:val="18"/>
              </w:rPr>
              <w:t>Creates a stromal structure that is more permissive for directional migration and invasion-front advance</w:t>
            </w:r>
          </w:p>
        </w:tc>
        <w:tc>
          <w:tcPr>
            <w:tcW w:w="2494" w:type="dxa"/>
            <w:tcBorders>
              <w:top w:val="nil"/>
              <w:left w:val="nil"/>
              <w:bottom w:val="nil"/>
              <w:right w:val="nil"/>
            </w:tcBorders>
            <w:tcMar>
              <w:top w:w="60" w:type="dxa"/>
              <w:left w:w="80" w:type="dxa"/>
              <w:bottom w:w="60" w:type="dxa"/>
              <w:right w:w="80" w:type="dxa"/>
            </w:tcMar>
            <w:vAlign w:val="center"/>
          </w:tcPr>
          <w:p w14:paraId="40B8AEB0">
            <w:pPr>
              <w:spacing w:after="0" w:line="360" w:lineRule="auto"/>
              <w:rPr>
                <w:color w:val="auto"/>
                <w:sz w:val="18"/>
                <w:szCs w:val="18"/>
              </w:rPr>
            </w:pPr>
            <w:r>
              <w:rPr>
                <w:rFonts w:ascii="Times New Roman" w:hAnsi="Times New Roman" w:eastAsia="宋体" w:cs="Times New Roman"/>
                <w:color w:val="auto"/>
                <w:sz w:val="18"/>
                <w:szCs w:val="18"/>
              </w:rPr>
              <w:t>Associated with distant metastatic risk and poorer survival, offering a structural stratification cue</w:t>
            </w:r>
          </w:p>
        </w:tc>
        <w:tc>
          <w:tcPr>
            <w:tcW w:w="680" w:type="dxa"/>
            <w:tcBorders>
              <w:top w:val="nil"/>
              <w:left w:val="nil"/>
              <w:bottom w:val="nil"/>
              <w:right w:val="nil"/>
            </w:tcBorders>
            <w:tcMar>
              <w:top w:w="60" w:type="dxa"/>
              <w:left w:w="80" w:type="dxa"/>
              <w:bottom w:w="60" w:type="dxa"/>
              <w:right w:w="80" w:type="dxa"/>
            </w:tcMar>
            <w:vAlign w:val="center"/>
          </w:tcPr>
          <w:p w14:paraId="08126118">
            <w:pPr>
              <w:spacing w:after="0" w:line="360" w:lineRule="auto"/>
              <w:jc w:val="center"/>
              <w:rPr>
                <w:color w:val="auto"/>
                <w:sz w:val="18"/>
                <w:szCs w:val="18"/>
              </w:rPr>
            </w:pPr>
            <w:r>
              <w:rPr>
                <w:rFonts w:ascii="Times New Roman" w:hAnsi="Times New Roman" w:eastAsia="宋体" w:cs="Times New Roman"/>
                <w:color w:val="auto"/>
                <w:sz w:val="18"/>
                <w:szCs w:val="18"/>
                <w:vertAlign w:val="superscript"/>
              </w:rPr>
              <w:t>[7,43]</w:t>
            </w:r>
            <w:r>
              <w:rPr>
                <w:rFonts w:ascii="Times New Roman" w:hAnsi="Times New Roman" w:eastAsia="宋体" w:cs="Times New Roman"/>
                <w:color w:val="auto"/>
                <w:sz w:val="18"/>
                <w:szCs w:val="18"/>
                <w:vertAlign w:val="superscript"/>
              </w:rPr>
              <w:fldChar w:fldCharType="begin"/>
            </w:r>
            <w:r>
              <w:instrText xml:space="preserve"> REF CITEREF007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fldChar w:fldCharType="begin"/>
            </w:r>
            <w:r>
              <w:instrText xml:space="preserve"> REF CITEREF044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fldChar w:fldCharType="end"/>
            </w:r>
          </w:p>
        </w:tc>
      </w:tr>
      <w:tr w14:paraId="7E715CE0">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4" w:type="dxa"/>
            <w:tcBorders>
              <w:top w:val="nil"/>
              <w:left w:val="nil"/>
              <w:bottom w:val="nil"/>
              <w:right w:val="nil"/>
            </w:tcBorders>
            <w:tcMar>
              <w:top w:w="60" w:type="dxa"/>
              <w:left w:w="80" w:type="dxa"/>
              <w:bottom w:w="60" w:type="dxa"/>
              <w:right w:w="80" w:type="dxa"/>
            </w:tcMar>
            <w:vAlign w:val="center"/>
          </w:tcPr>
          <w:p w14:paraId="2364288D">
            <w:pPr>
              <w:spacing w:after="0" w:line="360" w:lineRule="auto"/>
              <w:rPr>
                <w:color w:val="auto"/>
                <w:sz w:val="18"/>
                <w:szCs w:val="18"/>
              </w:rPr>
            </w:pPr>
            <w:r>
              <w:rPr>
                <w:rFonts w:ascii="Times New Roman" w:hAnsi="Times New Roman" w:eastAsia="宋体" w:cs="Times New Roman"/>
                <w:color w:val="auto"/>
                <w:sz w:val="18"/>
                <w:szCs w:val="18"/>
              </w:rPr>
              <w:t>Focal-adhesion and cytoskeletal mechanotransduction</w:t>
            </w:r>
          </w:p>
        </w:tc>
        <w:tc>
          <w:tcPr>
            <w:tcW w:w="2041" w:type="dxa"/>
            <w:tcBorders>
              <w:top w:val="nil"/>
              <w:left w:val="nil"/>
              <w:bottom w:val="nil"/>
              <w:right w:val="nil"/>
            </w:tcBorders>
            <w:tcMar>
              <w:top w:w="60" w:type="dxa"/>
              <w:left w:w="80" w:type="dxa"/>
              <w:bottom w:w="60" w:type="dxa"/>
              <w:right w:w="80" w:type="dxa"/>
            </w:tcMar>
            <w:vAlign w:val="center"/>
          </w:tcPr>
          <w:p w14:paraId="54747ABE">
            <w:pPr>
              <w:spacing w:after="0" w:line="360" w:lineRule="auto"/>
              <w:rPr>
                <w:color w:val="auto"/>
                <w:sz w:val="18"/>
                <w:szCs w:val="18"/>
              </w:rPr>
            </w:pPr>
            <w:r>
              <w:rPr>
                <w:rFonts w:ascii="Times New Roman" w:hAnsi="Times New Roman" w:cs="Times New Roman"/>
                <w:i/>
                <w:color w:val="auto"/>
                <w:sz w:val="18"/>
                <w:szCs w:val="18"/>
              </w:rPr>
              <w:t>ULK1/2</w:t>
            </w:r>
            <w:r>
              <w:rPr>
                <w:rFonts w:ascii="Times New Roman" w:hAnsi="Times New Roman" w:cs="Times New Roman"/>
                <w:color w:val="auto"/>
                <w:sz w:val="18"/>
                <w:szCs w:val="18"/>
              </w:rPr>
              <w:t>-</w:t>
            </w:r>
            <w:r>
              <w:rPr>
                <w:rFonts w:ascii="Times New Roman" w:hAnsi="Times New Roman" w:cs="Times New Roman"/>
                <w:i/>
                <w:color w:val="auto"/>
                <w:sz w:val="18"/>
                <w:szCs w:val="18"/>
              </w:rPr>
              <w:t>PXN</w:t>
            </w:r>
            <w:r>
              <w:rPr>
                <w:rFonts w:ascii="Times New Roman" w:hAnsi="Times New Roman" w:cs="Times New Roman"/>
                <w:color w:val="auto"/>
                <w:sz w:val="18"/>
                <w:szCs w:val="18"/>
              </w:rPr>
              <w:t>, integrin/FAK/</w:t>
            </w:r>
            <w:r>
              <w:rPr>
                <w:rFonts w:ascii="Times New Roman" w:hAnsi="Times New Roman" w:eastAsia="宋体" w:cs="Times New Roman"/>
                <w:color w:val="auto"/>
                <w:sz w:val="18"/>
                <w:szCs w:val="18"/>
              </w:rPr>
              <w:t>Src, traction redistribution</w:t>
            </w:r>
          </w:p>
        </w:tc>
        <w:tc>
          <w:tcPr>
            <w:tcW w:w="2665" w:type="dxa"/>
            <w:tcBorders>
              <w:top w:val="nil"/>
              <w:left w:val="nil"/>
              <w:bottom w:val="nil"/>
              <w:right w:val="nil"/>
            </w:tcBorders>
            <w:tcMar>
              <w:top w:w="60" w:type="dxa"/>
              <w:left w:w="80" w:type="dxa"/>
              <w:bottom w:w="60" w:type="dxa"/>
              <w:right w:w="80" w:type="dxa"/>
            </w:tcMar>
            <w:vAlign w:val="center"/>
          </w:tcPr>
          <w:p w14:paraId="1395BCD8">
            <w:pPr>
              <w:spacing w:after="0" w:line="360" w:lineRule="auto"/>
              <w:rPr>
                <w:color w:val="auto"/>
                <w:sz w:val="18"/>
                <w:szCs w:val="18"/>
              </w:rPr>
            </w:pPr>
            <w:r>
              <w:rPr>
                <w:rFonts w:ascii="Times New Roman" w:hAnsi="Times New Roman" w:eastAsia="宋体" w:cs="Times New Roman"/>
                <w:color w:val="auto"/>
                <w:sz w:val="18"/>
                <w:szCs w:val="18"/>
              </w:rPr>
              <w:t>Converts external force changes into migration, contractility, and local invasion programs</w:t>
            </w:r>
          </w:p>
        </w:tc>
        <w:tc>
          <w:tcPr>
            <w:tcW w:w="2494" w:type="dxa"/>
            <w:tcBorders>
              <w:top w:val="nil"/>
              <w:left w:val="nil"/>
              <w:bottom w:val="nil"/>
              <w:right w:val="nil"/>
            </w:tcBorders>
            <w:tcMar>
              <w:top w:w="60" w:type="dxa"/>
              <w:left w:w="80" w:type="dxa"/>
              <w:bottom w:w="60" w:type="dxa"/>
              <w:right w:w="80" w:type="dxa"/>
            </w:tcMar>
            <w:vAlign w:val="center"/>
          </w:tcPr>
          <w:p w14:paraId="727A5A92">
            <w:pPr>
              <w:spacing w:after="0" w:line="360" w:lineRule="auto"/>
              <w:rPr>
                <w:color w:val="auto"/>
                <w:sz w:val="18"/>
                <w:szCs w:val="18"/>
              </w:rPr>
            </w:pPr>
            <w:r>
              <w:rPr>
                <w:rFonts w:ascii="Times New Roman" w:hAnsi="Times New Roman" w:eastAsia="宋体" w:cs="Times New Roman"/>
                <w:color w:val="auto"/>
                <w:sz w:val="18"/>
                <w:szCs w:val="18"/>
              </w:rPr>
              <w:t>May enhance collective invasion and metastatic dissemination; some FAK-centered studies also suggest links to angiogenesis or immune escape</w:t>
            </w:r>
          </w:p>
        </w:tc>
        <w:tc>
          <w:tcPr>
            <w:tcW w:w="680" w:type="dxa"/>
            <w:tcBorders>
              <w:top w:val="nil"/>
              <w:left w:val="nil"/>
              <w:bottom w:val="nil"/>
              <w:right w:val="nil"/>
            </w:tcBorders>
            <w:tcMar>
              <w:top w:w="60" w:type="dxa"/>
              <w:left w:w="80" w:type="dxa"/>
              <w:bottom w:w="60" w:type="dxa"/>
              <w:right w:w="80" w:type="dxa"/>
            </w:tcMar>
            <w:vAlign w:val="center"/>
          </w:tcPr>
          <w:p w14:paraId="5AF18467">
            <w:pPr>
              <w:spacing w:after="0" w:line="360" w:lineRule="auto"/>
              <w:jc w:val="center"/>
              <w:rPr>
                <w:color w:val="auto"/>
                <w:sz w:val="18"/>
                <w:szCs w:val="18"/>
              </w:rPr>
            </w:pPr>
            <w:r>
              <w:rPr>
                <w:rFonts w:ascii="Times New Roman" w:hAnsi="Times New Roman" w:eastAsia="宋体" w:cs="Times New Roman"/>
                <w:color w:val="auto"/>
                <w:sz w:val="18"/>
                <w:szCs w:val="18"/>
                <w:vertAlign w:val="superscript"/>
              </w:rPr>
              <w:t>[10,44-46]</w:t>
            </w:r>
            <w:r>
              <w:rPr>
                <w:rFonts w:ascii="Times New Roman" w:hAnsi="Times New Roman" w:eastAsia="宋体" w:cs="Times New Roman"/>
                <w:color w:val="auto"/>
                <w:sz w:val="18"/>
                <w:szCs w:val="18"/>
                <w:vertAlign w:val="superscript"/>
              </w:rPr>
              <w:fldChar w:fldCharType="begin"/>
            </w:r>
            <w:r>
              <w:instrText xml:space="preserve"> REF CITEREF010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fldChar w:fldCharType="begin"/>
            </w:r>
            <w:r>
              <w:instrText xml:space="preserve"> REF CITEREF042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fldChar w:fldCharType="begin"/>
            </w:r>
            <w:r>
              <w:instrText xml:space="preserve"> REF CITEREF045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fldChar w:fldCharType="begin"/>
            </w:r>
            <w:r>
              <w:instrText xml:space="preserve"> REF CITEREF046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fldChar w:fldCharType="end"/>
            </w:r>
          </w:p>
        </w:tc>
      </w:tr>
      <w:tr w14:paraId="32B338A7">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4" w:type="dxa"/>
            <w:tcBorders>
              <w:top w:val="nil"/>
              <w:left w:val="nil"/>
              <w:bottom w:val="nil"/>
              <w:right w:val="nil"/>
            </w:tcBorders>
            <w:tcMar>
              <w:top w:w="60" w:type="dxa"/>
              <w:left w:w="80" w:type="dxa"/>
              <w:bottom w:w="60" w:type="dxa"/>
              <w:right w:w="80" w:type="dxa"/>
            </w:tcMar>
            <w:vAlign w:val="center"/>
          </w:tcPr>
          <w:p w14:paraId="5E04E812">
            <w:pPr>
              <w:spacing w:after="0" w:line="360" w:lineRule="auto"/>
              <w:rPr>
                <w:color w:val="auto"/>
                <w:sz w:val="18"/>
                <w:szCs w:val="18"/>
              </w:rPr>
            </w:pPr>
            <w:r>
              <w:rPr>
                <w:rFonts w:ascii="Times New Roman" w:hAnsi="Times New Roman" w:eastAsia="宋体" w:cs="Times New Roman"/>
                <w:color w:val="auto"/>
                <w:sz w:val="18"/>
                <w:szCs w:val="18"/>
              </w:rPr>
              <w:t>Stiffness-linked transcriptional adaptation</w:t>
            </w:r>
          </w:p>
        </w:tc>
        <w:tc>
          <w:tcPr>
            <w:tcW w:w="2041" w:type="dxa"/>
            <w:tcBorders>
              <w:top w:val="nil"/>
              <w:left w:val="nil"/>
              <w:bottom w:val="nil"/>
              <w:right w:val="nil"/>
            </w:tcBorders>
            <w:tcMar>
              <w:top w:w="60" w:type="dxa"/>
              <w:left w:w="80" w:type="dxa"/>
              <w:bottom w:w="60" w:type="dxa"/>
              <w:right w:w="80" w:type="dxa"/>
            </w:tcMar>
            <w:vAlign w:val="center"/>
          </w:tcPr>
          <w:p w14:paraId="7D47ED8D">
            <w:pPr>
              <w:spacing w:after="0" w:line="360" w:lineRule="auto"/>
              <w:rPr>
                <w:color w:val="auto"/>
                <w:sz w:val="18"/>
                <w:szCs w:val="18"/>
              </w:rPr>
            </w:pPr>
            <w:r>
              <w:rPr>
                <w:rFonts w:ascii="Times New Roman" w:hAnsi="Times New Roman" w:eastAsia="宋体" w:cs="Times New Roman"/>
                <w:i/>
                <w:color w:val="auto"/>
                <w:sz w:val="18"/>
                <w:szCs w:val="18"/>
              </w:rPr>
              <w:t>EGFR</w:t>
            </w:r>
            <w:r>
              <w:rPr>
                <w:rFonts w:ascii="Times New Roman" w:hAnsi="Times New Roman" w:eastAsia="宋体" w:cs="Times New Roman"/>
                <w:color w:val="auto"/>
                <w:sz w:val="18"/>
                <w:szCs w:val="18"/>
              </w:rPr>
              <w:t>-</w:t>
            </w:r>
            <w:r>
              <w:rPr>
                <w:rFonts w:ascii="Times New Roman" w:hAnsi="Times New Roman" w:eastAsia="宋体" w:cs="Times New Roman"/>
                <w:i/>
                <w:color w:val="auto"/>
                <w:sz w:val="18"/>
                <w:szCs w:val="18"/>
              </w:rPr>
              <w:t>YAP/TAZ</w:t>
            </w:r>
            <w:r>
              <w:rPr>
                <w:rFonts w:ascii="Times New Roman" w:hAnsi="Times New Roman" w:eastAsia="宋体" w:cs="Times New Roman"/>
                <w:color w:val="auto"/>
                <w:sz w:val="18"/>
                <w:szCs w:val="18"/>
              </w:rPr>
              <w:t xml:space="preserve">, nuclear </w:t>
            </w:r>
            <w:r>
              <w:rPr>
                <w:rFonts w:ascii="Times New Roman" w:hAnsi="Times New Roman" w:eastAsia="宋体" w:cs="Times New Roman"/>
                <w:i/>
                <w:color w:val="auto"/>
                <w:sz w:val="18"/>
                <w:szCs w:val="18"/>
              </w:rPr>
              <w:t>YAP1</w:t>
            </w:r>
            <w:r>
              <w:rPr>
                <w:rFonts w:ascii="Times New Roman" w:hAnsi="Times New Roman" w:eastAsia="宋体" w:cs="Times New Roman"/>
                <w:color w:val="auto"/>
                <w:sz w:val="18"/>
                <w:szCs w:val="18"/>
              </w:rPr>
              <w:t>, P-gp-associated resistance readout</w:t>
            </w:r>
          </w:p>
        </w:tc>
        <w:tc>
          <w:tcPr>
            <w:tcW w:w="2665" w:type="dxa"/>
            <w:tcBorders>
              <w:top w:val="nil"/>
              <w:left w:val="nil"/>
              <w:bottom w:val="nil"/>
              <w:right w:val="nil"/>
            </w:tcBorders>
            <w:tcMar>
              <w:top w:w="60" w:type="dxa"/>
              <w:left w:w="80" w:type="dxa"/>
              <w:bottom w:w="60" w:type="dxa"/>
              <w:right w:w="80" w:type="dxa"/>
            </w:tcMar>
            <w:vAlign w:val="center"/>
          </w:tcPr>
          <w:p w14:paraId="4B713375">
            <w:pPr>
              <w:spacing w:after="0" w:line="360" w:lineRule="auto"/>
              <w:rPr>
                <w:color w:val="auto"/>
                <w:sz w:val="18"/>
                <w:szCs w:val="18"/>
              </w:rPr>
            </w:pPr>
            <w:r>
              <w:rPr>
                <w:rFonts w:ascii="Times New Roman" w:hAnsi="Times New Roman" w:eastAsia="宋体" w:cs="Times New Roman"/>
                <w:color w:val="auto"/>
                <w:sz w:val="18"/>
                <w:szCs w:val="18"/>
              </w:rPr>
              <w:t>Links matrix stiffness to transcriptional plasticity and treatment-tolerance programs that may reinforce invasive behavior</w:t>
            </w:r>
          </w:p>
        </w:tc>
        <w:tc>
          <w:tcPr>
            <w:tcW w:w="2494" w:type="dxa"/>
            <w:tcBorders>
              <w:top w:val="nil"/>
              <w:left w:val="nil"/>
              <w:bottom w:val="nil"/>
              <w:right w:val="nil"/>
            </w:tcBorders>
            <w:tcMar>
              <w:top w:w="60" w:type="dxa"/>
              <w:left w:w="80" w:type="dxa"/>
              <w:bottom w:w="60" w:type="dxa"/>
              <w:right w:w="80" w:type="dxa"/>
            </w:tcMar>
            <w:vAlign w:val="center"/>
          </w:tcPr>
          <w:p w14:paraId="50CFE572">
            <w:pPr>
              <w:spacing w:after="0" w:line="360" w:lineRule="auto"/>
              <w:rPr>
                <w:color w:val="auto"/>
                <w:sz w:val="18"/>
                <w:szCs w:val="18"/>
              </w:rPr>
            </w:pPr>
            <w:r>
              <w:rPr>
                <w:rFonts w:ascii="Times New Roman" w:hAnsi="Times New Roman" w:eastAsia="宋体" w:cs="Times New Roman"/>
                <w:color w:val="auto"/>
                <w:sz w:val="18"/>
                <w:szCs w:val="18"/>
              </w:rPr>
              <w:t>May be linked to a more invasive phenotype and reduced treatment responsiveness</w:t>
            </w:r>
          </w:p>
        </w:tc>
        <w:tc>
          <w:tcPr>
            <w:tcW w:w="680" w:type="dxa"/>
            <w:tcBorders>
              <w:top w:val="nil"/>
              <w:left w:val="nil"/>
              <w:bottom w:val="nil"/>
              <w:right w:val="nil"/>
            </w:tcBorders>
            <w:tcMar>
              <w:top w:w="60" w:type="dxa"/>
              <w:left w:w="80" w:type="dxa"/>
              <w:bottom w:w="60" w:type="dxa"/>
              <w:right w:w="80" w:type="dxa"/>
            </w:tcMar>
            <w:vAlign w:val="center"/>
          </w:tcPr>
          <w:p w14:paraId="52A22D5D">
            <w:pPr>
              <w:spacing w:after="0" w:line="360" w:lineRule="auto"/>
              <w:jc w:val="center"/>
              <w:rPr>
                <w:color w:val="auto"/>
                <w:sz w:val="18"/>
                <w:szCs w:val="18"/>
              </w:rPr>
            </w:pP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CITEREF008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8</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CITEREF047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47</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CITEREF050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50</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p>
        </w:tc>
      </w:tr>
      <w:tr w14:paraId="5EF4EB10">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4" w:type="dxa"/>
            <w:tcBorders>
              <w:top w:val="nil"/>
              <w:left w:val="nil"/>
              <w:bottom w:val="nil"/>
              <w:right w:val="nil"/>
            </w:tcBorders>
            <w:tcMar>
              <w:top w:w="60" w:type="dxa"/>
              <w:left w:w="80" w:type="dxa"/>
              <w:bottom w:w="60" w:type="dxa"/>
              <w:right w:w="80" w:type="dxa"/>
            </w:tcMar>
            <w:vAlign w:val="center"/>
          </w:tcPr>
          <w:p w14:paraId="20913FC7">
            <w:pPr>
              <w:spacing w:after="0" w:line="360" w:lineRule="auto"/>
              <w:rPr>
                <w:color w:val="auto"/>
                <w:sz w:val="18"/>
                <w:szCs w:val="18"/>
              </w:rPr>
            </w:pPr>
            <w:r>
              <w:rPr>
                <w:rFonts w:ascii="Times New Roman" w:hAnsi="Times New Roman" w:eastAsia="宋体" w:cs="Times New Roman"/>
                <w:color w:val="auto"/>
                <w:sz w:val="18"/>
                <w:szCs w:val="18"/>
              </w:rPr>
              <w:t>Nuclear-mechanics adaptation under confinement</w:t>
            </w:r>
          </w:p>
        </w:tc>
        <w:tc>
          <w:tcPr>
            <w:tcW w:w="2041" w:type="dxa"/>
            <w:tcBorders>
              <w:top w:val="nil"/>
              <w:left w:val="nil"/>
              <w:bottom w:val="nil"/>
              <w:right w:val="nil"/>
            </w:tcBorders>
            <w:tcMar>
              <w:top w:w="60" w:type="dxa"/>
              <w:left w:w="80" w:type="dxa"/>
              <w:bottom w:w="60" w:type="dxa"/>
              <w:right w:w="80" w:type="dxa"/>
            </w:tcMar>
            <w:vAlign w:val="center"/>
          </w:tcPr>
          <w:p w14:paraId="7F48785A">
            <w:pPr>
              <w:spacing w:after="0" w:line="360" w:lineRule="auto"/>
              <w:rPr>
                <w:color w:val="auto"/>
                <w:sz w:val="18"/>
                <w:szCs w:val="18"/>
              </w:rPr>
            </w:pPr>
            <w:r>
              <w:rPr>
                <w:rFonts w:ascii="Times New Roman" w:hAnsi="Times New Roman" w:eastAsia="宋体" w:cs="Times New Roman"/>
                <w:color w:val="auto"/>
                <w:sz w:val="18"/>
                <w:szCs w:val="18"/>
              </w:rPr>
              <w:t>Lamin A/C, LINC, nesprin-4, ESCRT-III, ATM/ATR, vimentin</w:t>
            </w:r>
          </w:p>
        </w:tc>
        <w:tc>
          <w:tcPr>
            <w:tcW w:w="2665" w:type="dxa"/>
            <w:tcBorders>
              <w:top w:val="nil"/>
              <w:left w:val="nil"/>
              <w:bottom w:val="nil"/>
              <w:right w:val="nil"/>
            </w:tcBorders>
            <w:tcMar>
              <w:top w:w="60" w:type="dxa"/>
              <w:left w:w="80" w:type="dxa"/>
              <w:bottom w:w="60" w:type="dxa"/>
              <w:right w:w="80" w:type="dxa"/>
            </w:tcMar>
            <w:vAlign w:val="center"/>
          </w:tcPr>
          <w:p w14:paraId="1A3E0457">
            <w:pPr>
              <w:spacing w:after="0" w:line="360" w:lineRule="auto"/>
              <w:rPr>
                <w:color w:val="auto"/>
                <w:sz w:val="18"/>
                <w:szCs w:val="18"/>
              </w:rPr>
            </w:pPr>
            <w:r>
              <w:rPr>
                <w:rFonts w:ascii="Times New Roman" w:hAnsi="Times New Roman" w:eastAsia="宋体" w:cs="Times New Roman"/>
                <w:color w:val="auto"/>
                <w:sz w:val="18"/>
                <w:szCs w:val="18"/>
              </w:rPr>
              <w:t>Supports nuclear integrity, repair, and short-term viability after constrained migration</w:t>
            </w:r>
          </w:p>
        </w:tc>
        <w:tc>
          <w:tcPr>
            <w:tcW w:w="2494" w:type="dxa"/>
            <w:tcBorders>
              <w:top w:val="nil"/>
              <w:left w:val="nil"/>
              <w:bottom w:val="nil"/>
              <w:right w:val="nil"/>
            </w:tcBorders>
            <w:tcMar>
              <w:top w:w="60" w:type="dxa"/>
              <w:left w:w="80" w:type="dxa"/>
              <w:bottom w:w="60" w:type="dxa"/>
              <w:right w:w="80" w:type="dxa"/>
            </w:tcMar>
            <w:vAlign w:val="center"/>
          </w:tcPr>
          <w:p w14:paraId="583949F5">
            <w:pPr>
              <w:spacing w:after="0" w:line="360" w:lineRule="auto"/>
              <w:rPr>
                <w:color w:val="auto"/>
                <w:sz w:val="18"/>
                <w:szCs w:val="18"/>
              </w:rPr>
            </w:pPr>
            <w:r>
              <w:rPr>
                <w:rFonts w:ascii="Times New Roman" w:hAnsi="Times New Roman" w:eastAsia="宋体" w:cs="Times New Roman"/>
                <w:color w:val="auto"/>
                <w:sz w:val="18"/>
                <w:szCs w:val="18"/>
              </w:rPr>
              <w:t>May favor dissemination completion and circulatory tolerance, but evidence is mainly preclinical</w:t>
            </w:r>
          </w:p>
        </w:tc>
        <w:tc>
          <w:tcPr>
            <w:tcW w:w="680" w:type="dxa"/>
            <w:tcBorders>
              <w:top w:val="nil"/>
              <w:left w:val="nil"/>
              <w:bottom w:val="nil"/>
              <w:right w:val="nil"/>
            </w:tcBorders>
            <w:tcMar>
              <w:top w:w="60" w:type="dxa"/>
              <w:left w:w="80" w:type="dxa"/>
              <w:bottom w:w="60" w:type="dxa"/>
              <w:right w:w="80" w:type="dxa"/>
            </w:tcMar>
            <w:vAlign w:val="center"/>
          </w:tcPr>
          <w:p w14:paraId="28D7195E">
            <w:pPr>
              <w:spacing w:after="0" w:line="360" w:lineRule="auto"/>
              <w:jc w:val="center"/>
              <w:rPr>
                <w:color w:val="auto"/>
                <w:sz w:val="18"/>
                <w:szCs w:val="18"/>
              </w:rPr>
            </w:pPr>
            <w:r>
              <w:rPr>
                <w:rFonts w:ascii="Times New Roman" w:hAnsi="Times New Roman" w:eastAsia="宋体" w:cs="Times New Roman"/>
                <w:color w:val="auto"/>
                <w:sz w:val="18"/>
                <w:szCs w:val="18"/>
                <w:vertAlign w:val="superscript"/>
              </w:rPr>
              <w:t>[28-31,33-37]</w:t>
            </w:r>
            <w:r>
              <w:rPr>
                <w:rFonts w:ascii="Times New Roman" w:hAnsi="Times New Roman" w:eastAsia="宋体" w:cs="Times New Roman"/>
                <w:color w:val="auto"/>
                <w:sz w:val="18"/>
                <w:szCs w:val="18"/>
                <w:vertAlign w:val="superscript"/>
              </w:rPr>
              <w:fldChar w:fldCharType="begin"/>
            </w:r>
            <w:r>
              <w:instrText xml:space="preserve"> REF CITEREF028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fldChar w:fldCharType="begin"/>
            </w:r>
            <w:r>
              <w:instrText xml:space="preserve"> REF CITEREF033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fldChar w:fldCharType="begin"/>
            </w:r>
            <w:r>
              <w:instrText xml:space="preserve"> REF CITEREF035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fldChar w:fldCharType="begin"/>
            </w:r>
            <w:r>
              <w:instrText xml:space="preserve"> REF CITEREF037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fldChar w:fldCharType="end"/>
            </w:r>
          </w:p>
        </w:tc>
      </w:tr>
      <w:tr w14:paraId="627FAFB6">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4" w:type="dxa"/>
            <w:tcBorders>
              <w:top w:val="nil"/>
              <w:left w:val="nil"/>
              <w:bottom w:val="nil"/>
              <w:right w:val="nil"/>
            </w:tcBorders>
            <w:tcMar>
              <w:top w:w="60" w:type="dxa"/>
              <w:left w:w="80" w:type="dxa"/>
              <w:bottom w:w="60" w:type="dxa"/>
              <w:right w:w="80" w:type="dxa"/>
            </w:tcMar>
            <w:vAlign w:val="center"/>
          </w:tcPr>
          <w:p w14:paraId="74EA9C53">
            <w:pPr>
              <w:spacing w:after="0" w:line="360" w:lineRule="auto"/>
              <w:rPr>
                <w:color w:val="auto"/>
                <w:sz w:val="18"/>
                <w:szCs w:val="18"/>
              </w:rPr>
            </w:pPr>
            <w:r>
              <w:rPr>
                <w:rFonts w:ascii="Times New Roman" w:hAnsi="Times New Roman" w:eastAsia="宋体" w:cs="Times New Roman"/>
                <w:color w:val="auto"/>
                <w:sz w:val="18"/>
                <w:szCs w:val="18"/>
              </w:rPr>
              <w:t>Vascular and immune microenvironment shaping</w:t>
            </w:r>
          </w:p>
        </w:tc>
        <w:tc>
          <w:tcPr>
            <w:tcW w:w="2041" w:type="dxa"/>
            <w:tcBorders>
              <w:top w:val="nil"/>
              <w:left w:val="nil"/>
              <w:bottom w:val="nil"/>
              <w:right w:val="nil"/>
            </w:tcBorders>
            <w:tcMar>
              <w:top w:w="60" w:type="dxa"/>
              <w:left w:w="80" w:type="dxa"/>
              <w:bottom w:w="60" w:type="dxa"/>
              <w:right w:w="80" w:type="dxa"/>
            </w:tcMar>
            <w:vAlign w:val="center"/>
          </w:tcPr>
          <w:p w14:paraId="677C2259">
            <w:pPr>
              <w:spacing w:after="0" w:line="360" w:lineRule="auto"/>
              <w:rPr>
                <w:color w:val="auto"/>
                <w:sz w:val="18"/>
                <w:szCs w:val="18"/>
              </w:rPr>
            </w:pPr>
            <w:r>
              <w:rPr>
                <w:rFonts w:ascii="Times New Roman" w:hAnsi="Times New Roman" w:eastAsia="宋体" w:cs="Times New Roman"/>
                <w:color w:val="auto"/>
                <w:sz w:val="18"/>
                <w:szCs w:val="18"/>
              </w:rPr>
              <w:t>CAF-ECM axis, hypoxia, microvascular compression, TIL heterogeneity</w:t>
            </w:r>
          </w:p>
        </w:tc>
        <w:tc>
          <w:tcPr>
            <w:tcW w:w="2665" w:type="dxa"/>
            <w:tcBorders>
              <w:top w:val="nil"/>
              <w:left w:val="nil"/>
              <w:bottom w:val="nil"/>
              <w:right w:val="nil"/>
            </w:tcBorders>
            <w:tcMar>
              <w:top w:w="60" w:type="dxa"/>
              <w:left w:w="80" w:type="dxa"/>
              <w:bottom w:w="60" w:type="dxa"/>
              <w:right w:w="80" w:type="dxa"/>
            </w:tcMar>
            <w:vAlign w:val="center"/>
          </w:tcPr>
          <w:p w14:paraId="203E9676">
            <w:pPr>
              <w:spacing w:after="0" w:line="360" w:lineRule="auto"/>
              <w:rPr>
                <w:color w:val="auto"/>
                <w:sz w:val="18"/>
                <w:szCs w:val="18"/>
              </w:rPr>
            </w:pPr>
            <w:r>
              <w:rPr>
                <w:rFonts w:ascii="Times New Roman" w:hAnsi="Times New Roman" w:eastAsia="宋体" w:cs="Times New Roman"/>
                <w:color w:val="auto"/>
                <w:sz w:val="18"/>
                <w:szCs w:val="18"/>
              </w:rPr>
              <w:t>Compresses microvessels and shifts the local immune context toward a metastasis-related microenvironment</w:t>
            </w:r>
          </w:p>
        </w:tc>
        <w:tc>
          <w:tcPr>
            <w:tcW w:w="2494" w:type="dxa"/>
            <w:tcBorders>
              <w:top w:val="nil"/>
              <w:left w:val="nil"/>
              <w:bottom w:val="nil"/>
              <w:right w:val="nil"/>
            </w:tcBorders>
            <w:tcMar>
              <w:top w:w="60" w:type="dxa"/>
              <w:left w:w="80" w:type="dxa"/>
              <w:bottom w:w="60" w:type="dxa"/>
              <w:right w:w="80" w:type="dxa"/>
            </w:tcMar>
            <w:vAlign w:val="center"/>
          </w:tcPr>
          <w:p w14:paraId="1C1EF673">
            <w:pPr>
              <w:spacing w:after="0" w:line="360" w:lineRule="auto"/>
              <w:rPr>
                <w:color w:val="auto"/>
                <w:sz w:val="18"/>
                <w:szCs w:val="18"/>
              </w:rPr>
            </w:pPr>
            <w:r>
              <w:rPr>
                <w:rFonts w:ascii="Times New Roman" w:hAnsi="Times New Roman" w:eastAsia="宋体" w:cs="Times New Roman"/>
                <w:color w:val="auto"/>
                <w:sz w:val="18"/>
                <w:szCs w:val="18"/>
              </w:rPr>
              <w:t>May influence therapeutic response and the interpretation of metastatic risk across subtypes</w:t>
            </w:r>
          </w:p>
        </w:tc>
        <w:tc>
          <w:tcPr>
            <w:tcW w:w="680" w:type="dxa"/>
            <w:tcBorders>
              <w:top w:val="nil"/>
              <w:left w:val="nil"/>
              <w:bottom w:val="nil"/>
              <w:right w:val="nil"/>
            </w:tcBorders>
            <w:tcMar>
              <w:top w:w="60" w:type="dxa"/>
              <w:left w:w="80" w:type="dxa"/>
              <w:bottom w:w="60" w:type="dxa"/>
              <w:right w:w="80" w:type="dxa"/>
            </w:tcMar>
            <w:vAlign w:val="center"/>
          </w:tcPr>
          <w:p w14:paraId="6AE15B7D">
            <w:pPr>
              <w:spacing w:after="0" w:line="360" w:lineRule="auto"/>
              <w:jc w:val="center"/>
              <w:rPr>
                <w:color w:val="auto"/>
                <w:sz w:val="18"/>
                <w:szCs w:val="18"/>
              </w:rPr>
            </w:pP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CITEREF003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3</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CITEREF040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40</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CITEREF041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41</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p>
        </w:tc>
      </w:tr>
      <w:tr w14:paraId="6464EA20">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4" w:type="dxa"/>
            <w:tcBorders>
              <w:top w:val="nil"/>
              <w:left w:val="nil"/>
              <w:bottom w:val="single" w:color="000000" w:sz="8" w:space="0"/>
              <w:right w:val="nil"/>
            </w:tcBorders>
            <w:tcMar>
              <w:top w:w="60" w:type="dxa"/>
              <w:left w:w="80" w:type="dxa"/>
              <w:bottom w:w="60" w:type="dxa"/>
              <w:right w:w="80" w:type="dxa"/>
            </w:tcMar>
            <w:vAlign w:val="center"/>
          </w:tcPr>
          <w:p w14:paraId="5784C922">
            <w:pPr>
              <w:spacing w:after="0" w:line="360" w:lineRule="auto"/>
              <w:rPr>
                <w:color w:val="auto"/>
                <w:sz w:val="18"/>
                <w:szCs w:val="18"/>
              </w:rPr>
            </w:pPr>
            <w:r>
              <w:rPr>
                <w:rFonts w:ascii="Times New Roman" w:hAnsi="Times New Roman" w:eastAsia="宋体" w:cs="Times New Roman"/>
                <w:color w:val="auto"/>
                <w:sz w:val="18"/>
                <w:szCs w:val="18"/>
              </w:rPr>
              <w:t>Remote microenvironment signaling and exosomal transfer</w:t>
            </w:r>
          </w:p>
        </w:tc>
        <w:tc>
          <w:tcPr>
            <w:tcW w:w="2041" w:type="dxa"/>
            <w:tcBorders>
              <w:top w:val="nil"/>
              <w:left w:val="nil"/>
              <w:bottom w:val="single" w:color="000000" w:sz="8" w:space="0"/>
              <w:right w:val="nil"/>
            </w:tcBorders>
            <w:tcMar>
              <w:top w:w="60" w:type="dxa"/>
              <w:left w:w="80" w:type="dxa"/>
              <w:bottom w:w="60" w:type="dxa"/>
              <w:right w:w="80" w:type="dxa"/>
            </w:tcMar>
            <w:vAlign w:val="center"/>
          </w:tcPr>
          <w:p w14:paraId="1C250C66">
            <w:pPr>
              <w:spacing w:after="0" w:line="360" w:lineRule="auto"/>
              <w:rPr>
                <w:color w:val="auto"/>
                <w:sz w:val="18"/>
                <w:szCs w:val="18"/>
              </w:rPr>
            </w:pPr>
            <w:r>
              <w:rPr>
                <w:rFonts w:ascii="Times New Roman" w:hAnsi="Times New Roman" w:cs="Times New Roman"/>
                <w:i/>
                <w:color w:val="auto"/>
                <w:sz w:val="18"/>
                <w:szCs w:val="18"/>
              </w:rPr>
              <w:t>THBS1</w:t>
            </w:r>
            <w:r>
              <w:rPr>
                <w:rFonts w:ascii="Times New Roman" w:hAnsi="Times New Roman" w:cs="Times New Roman"/>
                <w:color w:val="auto"/>
                <w:sz w:val="18"/>
                <w:szCs w:val="18"/>
              </w:rPr>
              <w:t>-related exosomes, small extracellular vesicles, FAK/</w:t>
            </w:r>
            <w:r>
              <w:rPr>
                <w:rFonts w:ascii="Times New Roman" w:hAnsi="Times New Roman" w:cs="Times New Roman"/>
                <w:i/>
                <w:color w:val="auto"/>
                <w:sz w:val="18"/>
                <w:szCs w:val="18"/>
              </w:rPr>
              <w:t>MMP-9</w:t>
            </w:r>
          </w:p>
        </w:tc>
        <w:tc>
          <w:tcPr>
            <w:tcW w:w="2665" w:type="dxa"/>
            <w:tcBorders>
              <w:top w:val="nil"/>
              <w:left w:val="nil"/>
              <w:bottom w:val="single" w:color="000000" w:sz="8" w:space="0"/>
              <w:right w:val="nil"/>
            </w:tcBorders>
            <w:tcMar>
              <w:top w:w="60" w:type="dxa"/>
              <w:left w:w="80" w:type="dxa"/>
              <w:bottom w:w="60" w:type="dxa"/>
              <w:right w:w="80" w:type="dxa"/>
            </w:tcMar>
            <w:vAlign w:val="center"/>
          </w:tcPr>
          <w:p w14:paraId="54595FDF">
            <w:pPr>
              <w:spacing w:after="0" w:line="360" w:lineRule="auto"/>
              <w:rPr>
                <w:color w:val="auto"/>
                <w:sz w:val="18"/>
                <w:szCs w:val="18"/>
              </w:rPr>
            </w:pPr>
            <w:r>
              <w:rPr>
                <w:rFonts w:ascii="Times New Roman" w:hAnsi="Times New Roman" w:eastAsia="宋体" w:cs="Times New Roman"/>
                <w:color w:val="auto"/>
                <w:sz w:val="18"/>
                <w:szCs w:val="18"/>
              </w:rPr>
              <w:t>Transfers stiffness-shaped signals and promotes recipient-cell adhesion and matrix remodeling</w:t>
            </w:r>
          </w:p>
        </w:tc>
        <w:tc>
          <w:tcPr>
            <w:tcW w:w="2494" w:type="dxa"/>
            <w:tcBorders>
              <w:top w:val="nil"/>
              <w:left w:val="nil"/>
              <w:bottom w:val="single" w:color="000000" w:sz="8" w:space="0"/>
              <w:right w:val="nil"/>
            </w:tcBorders>
            <w:tcMar>
              <w:top w:w="60" w:type="dxa"/>
              <w:left w:w="80" w:type="dxa"/>
              <w:bottom w:w="60" w:type="dxa"/>
              <w:right w:w="80" w:type="dxa"/>
            </w:tcMar>
            <w:vAlign w:val="center"/>
          </w:tcPr>
          <w:p w14:paraId="03BFDE68">
            <w:pPr>
              <w:spacing w:after="0" w:line="360" w:lineRule="auto"/>
              <w:rPr>
                <w:color w:val="auto"/>
                <w:sz w:val="18"/>
                <w:szCs w:val="18"/>
              </w:rPr>
            </w:pPr>
            <w:r>
              <w:rPr>
                <w:rFonts w:ascii="Times New Roman" w:hAnsi="Times New Roman" w:eastAsia="宋体" w:cs="Times New Roman"/>
                <w:color w:val="auto"/>
                <w:sz w:val="18"/>
                <w:szCs w:val="18"/>
              </w:rPr>
              <w:t>May extend pro-dissemination signals beyond the primary lesion, with support still dominated by mechanistic models</w:t>
            </w:r>
          </w:p>
        </w:tc>
        <w:tc>
          <w:tcPr>
            <w:tcW w:w="680" w:type="dxa"/>
            <w:tcBorders>
              <w:top w:val="nil"/>
              <w:left w:val="nil"/>
              <w:bottom w:val="single" w:color="000000" w:sz="8" w:space="0"/>
              <w:right w:val="nil"/>
            </w:tcBorders>
            <w:tcMar>
              <w:top w:w="60" w:type="dxa"/>
              <w:left w:w="80" w:type="dxa"/>
              <w:bottom w:w="60" w:type="dxa"/>
              <w:right w:w="80" w:type="dxa"/>
            </w:tcMar>
            <w:vAlign w:val="center"/>
          </w:tcPr>
          <w:p w14:paraId="72C400F0">
            <w:pPr>
              <w:spacing w:after="0" w:line="360" w:lineRule="auto"/>
              <w:jc w:val="center"/>
              <w:rPr>
                <w:color w:val="auto"/>
                <w:sz w:val="18"/>
                <w:szCs w:val="18"/>
              </w:rPr>
            </w:pP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CITEREF015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15</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CITEREF051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51</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p>
        </w:tc>
      </w:tr>
    </w:tbl>
    <w:p w14:paraId="0E76C00B">
      <w:pPr>
        <w:spacing w:before="40" w:after="0" w:line="360" w:lineRule="auto"/>
        <w:jc w:val="both"/>
        <w:rPr>
          <w:rFonts w:ascii="Times New Roman" w:hAnsi="Times New Roman"/>
          <w:color w:val="auto"/>
          <w:sz w:val="18"/>
          <w:szCs w:val="18"/>
        </w:rPr>
      </w:pPr>
      <w:r>
        <w:rPr>
          <w:rFonts w:ascii="Times New Roman" w:hAnsi="Times New Roman" w:eastAsia="宋体" w:cs="Times New Roman"/>
          <w:color w:val="auto"/>
          <w:sz w:val="18"/>
          <w:szCs w:val="18"/>
        </w:rPr>
        <w:t>注： ECM 为细胞外基质（extracellular matrix）；</w:t>
      </w:r>
      <w:r>
        <w:rPr>
          <w:rFonts w:ascii="Times New Roman" w:hAnsi="Times New Roman" w:cs="Times New Roman"/>
          <w:i/>
          <w:color w:val="auto"/>
          <w:sz w:val="18"/>
          <w:szCs w:val="18"/>
        </w:rPr>
        <w:t>LOXL2</w:t>
      </w:r>
      <w:r>
        <w:rPr>
          <w:rFonts w:ascii="Times New Roman" w:hAnsi="Times New Roman" w:eastAsia="宋体" w:cs="Times New Roman"/>
          <w:color w:val="auto"/>
          <w:sz w:val="18"/>
          <w:szCs w:val="18"/>
        </w:rPr>
        <w:t xml:space="preserve"> 为赖氨酰氧化酶样蛋白2（lysyl oxidase-like 2）；SHG 为二次谐波成像（second harmonic generation）；TACS 为肿瘤相关胶原特征（tumor-associated collagen signatures），TACS-3 为肿瘤相关胶原特征3；FAK 为黏附斑激酶（focal adhesion kinase）；Src为Src激酶（Src kinase）；ULK1/2 为 Unc-51样自噬激活激酶1/2（unc-51-like autophagy activating kinase 1/2）；PXN 为桩蛋白（paxillin）；EGFR 为表皮生长因子受体（epidermal growth factor receptor）；YAP/TAZ 为 Yes相关蛋白（Yes-associated protein，YAP）/含PDZ结合基序的转录共激活因子（transcriptional coactivator with PDZ-binding motif，TAZ）；YAP1 为 Yes相关蛋白1（Yes-associated protein 1）；P-gp为 P-糖蛋白（P-glycoprotein）；Lamin A/C 为核纤层蛋白A/C；LINC 为连接核骨架和细胞骨架复合体（linker of nucleoskeleton and cytoskeleton）；nesprin-4 为核膜血影重复蛋白4；ESCRT-III 为内体分选转运复合体III（endosomal sorting complexes required for transport III）；ATM 为共济失调毛细血管扩张突变蛋白（ataxia telangiectasia mutated）；ATR 为 ATM和Rad3相关蛋白（ATM and Rad3-related）；CAF 为癌相关成纤维细胞（cancer-associated fibroblast）；TIL 为肿瘤浸润淋巴细胞（tumor-infiltrating lymphocyte）；THBS1 为凝血酶敏感蛋白1（thrombospondin-1）；MMP-9 为基质金属蛋白酶-9（matrix metalloproteinase-9）。</w:t>
      </w:r>
    </w:p>
    <w:p w14:paraId="7CB2277B">
      <w:pPr>
        <w:spacing w:before="40" w:after="0" w:line="360" w:lineRule="auto"/>
        <w:jc w:val="both"/>
        <w:rPr>
          <w:color w:val="auto"/>
          <w:sz w:val="18"/>
          <w:szCs w:val="18"/>
        </w:rPr>
      </w:pPr>
      <w:r>
        <w:rPr>
          <w:rFonts w:ascii="Times New Roman" w:hAnsi="Times New Roman" w:cs="Times New Roman"/>
          <w:color w:val="auto"/>
          <w:sz w:val="18"/>
          <w:szCs w:val="18"/>
        </w:rPr>
        <w:t xml:space="preserve"> Note: The numbers in the References column correspond to the reference numbers cited in the main text. ECM, extracellular matrix; </w:t>
      </w:r>
      <w:r>
        <w:rPr>
          <w:rFonts w:ascii="Times New Roman" w:hAnsi="Times New Roman" w:cs="Times New Roman"/>
          <w:i/>
          <w:color w:val="auto"/>
          <w:sz w:val="18"/>
          <w:szCs w:val="18"/>
        </w:rPr>
        <w:t>LOXL2</w:t>
      </w:r>
      <w:r>
        <w:rPr>
          <w:rFonts w:ascii="Times New Roman" w:hAnsi="Times New Roman" w:cs="Times New Roman"/>
          <w:color w:val="auto"/>
          <w:sz w:val="18"/>
          <w:szCs w:val="18"/>
        </w:rPr>
        <w:t>, lysyl oxidase-like 2; SHG, second harmonic generation; TACS, tumor-associated collagen signatures; TACS-3, tumor-associated collagen signature 3; FAK, focal adhesion kinase; Src, Src kinase; ULK1/2, unc-51-like autophagy activating kinase 1/2; PXN, paxillin; EGFR, epidermal growth factor receptor; YAP/TAZ, Yes-associated protein/transcriptional coactivator with PDZ-binding motif; YAP1, Yes-associated protein 1; P-gp, P-glycoprotein; Lamin A/C, lamin A/C; LINC, linker of nucleoskeleton and cytoskeleton; nesprin-4, nesprin-4; ESCRT-III, endosomal sorting complexes required for transport III; ATM, ataxia telangiectasia mutated; ATR, ATM and Rad3-related; CAF, cancer-associated fibroblast; TIL, tumor-infiltrating lymphocyte; THBS1, thrombospondin-1; MMP-9, matrix metalloproteinase-9.</w:t>
      </w:r>
    </w:p>
    <w:p w14:paraId="262F3B82">
      <w:pPr>
        <w:pStyle w:val="3"/>
        <w:spacing w:before="80" w:after="40" w:line="360" w:lineRule="auto"/>
        <w:jc w:val="both"/>
        <w:rPr>
          <w:rFonts w:hint="eastAsia" w:ascii="宋体" w:hAnsi="宋体" w:eastAsia="宋体" w:cs="Times New Roman"/>
          <w:b/>
          <w:color w:val="auto"/>
        </w:rPr>
      </w:pPr>
      <w:r>
        <w:rPr>
          <w:rFonts w:ascii="Times New Roman" w:hAnsi="Times New Roman" w:eastAsia="宋体" w:cs="Times New Roman"/>
          <w:b/>
          <w:color w:val="auto"/>
        </w:rPr>
        <w:t>3</w:t>
      </w:r>
      <w:r>
        <w:rPr>
          <w:rFonts w:hint="eastAsia" w:ascii="Times New Roman" w:hAnsi="Times New Roman" w:eastAsia="宋体" w:cs="Times New Roman"/>
          <w:b/>
          <w:color w:val="auto"/>
          <w:lang w:val="en-US" w:eastAsia="zh-CN"/>
        </w:rPr>
        <w:t>.</w:t>
      </w:r>
      <w:r>
        <w:rPr>
          <w:rFonts w:ascii="Times New Roman" w:hAnsi="Times New Roman" w:eastAsia="宋体" w:cs="Times New Roman"/>
          <w:b/>
          <w:color w:val="auto"/>
        </w:rPr>
        <w:t xml:space="preserve"> </w:t>
      </w:r>
      <w:r>
        <w:rPr>
          <w:rFonts w:hint="eastAsia" w:ascii="Times New Roman" w:hAnsi="Times New Roman" w:eastAsia="宋体" w:cs="Times New Roman"/>
          <w:b/>
          <w:color w:val="auto"/>
        </w:rPr>
        <w:t>乳腺癌力学相关潜在标志物及风险分层价值</w:t>
      </w:r>
    </w:p>
    <w:p w14:paraId="7D0AB8BF">
      <w:pPr>
        <w:pStyle w:val="3"/>
        <w:spacing w:before="0" w:after="0" w:line="360" w:lineRule="auto"/>
        <w:ind w:firstLine="420"/>
        <w:jc w:val="both"/>
        <w:rPr>
          <w:rFonts w:hint="eastAsia" w:ascii="宋体" w:hAnsi="宋体" w:eastAsia="宋体" w:cs="Times New Roman"/>
          <w:color w:val="auto"/>
        </w:rPr>
      </w:pPr>
      <w:r>
        <w:rPr>
          <w:rFonts w:eastAsia="宋体"/>
          <w:color w:val="auto"/>
        </w:rPr>
        <w:t>目前临床距离较近的力学相关指标主要是剪切波弹性成像（shear wave elastography，SWE）等可量化</w:t>
      </w:r>
      <w:r>
        <w:rPr>
          <w:rFonts w:hint="eastAsia" w:eastAsia="宋体"/>
          <w:color w:val="auto"/>
        </w:rPr>
        <w:t>的</w:t>
      </w:r>
      <w:r>
        <w:rPr>
          <w:rFonts w:hint="eastAsia" w:eastAsia="宋体"/>
          <w:color w:val="auto"/>
          <w:highlight w:val="none"/>
        </w:rPr>
        <w:t>肿瘤硬度值</w:t>
      </w:r>
      <w:r>
        <w:rPr>
          <w:rFonts w:hint="eastAsia" w:eastAsia="宋体"/>
          <w:color w:val="auto"/>
          <w:highlight w:val="none"/>
          <w:lang w:val="en-US" w:eastAsia="zh-CN"/>
        </w:rPr>
        <w:t>参数</w:t>
      </w:r>
      <w:r>
        <w:rPr>
          <w:rFonts w:eastAsia="宋体"/>
          <w:color w:val="auto"/>
        </w:rPr>
        <w:t>。多项术前研究提示，肿瘤平均或最大弹性值升高，常与较差无病生存、肿瘤体积增大、淋巴结转移和 Ki-67 升高等高危特征相关</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CITEREF006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6</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CITEREF052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52</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eastAsia="宋体"/>
          <w:color w:val="auto"/>
        </w:rPr>
        <w:t>。因此，</w:t>
      </w:r>
      <w:r>
        <w:rPr>
          <w:rFonts w:hint="eastAsia" w:eastAsia="宋体"/>
          <w:color w:val="auto"/>
          <w:highlight w:val="none"/>
        </w:rPr>
        <w:t>肿瘤硬度值</w:t>
      </w:r>
      <w:r>
        <w:rPr>
          <w:rFonts w:eastAsia="宋体"/>
          <w:color w:val="auto"/>
        </w:rPr>
        <w:t>在风险分层中更适合作为辅助线索，其解释仍需结合影像形态、病理特征及分子分型等信息。SWE 参数与常规超声特征联合后，对腋窝淋巴结转移的判别能力优于单一硬度读数；多模态超声信息也更适合在同一框架下综合解释</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CITEREF053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53</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CITEREF054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54</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color w:val="auto"/>
        </w:rPr>
        <w:t>，</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CITEREF055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55</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eastAsia="宋体"/>
          <w:color w:val="auto"/>
        </w:rPr>
        <w:t>。不同分子亚型中，高硬度还可能受到基质重塑、免疫浸润和肿瘤细胞密度共同影响，因此仍需结合 HER2 状态和局部微环境特征</w:t>
      </w:r>
      <w:r>
        <w:rPr>
          <w:rFonts w:hint="eastAsia" w:eastAsia="宋体"/>
          <w:color w:val="auto"/>
        </w:rPr>
        <w:t>综合</w:t>
      </w:r>
      <w:r>
        <w:rPr>
          <w:rFonts w:eastAsia="宋体"/>
          <w:color w:val="auto"/>
        </w:rPr>
        <w:t>判断</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CITEREF041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41</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color w:val="auto"/>
        </w:rPr>
        <w:t>。</w:t>
      </w:r>
    </w:p>
    <w:p w14:paraId="332BBFCD">
      <w:pPr>
        <w:pStyle w:val="3"/>
        <w:spacing w:before="0" w:after="0" w:line="360" w:lineRule="auto"/>
        <w:ind w:firstLine="420"/>
        <w:jc w:val="both"/>
        <w:rPr>
          <w:rFonts w:hint="eastAsia" w:ascii="Times New Roman" w:hAnsi="Times New Roman" w:cs="Times New Roman"/>
          <w:color w:val="auto"/>
        </w:rPr>
      </w:pPr>
      <w:r>
        <w:rPr>
          <w:rFonts w:hint="eastAsia" w:ascii="Times New Roman" w:hAnsi="Times New Roman" w:eastAsia="宋体" w:cs="Times New Roman"/>
          <w:color w:val="auto"/>
        </w:rPr>
        <w:t>较单纯肿瘤硬度值而言，胶原纤维结构特征和ECM重塑相关信号可能更接近乳腺癌侵袭界面的实际力学状态。</w:t>
      </w:r>
      <w:r>
        <w:rPr>
          <w:rFonts w:ascii="Times New Roman" w:hAnsi="Times New Roman" w:eastAsia="宋体" w:cs="Times New Roman"/>
          <w:color w:val="auto"/>
        </w:rPr>
        <w:t>原发灶二次谐波成像</w:t>
      </w:r>
      <w:r>
        <w:rPr>
          <w:rFonts w:hint="eastAsia" w:ascii="Times New Roman" w:hAnsi="Times New Roman" w:cs="Times New Roman"/>
          <w:color w:val="auto"/>
        </w:rPr>
        <w:t>（second harmonic generation，SHG）</w:t>
      </w:r>
      <w:r>
        <w:rPr>
          <w:rFonts w:ascii="Times New Roman" w:hAnsi="Times New Roman" w:eastAsia="宋体" w:cs="Times New Roman"/>
          <w:color w:val="auto"/>
        </w:rPr>
        <w:t>研究提示，</w:t>
      </w:r>
      <w:r>
        <w:rPr>
          <w:rFonts w:hint="eastAsia" w:ascii="Times New Roman" w:hAnsi="Times New Roman" w:eastAsia="宋体" w:cs="Times New Roman"/>
          <w:color w:val="auto"/>
        </w:rPr>
        <w:t>肿瘤-间质界面的胶原散射特征可为21基因复发评分提供额外的远处转移风险信息，尤其在雌激素受体阳性、淋巴结阴性患者中更具分层潜力</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CITEREF007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7</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ascii="Times New Roman" w:hAnsi="Times New Roman" w:eastAsia="宋体" w:cs="Times New Roman"/>
          <w:color w:val="auto"/>
        </w:rPr>
        <w:t>。在 95 例未治疗的雌激素受体阳性、淋巴结阴性浸润性导管癌</w:t>
      </w:r>
      <w:r>
        <w:rPr>
          <w:rFonts w:hint="eastAsia" w:ascii="Times New Roman" w:hAnsi="Times New Roman" w:eastAsia="宋体" w:cs="Times New Roman"/>
          <w:color w:val="auto"/>
          <w:lang w:val="en-US" w:eastAsia="zh-CN"/>
        </w:rPr>
        <w:t>的患者</w:t>
      </w:r>
      <w:r>
        <w:rPr>
          <w:rFonts w:ascii="Times New Roman" w:hAnsi="Times New Roman" w:eastAsia="宋体" w:cs="Times New Roman"/>
          <w:color w:val="auto"/>
        </w:rPr>
        <w:t>中，</w:t>
      </w:r>
      <w:r>
        <w:rPr>
          <w:rFonts w:hint="eastAsia" w:ascii="Times New Roman" w:hAnsi="Times New Roman" w:eastAsia="宋体" w:cs="Times New Roman"/>
          <w:color w:val="auto"/>
          <w:lang w:val="en-US" w:eastAsia="zh-CN"/>
        </w:rPr>
        <w:t>具有转移风险预测价值的是肿瘤-间质界面的SHG前向/后向散射比，而非肿瘤主体区的相应指标；该界面指标与研究中计算的21基因复发评分联用后，可进一步细化远处转移风险分层</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CITEREF007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7</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ascii="Times New Roman" w:hAnsi="Times New Roman" w:cs="Times New Roman"/>
          <w:color w:val="auto"/>
        </w:rPr>
        <w:t>。</w:t>
      </w:r>
      <w:r>
        <w:rPr>
          <w:rFonts w:hint="eastAsia" w:ascii="Times New Roman" w:hAnsi="Times New Roman" w:eastAsia="宋体" w:cs="Times New Roman"/>
          <w:color w:val="auto"/>
        </w:rPr>
        <w:t>经典组织学研究还显示，肿瘤相关胶原特征3（tumor-associated collagen signature 3，TACS-3）所表现的胶原纤维定向排列与较差的疾病特异性生存和无病生存相关</w:t>
      </w:r>
      <w:r>
        <w:rPr>
          <w:rFonts w:hint="eastAsia" w:ascii="Times New Roman" w:hAnsi="Times New Roman" w:eastAsia="宋体" w:cs="Times New Roman"/>
          <w:color w:val="auto"/>
          <w:vertAlign w:val="superscript"/>
        </w:rPr>
        <w:t>[43]</w:t>
      </w:r>
      <w:r>
        <w:rPr>
          <w:rFonts w:ascii="Times New Roman" w:hAnsi="Times New Roman" w:cs="Times New Roman"/>
          <w:color w:val="auto"/>
          <w:vertAlign w:val="superscript"/>
        </w:rPr>
        <w:fldChar w:fldCharType="begin"/>
      </w:r>
      <w:r>
        <w:instrText xml:space="preserve"> REF CITEREF044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fldChar w:fldCharType="end"/>
      </w:r>
      <w:r>
        <w:rPr>
          <w:rFonts w:ascii="Times New Roman" w:hAnsi="Times New Roman" w:cs="Times New Roman"/>
          <w:color w:val="auto"/>
        </w:rPr>
        <w:t>。</w:t>
      </w:r>
      <w:r>
        <w:rPr>
          <w:rFonts w:hint="eastAsia" w:ascii="Times New Roman" w:hAnsi="Times New Roman" w:eastAsia="宋体" w:cs="Times New Roman"/>
          <w:color w:val="auto"/>
        </w:rPr>
        <w:t>这些结果提示，乳腺癌中胶原纤维的结构异常不仅反映局部间质重塑程度，还可能与侵袭和转移风险相关。</w:t>
      </w:r>
    </w:p>
    <w:p w14:paraId="082F95CF">
      <w:pPr>
        <w:pStyle w:val="3"/>
        <w:spacing w:before="0" w:after="0" w:line="360" w:lineRule="auto"/>
        <w:ind w:firstLine="420"/>
        <w:jc w:val="both"/>
        <w:rPr>
          <w:rFonts w:hint="eastAsia" w:ascii="宋体" w:hAnsi="宋体" w:eastAsia="宋体" w:cs="Times New Roman"/>
          <w:color w:val="auto"/>
        </w:rPr>
      </w:pPr>
      <w:r>
        <w:rPr>
          <w:rFonts w:eastAsia="宋体"/>
          <w:color w:val="auto"/>
        </w:rPr>
        <w:t>除胶原结构外，部分 ECM 分子及相关信号也可作为补充分层线索。</w:t>
      </w:r>
      <w:r>
        <w:rPr>
          <w:rFonts w:hint="eastAsia" w:eastAsia="宋体"/>
          <w:color w:val="auto"/>
          <w:lang w:val="en-US" w:eastAsia="zh-CN"/>
        </w:rPr>
        <w:t>基质</w:t>
      </w:r>
      <w:r>
        <w:rPr>
          <w:rFonts w:eastAsia="宋体"/>
          <w:color w:val="auto"/>
          <w:highlight w:val="none"/>
        </w:rPr>
        <w:t>I型胶原α1链（collagen type I alpha 1 chain，</w:t>
      </w:r>
      <w:r>
        <w:rPr>
          <w:i w:val="0"/>
          <w:iCs w:val="0"/>
          <w:color w:val="auto"/>
          <w:highlight w:val="none"/>
        </w:rPr>
        <w:t>COL1A1</w:t>
      </w:r>
      <w:r>
        <w:rPr>
          <w:color w:val="auto"/>
          <w:highlight w:val="none"/>
        </w:rPr>
        <w:t>）</w:t>
      </w:r>
      <w:r>
        <w:rPr>
          <w:rFonts w:hint="eastAsia" w:eastAsia="宋体"/>
          <w:color w:val="auto"/>
        </w:rPr>
        <w:t>和</w:t>
      </w:r>
      <w:r>
        <w:rPr>
          <w:rFonts w:eastAsia="宋体"/>
          <w:color w:val="auto"/>
        </w:rPr>
        <w:t>ECM 分子特征与乳腺癌分级、受体状态、淋巴结状态及部分治疗反应有关</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CITEREF056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56</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CITEREF058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58</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eastAsia="宋体"/>
          <w:color w:val="auto"/>
        </w:rPr>
        <w:t>。C型凝集素结构域家族3成员A（C-type lectin domain family 3 member A，</w:t>
      </w:r>
      <w:r>
        <w:rPr>
          <w:i/>
          <w:color w:val="auto"/>
        </w:rPr>
        <w:t>CLEC3A</w:t>
      </w:r>
      <w:r>
        <w:rPr>
          <w:rFonts w:eastAsia="宋体"/>
          <w:color w:val="auto"/>
        </w:rPr>
        <w:t>）、前胶原赖氨酸2-酮戊二酸5-双加氧酶（procollagen-lysine,2-oxoglutarate 5-dioxygenase，</w:t>
      </w:r>
      <w:r>
        <w:rPr>
          <w:i/>
          <w:color w:val="auto"/>
        </w:rPr>
        <w:t>PLOD</w:t>
      </w:r>
      <w:r>
        <w:rPr>
          <w:rFonts w:eastAsia="宋体"/>
          <w:color w:val="auto"/>
        </w:rPr>
        <w:t>）家族及小细胞外囊泡相关分子，也可为液体活检和机制补充分层提供候选方向</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CITEREF051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51</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CITEREF059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59</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CITEREF060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60</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color w:val="auto"/>
        </w:rPr>
        <w:t>。</w:t>
      </w:r>
    </w:p>
    <w:p w14:paraId="330898C0">
      <w:pPr>
        <w:pStyle w:val="3"/>
        <w:spacing w:before="0" w:after="0" w:line="360" w:lineRule="auto"/>
        <w:ind w:firstLine="420"/>
        <w:jc w:val="both"/>
        <w:rPr>
          <w:rFonts w:hint="eastAsia" w:ascii="宋体" w:hAnsi="宋体" w:eastAsia="宋体" w:cs="Times New Roman"/>
          <w:color w:val="auto"/>
          <w:sz w:val="21"/>
          <w:szCs w:val="21"/>
        </w:rPr>
      </w:pPr>
      <w:r>
        <w:rPr>
          <w:rFonts w:hint="eastAsia" w:eastAsia="宋体"/>
          <w:color w:val="auto"/>
        </w:rPr>
        <w:t>从应用场景看，SWE适用于术前整体肿瘤硬度评估</w:t>
      </w:r>
      <w:r>
        <w:rPr>
          <w:rFonts w:hint="eastAsia"/>
          <w:color w:val="auto"/>
          <w:vertAlign w:val="superscript"/>
        </w:rPr>
        <w:t>[6]</w:t>
      </w:r>
      <w:r>
        <w:rPr>
          <w:rFonts w:hint="eastAsia" w:eastAsia="宋体"/>
          <w:color w:val="auto"/>
        </w:rPr>
        <w:t>；SHG评估和TACS特征更适合显示侵袭界面的胶原纤维结构</w:t>
      </w:r>
      <w:r>
        <w:rPr>
          <w:rFonts w:hint="eastAsia" w:eastAsia="宋体"/>
          <w:color w:val="auto"/>
          <w:vertAlign w:val="superscript"/>
        </w:rPr>
        <w:t>[7,43]</w:t>
      </w:r>
      <w:r>
        <w:rPr>
          <w:rFonts w:hint="eastAsia" w:eastAsia="宋体"/>
          <w:color w:val="auto"/>
        </w:rPr>
        <w:t>；ECM相关分子信号和循环基质蛋白则可分别为机制分层以及液体活检或随访监测提供候选指标</w:t>
      </w:r>
      <w:r>
        <w:rPr>
          <w:rFonts w:hint="eastAsia"/>
          <w:color w:val="auto"/>
          <w:vertAlign w:val="superscript"/>
        </w:rPr>
        <w:t>[58,61]</w:t>
      </w:r>
      <w:r>
        <w:rPr>
          <w:rFonts w:hint="eastAsia" w:eastAsia="宋体"/>
          <w:color w:val="auto"/>
        </w:rPr>
        <w:t>。基于人工智能的影像组学方法可进一步整合肿瘤硬度</w:t>
      </w:r>
      <w:r>
        <w:rPr>
          <w:rFonts w:hint="eastAsia" w:eastAsia="宋体"/>
          <w:color w:val="auto"/>
          <w:lang w:val="en-US" w:eastAsia="zh-CN"/>
        </w:rPr>
        <w:t>数值</w:t>
      </w:r>
      <w:r>
        <w:rPr>
          <w:rFonts w:hint="eastAsia" w:eastAsia="宋体"/>
          <w:color w:val="auto"/>
        </w:rPr>
        <w:t>、形态、纹理和瘤周空间特征，但其相对于现有分层工具的增量价值仍需进一步验证</w:t>
      </w:r>
      <w:r>
        <w:rPr>
          <w:rFonts w:hint="eastAsia"/>
          <w:color w:val="auto"/>
          <w:vertAlign w:val="superscript"/>
        </w:rPr>
        <w:t>[62]</w:t>
      </w:r>
      <w:r>
        <w:rPr>
          <w:rFonts w:hint="eastAsia" w:eastAsia="宋体"/>
          <w:color w:val="auto"/>
        </w:rPr>
        <w:t>。乳腺癌风险分层及候选诊疗应用涉及的主要力学相关指标和相应证据，见表2。</w:t>
      </w:r>
    </w:p>
    <w:p w14:paraId="6BD8CE12">
      <w:pPr>
        <w:spacing w:after="20" w:line="360" w:lineRule="auto"/>
        <w:jc w:val="center"/>
        <w:rPr>
          <w:color w:val="auto"/>
          <w:sz w:val="18"/>
          <w:szCs w:val="18"/>
        </w:rPr>
      </w:pPr>
      <w:bookmarkStart w:id="2" w:name="TAB2_LABEL"/>
      <w:r>
        <w:rPr>
          <w:rFonts w:ascii="Times New Roman" w:hAnsi="Times New Roman" w:eastAsia="宋体" w:cs="Times New Roman"/>
          <w:b/>
          <w:color w:val="auto"/>
          <w:sz w:val="18"/>
          <w:szCs w:val="18"/>
        </w:rPr>
        <w:t>表2 乳腺癌力学相关标志物及风险分层线索</w:t>
      </w:r>
      <w:bookmarkEnd w:id="2"/>
    </w:p>
    <w:p w14:paraId="77667DF3">
      <w:pPr>
        <w:spacing w:after="40" w:line="360" w:lineRule="auto"/>
        <w:jc w:val="center"/>
        <w:rPr>
          <w:color w:val="auto"/>
          <w:sz w:val="18"/>
          <w:szCs w:val="18"/>
        </w:rPr>
      </w:pPr>
      <w:r>
        <w:rPr>
          <w:rFonts w:ascii="Times New Roman" w:hAnsi="Times New Roman" w:eastAsia="宋体" w:cs="Times New Roman"/>
          <w:b/>
          <w:color w:val="auto"/>
          <w:sz w:val="18"/>
          <w:szCs w:val="18"/>
        </w:rPr>
        <w:t>Tab.2 Mechanical biomarker readouts and risk-stratification cues in breast cancer</w:t>
      </w:r>
    </w:p>
    <w:tbl>
      <w:tblPr>
        <w:tblStyle w:val="20"/>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44"/>
        <w:gridCol w:w="1871"/>
        <w:gridCol w:w="2438"/>
        <w:gridCol w:w="2891"/>
        <w:gridCol w:w="680"/>
      </w:tblGrid>
      <w:tr w14:paraId="06917A7D">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blHeader/>
          <w:jc w:val="center"/>
        </w:trPr>
        <w:tc>
          <w:tcPr>
            <w:tcW w:w="1644" w:type="dxa"/>
            <w:tcBorders>
              <w:top w:val="single" w:color="000000" w:sz="8" w:space="0"/>
              <w:left w:val="nil"/>
              <w:bottom w:val="single" w:color="000000" w:sz="8" w:space="0"/>
              <w:right w:val="nil"/>
            </w:tcBorders>
            <w:tcMar>
              <w:top w:w="60" w:type="dxa"/>
              <w:left w:w="80" w:type="dxa"/>
              <w:bottom w:w="60" w:type="dxa"/>
              <w:right w:w="80" w:type="dxa"/>
            </w:tcMar>
            <w:vAlign w:val="center"/>
          </w:tcPr>
          <w:p w14:paraId="31FAC565">
            <w:pPr>
              <w:spacing w:after="0" w:line="360" w:lineRule="auto"/>
              <w:rPr>
                <w:color w:val="auto"/>
                <w:sz w:val="18"/>
                <w:szCs w:val="18"/>
              </w:rPr>
            </w:pPr>
            <w:r>
              <w:rPr>
                <w:rFonts w:ascii="Times New Roman" w:hAnsi="Times New Roman" w:eastAsia="宋体" w:cs="Times New Roman"/>
                <w:b/>
                <w:color w:val="auto"/>
                <w:sz w:val="18"/>
                <w:szCs w:val="18"/>
              </w:rPr>
              <w:t>Candidate readout</w:t>
            </w:r>
          </w:p>
        </w:tc>
        <w:tc>
          <w:tcPr>
            <w:tcW w:w="1871" w:type="dxa"/>
            <w:tcBorders>
              <w:top w:val="single" w:color="000000" w:sz="8" w:space="0"/>
              <w:left w:val="nil"/>
              <w:bottom w:val="single" w:color="000000" w:sz="8" w:space="0"/>
              <w:right w:val="nil"/>
            </w:tcBorders>
            <w:tcMar>
              <w:top w:w="60" w:type="dxa"/>
              <w:left w:w="80" w:type="dxa"/>
              <w:bottom w:w="60" w:type="dxa"/>
              <w:right w:w="80" w:type="dxa"/>
            </w:tcMar>
            <w:vAlign w:val="center"/>
          </w:tcPr>
          <w:p w14:paraId="7C737FBE">
            <w:pPr>
              <w:spacing w:after="0" w:line="360" w:lineRule="auto"/>
              <w:rPr>
                <w:color w:val="auto"/>
                <w:sz w:val="18"/>
                <w:szCs w:val="18"/>
              </w:rPr>
            </w:pPr>
            <w:r>
              <w:rPr>
                <w:rFonts w:ascii="Times New Roman" w:hAnsi="Times New Roman" w:eastAsia="宋体" w:cs="Times New Roman"/>
                <w:b/>
                <w:color w:val="auto"/>
                <w:sz w:val="18"/>
                <w:szCs w:val="18"/>
              </w:rPr>
              <w:t>Sample or detection level</w:t>
            </w:r>
          </w:p>
        </w:tc>
        <w:tc>
          <w:tcPr>
            <w:tcW w:w="2438" w:type="dxa"/>
            <w:tcBorders>
              <w:top w:val="single" w:color="000000" w:sz="8" w:space="0"/>
              <w:left w:val="nil"/>
              <w:bottom w:val="single" w:color="000000" w:sz="8" w:space="0"/>
              <w:right w:val="nil"/>
            </w:tcBorders>
            <w:tcMar>
              <w:top w:w="60" w:type="dxa"/>
              <w:left w:w="80" w:type="dxa"/>
              <w:bottom w:w="60" w:type="dxa"/>
              <w:right w:w="80" w:type="dxa"/>
            </w:tcMar>
            <w:vAlign w:val="center"/>
          </w:tcPr>
          <w:p w14:paraId="75F883DF">
            <w:pPr>
              <w:spacing w:after="0" w:line="360" w:lineRule="auto"/>
              <w:rPr>
                <w:color w:val="auto"/>
                <w:sz w:val="18"/>
                <w:szCs w:val="18"/>
              </w:rPr>
            </w:pPr>
            <w:r>
              <w:rPr>
                <w:rFonts w:ascii="Times New Roman" w:hAnsi="Times New Roman" w:eastAsia="宋体" w:cs="Times New Roman"/>
                <w:b/>
                <w:color w:val="auto"/>
                <w:sz w:val="18"/>
                <w:szCs w:val="18"/>
              </w:rPr>
              <w:t>Main basis</w:t>
            </w:r>
          </w:p>
        </w:tc>
        <w:tc>
          <w:tcPr>
            <w:tcW w:w="2891" w:type="dxa"/>
            <w:tcBorders>
              <w:top w:val="single" w:color="000000" w:sz="8" w:space="0"/>
              <w:left w:val="nil"/>
              <w:bottom w:val="single" w:color="000000" w:sz="8" w:space="0"/>
              <w:right w:val="nil"/>
            </w:tcBorders>
            <w:tcMar>
              <w:top w:w="60" w:type="dxa"/>
              <w:left w:w="80" w:type="dxa"/>
              <w:bottom w:w="60" w:type="dxa"/>
              <w:right w:w="80" w:type="dxa"/>
            </w:tcMar>
            <w:vAlign w:val="center"/>
          </w:tcPr>
          <w:p w14:paraId="59E7F8EC">
            <w:pPr>
              <w:spacing w:after="0" w:line="360" w:lineRule="auto"/>
              <w:rPr>
                <w:color w:val="auto"/>
                <w:sz w:val="18"/>
                <w:szCs w:val="18"/>
              </w:rPr>
            </w:pPr>
            <w:r>
              <w:rPr>
                <w:rFonts w:ascii="Times New Roman" w:hAnsi="Times New Roman" w:eastAsia="宋体" w:cs="Times New Roman"/>
                <w:b/>
                <w:color w:val="auto"/>
                <w:sz w:val="18"/>
                <w:szCs w:val="18"/>
              </w:rPr>
              <w:t>Potential diagnostic or prognostic significance</w:t>
            </w:r>
          </w:p>
        </w:tc>
        <w:tc>
          <w:tcPr>
            <w:tcW w:w="680" w:type="dxa"/>
            <w:tcBorders>
              <w:top w:val="single" w:color="000000" w:sz="8" w:space="0"/>
              <w:left w:val="nil"/>
              <w:bottom w:val="single" w:color="000000" w:sz="8" w:space="0"/>
              <w:right w:val="nil"/>
            </w:tcBorders>
            <w:tcMar>
              <w:top w:w="60" w:type="dxa"/>
              <w:left w:w="80" w:type="dxa"/>
              <w:bottom w:w="60" w:type="dxa"/>
              <w:right w:w="80" w:type="dxa"/>
            </w:tcMar>
            <w:vAlign w:val="center"/>
          </w:tcPr>
          <w:p w14:paraId="334559C4">
            <w:pPr>
              <w:spacing w:after="0" w:line="360" w:lineRule="auto"/>
              <w:rPr>
                <w:color w:val="auto"/>
                <w:sz w:val="18"/>
                <w:szCs w:val="18"/>
              </w:rPr>
            </w:pPr>
            <w:r>
              <w:rPr>
                <w:rFonts w:ascii="Times New Roman" w:hAnsi="Times New Roman" w:eastAsia="宋体" w:cs="Times New Roman"/>
                <w:b/>
                <w:color w:val="auto"/>
                <w:sz w:val="18"/>
                <w:szCs w:val="18"/>
              </w:rPr>
              <w:t>References</w:t>
            </w:r>
          </w:p>
        </w:tc>
      </w:tr>
      <w:tr w14:paraId="2701EF02">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4" w:type="dxa"/>
            <w:tcBorders>
              <w:top w:val="nil"/>
              <w:left w:val="nil"/>
              <w:bottom w:val="nil"/>
              <w:right w:val="nil"/>
            </w:tcBorders>
            <w:tcMar>
              <w:top w:w="60" w:type="dxa"/>
              <w:left w:w="80" w:type="dxa"/>
              <w:bottom w:w="60" w:type="dxa"/>
              <w:right w:w="80" w:type="dxa"/>
            </w:tcMar>
            <w:vAlign w:val="center"/>
          </w:tcPr>
          <w:p w14:paraId="1614CF6D">
            <w:pPr>
              <w:spacing w:after="0" w:line="360" w:lineRule="auto"/>
              <w:rPr>
                <w:color w:val="auto"/>
                <w:sz w:val="18"/>
                <w:szCs w:val="18"/>
              </w:rPr>
            </w:pPr>
            <w:r>
              <w:rPr>
                <w:rFonts w:ascii="Times New Roman" w:hAnsi="Times New Roman" w:eastAsia="宋体" w:cs="Times New Roman"/>
                <w:color w:val="auto"/>
                <w:sz w:val="18"/>
                <w:szCs w:val="18"/>
              </w:rPr>
              <w:t>Tumor stiffness or elasticity values</w:t>
            </w:r>
          </w:p>
        </w:tc>
        <w:tc>
          <w:tcPr>
            <w:tcW w:w="1871" w:type="dxa"/>
            <w:tcBorders>
              <w:top w:val="nil"/>
              <w:left w:val="nil"/>
              <w:bottom w:val="nil"/>
              <w:right w:val="nil"/>
            </w:tcBorders>
            <w:tcMar>
              <w:top w:w="60" w:type="dxa"/>
              <w:left w:w="80" w:type="dxa"/>
              <w:bottom w:w="60" w:type="dxa"/>
              <w:right w:w="80" w:type="dxa"/>
            </w:tcMar>
            <w:vAlign w:val="center"/>
          </w:tcPr>
          <w:p w14:paraId="37663D0C">
            <w:pPr>
              <w:spacing w:after="0" w:line="360" w:lineRule="auto"/>
              <w:rPr>
                <w:color w:val="auto"/>
                <w:sz w:val="18"/>
                <w:szCs w:val="18"/>
              </w:rPr>
            </w:pPr>
            <w:r>
              <w:rPr>
                <w:rFonts w:ascii="Times New Roman" w:hAnsi="Times New Roman" w:eastAsia="宋体" w:cs="Times New Roman"/>
                <w:color w:val="auto"/>
                <w:sz w:val="18"/>
                <w:szCs w:val="18"/>
              </w:rPr>
              <w:t>SWE and preoperative elastographic imaging</w:t>
            </w:r>
          </w:p>
        </w:tc>
        <w:tc>
          <w:tcPr>
            <w:tcW w:w="2438" w:type="dxa"/>
            <w:tcBorders>
              <w:top w:val="nil"/>
              <w:left w:val="nil"/>
              <w:bottom w:val="nil"/>
              <w:right w:val="nil"/>
            </w:tcBorders>
            <w:tcMar>
              <w:top w:w="60" w:type="dxa"/>
              <w:left w:w="80" w:type="dxa"/>
              <w:bottom w:w="60" w:type="dxa"/>
              <w:right w:w="80" w:type="dxa"/>
            </w:tcMar>
            <w:vAlign w:val="center"/>
          </w:tcPr>
          <w:p w14:paraId="6840D4E4">
            <w:pPr>
              <w:spacing w:after="0" w:line="360" w:lineRule="auto"/>
              <w:rPr>
                <w:color w:val="auto"/>
                <w:sz w:val="18"/>
                <w:szCs w:val="18"/>
              </w:rPr>
            </w:pPr>
            <w:r>
              <w:rPr>
                <w:rFonts w:ascii="Times New Roman" w:hAnsi="Times New Roman" w:eastAsia="宋体" w:cs="Times New Roman"/>
                <w:color w:val="auto"/>
                <w:sz w:val="18"/>
                <w:szCs w:val="18"/>
              </w:rPr>
              <w:t>Reflects macroscopic local stiffness and its correlation with tumor size, Ki-67, and nodal spread</w:t>
            </w:r>
          </w:p>
        </w:tc>
        <w:tc>
          <w:tcPr>
            <w:tcW w:w="2891" w:type="dxa"/>
            <w:tcBorders>
              <w:top w:val="nil"/>
              <w:left w:val="nil"/>
              <w:bottom w:val="nil"/>
              <w:right w:val="nil"/>
            </w:tcBorders>
            <w:tcMar>
              <w:top w:w="60" w:type="dxa"/>
              <w:left w:w="80" w:type="dxa"/>
              <w:bottom w:w="60" w:type="dxa"/>
              <w:right w:w="80" w:type="dxa"/>
            </w:tcMar>
            <w:vAlign w:val="center"/>
          </w:tcPr>
          <w:p w14:paraId="1A341F60">
            <w:pPr>
              <w:spacing w:after="0" w:line="360" w:lineRule="auto"/>
              <w:rPr>
                <w:color w:val="auto"/>
                <w:sz w:val="18"/>
                <w:szCs w:val="18"/>
              </w:rPr>
            </w:pPr>
            <w:r>
              <w:rPr>
                <w:rFonts w:ascii="Times New Roman" w:hAnsi="Times New Roman" w:eastAsia="宋体" w:cs="Times New Roman"/>
                <w:color w:val="auto"/>
                <w:sz w:val="18"/>
                <w:szCs w:val="18"/>
              </w:rPr>
              <w:t>Best used as a complementary preoperative stratification clue rather than a stand-alone threshold marker</w:t>
            </w:r>
          </w:p>
        </w:tc>
        <w:tc>
          <w:tcPr>
            <w:tcW w:w="680" w:type="dxa"/>
            <w:tcBorders>
              <w:top w:val="nil"/>
              <w:left w:val="nil"/>
              <w:bottom w:val="nil"/>
              <w:right w:val="nil"/>
            </w:tcBorders>
            <w:tcMar>
              <w:top w:w="60" w:type="dxa"/>
              <w:left w:w="80" w:type="dxa"/>
              <w:bottom w:w="60" w:type="dxa"/>
              <w:right w:w="80" w:type="dxa"/>
            </w:tcMar>
            <w:vAlign w:val="center"/>
          </w:tcPr>
          <w:p w14:paraId="5CA4529B">
            <w:pPr>
              <w:spacing w:after="0" w:line="360" w:lineRule="auto"/>
              <w:rPr>
                <w:color w:val="auto"/>
                <w:sz w:val="18"/>
                <w:szCs w:val="18"/>
              </w:rPr>
            </w:pP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CITEREF006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6</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CITEREF052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52</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CITEREF054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54</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p>
        </w:tc>
      </w:tr>
      <w:tr w14:paraId="5E7B7CC8">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4" w:type="dxa"/>
            <w:tcBorders>
              <w:top w:val="nil"/>
              <w:left w:val="nil"/>
              <w:bottom w:val="nil"/>
              <w:right w:val="nil"/>
            </w:tcBorders>
            <w:tcMar>
              <w:top w:w="60" w:type="dxa"/>
              <w:left w:w="80" w:type="dxa"/>
              <w:bottom w:w="60" w:type="dxa"/>
              <w:right w:w="80" w:type="dxa"/>
            </w:tcMar>
            <w:vAlign w:val="center"/>
          </w:tcPr>
          <w:p w14:paraId="103AEC62">
            <w:pPr>
              <w:spacing w:after="0" w:line="360" w:lineRule="auto"/>
              <w:rPr>
                <w:color w:val="auto"/>
                <w:sz w:val="18"/>
                <w:szCs w:val="18"/>
              </w:rPr>
            </w:pPr>
            <w:r>
              <w:rPr>
                <w:rFonts w:ascii="Times New Roman" w:hAnsi="Times New Roman" w:eastAsia="宋体" w:cs="Times New Roman"/>
                <w:color w:val="auto"/>
                <w:sz w:val="18"/>
                <w:szCs w:val="18"/>
              </w:rPr>
              <w:t>Pathology-level mechanotransduction readout</w:t>
            </w:r>
          </w:p>
        </w:tc>
        <w:tc>
          <w:tcPr>
            <w:tcW w:w="1871" w:type="dxa"/>
            <w:tcBorders>
              <w:top w:val="nil"/>
              <w:left w:val="nil"/>
              <w:bottom w:val="nil"/>
              <w:right w:val="nil"/>
            </w:tcBorders>
            <w:tcMar>
              <w:top w:w="60" w:type="dxa"/>
              <w:left w:w="80" w:type="dxa"/>
              <w:bottom w:w="60" w:type="dxa"/>
              <w:right w:w="80" w:type="dxa"/>
            </w:tcMar>
            <w:vAlign w:val="center"/>
          </w:tcPr>
          <w:p w14:paraId="3F8B181C">
            <w:pPr>
              <w:spacing w:after="0" w:line="360" w:lineRule="auto"/>
              <w:rPr>
                <w:color w:val="auto"/>
                <w:sz w:val="18"/>
                <w:szCs w:val="18"/>
              </w:rPr>
            </w:pPr>
            <w:r>
              <w:rPr>
                <w:rFonts w:ascii="Times New Roman" w:hAnsi="Times New Roman" w:eastAsia="宋体" w:cs="Times New Roman"/>
                <w:color w:val="auto"/>
                <w:sz w:val="18"/>
                <w:szCs w:val="18"/>
              </w:rPr>
              <w:t xml:space="preserve">Nuclear </w:t>
            </w:r>
            <w:r>
              <w:rPr>
                <w:rFonts w:ascii="Times New Roman" w:hAnsi="Times New Roman" w:eastAsia="宋体" w:cs="Times New Roman"/>
                <w:i/>
                <w:color w:val="auto"/>
                <w:sz w:val="18"/>
                <w:szCs w:val="18"/>
              </w:rPr>
              <w:t>YAP1</w:t>
            </w:r>
            <w:r>
              <w:rPr>
                <w:rFonts w:ascii="Times New Roman" w:hAnsi="Times New Roman" w:eastAsia="宋体" w:cs="Times New Roman"/>
                <w:color w:val="auto"/>
                <w:sz w:val="18"/>
                <w:szCs w:val="18"/>
              </w:rPr>
              <w:t xml:space="preserve"> expression in tumor tissue</w:t>
            </w:r>
          </w:p>
        </w:tc>
        <w:tc>
          <w:tcPr>
            <w:tcW w:w="2438" w:type="dxa"/>
            <w:tcBorders>
              <w:top w:val="nil"/>
              <w:left w:val="nil"/>
              <w:bottom w:val="nil"/>
              <w:right w:val="nil"/>
            </w:tcBorders>
            <w:tcMar>
              <w:top w:w="60" w:type="dxa"/>
              <w:left w:w="80" w:type="dxa"/>
              <w:bottom w:w="60" w:type="dxa"/>
              <w:right w:w="80" w:type="dxa"/>
            </w:tcMar>
            <w:vAlign w:val="center"/>
          </w:tcPr>
          <w:p w14:paraId="5628BFF7">
            <w:pPr>
              <w:spacing w:after="0" w:line="360" w:lineRule="auto"/>
              <w:rPr>
                <w:color w:val="auto"/>
                <w:sz w:val="18"/>
                <w:szCs w:val="18"/>
              </w:rPr>
            </w:pPr>
            <w:r>
              <w:rPr>
                <w:rFonts w:ascii="Times New Roman" w:hAnsi="Times New Roman" w:eastAsia="宋体" w:cs="Times New Roman"/>
                <w:color w:val="auto"/>
                <w:sz w:val="18"/>
                <w:szCs w:val="18"/>
              </w:rPr>
              <w:t>Provides a pathology-based surrogate of mechanosensitive program activation</w:t>
            </w:r>
          </w:p>
        </w:tc>
        <w:tc>
          <w:tcPr>
            <w:tcW w:w="2891" w:type="dxa"/>
            <w:tcBorders>
              <w:top w:val="nil"/>
              <w:left w:val="nil"/>
              <w:bottom w:val="nil"/>
              <w:right w:val="nil"/>
            </w:tcBorders>
            <w:tcMar>
              <w:top w:w="60" w:type="dxa"/>
              <w:left w:w="80" w:type="dxa"/>
              <w:bottom w:w="60" w:type="dxa"/>
              <w:right w:w="80" w:type="dxa"/>
            </w:tcMar>
            <w:vAlign w:val="center"/>
          </w:tcPr>
          <w:p w14:paraId="74593FBE">
            <w:pPr>
              <w:spacing w:after="0" w:line="360" w:lineRule="auto"/>
              <w:rPr>
                <w:color w:val="auto"/>
                <w:sz w:val="18"/>
                <w:szCs w:val="18"/>
              </w:rPr>
            </w:pPr>
            <w:r>
              <w:rPr>
                <w:rFonts w:ascii="Times New Roman" w:hAnsi="Times New Roman" w:eastAsia="宋体" w:cs="Times New Roman"/>
                <w:color w:val="auto"/>
                <w:sz w:val="18"/>
                <w:szCs w:val="18"/>
              </w:rPr>
              <w:t>May relate to metastatic phenotype or pathological response, but standardization remains insufficient</w:t>
            </w:r>
          </w:p>
        </w:tc>
        <w:tc>
          <w:tcPr>
            <w:tcW w:w="680" w:type="dxa"/>
            <w:tcBorders>
              <w:top w:val="nil"/>
              <w:left w:val="nil"/>
              <w:bottom w:val="nil"/>
              <w:right w:val="nil"/>
            </w:tcBorders>
            <w:tcMar>
              <w:top w:w="60" w:type="dxa"/>
              <w:left w:w="80" w:type="dxa"/>
              <w:bottom w:w="60" w:type="dxa"/>
              <w:right w:w="80" w:type="dxa"/>
            </w:tcMar>
            <w:vAlign w:val="center"/>
          </w:tcPr>
          <w:p w14:paraId="1EEF5423">
            <w:pPr>
              <w:spacing w:after="0" w:line="360" w:lineRule="auto"/>
              <w:rPr>
                <w:color w:val="auto"/>
                <w:sz w:val="18"/>
                <w:szCs w:val="18"/>
              </w:rPr>
            </w:pP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CITEREF008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8</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CITEREF050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50</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p>
        </w:tc>
      </w:tr>
      <w:tr w14:paraId="7883507E">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4" w:type="dxa"/>
            <w:tcBorders>
              <w:top w:val="nil"/>
              <w:left w:val="nil"/>
              <w:bottom w:val="nil"/>
              <w:right w:val="nil"/>
            </w:tcBorders>
            <w:tcMar>
              <w:top w:w="60" w:type="dxa"/>
              <w:left w:w="80" w:type="dxa"/>
              <w:bottom w:w="60" w:type="dxa"/>
              <w:right w:w="80" w:type="dxa"/>
            </w:tcMar>
            <w:vAlign w:val="center"/>
          </w:tcPr>
          <w:p w14:paraId="426EFC18">
            <w:pPr>
              <w:spacing w:after="0" w:line="360" w:lineRule="auto"/>
              <w:rPr>
                <w:color w:val="auto"/>
                <w:sz w:val="18"/>
                <w:szCs w:val="18"/>
              </w:rPr>
            </w:pPr>
            <w:r>
              <w:rPr>
                <w:rFonts w:ascii="Times New Roman" w:hAnsi="Times New Roman" w:eastAsia="宋体" w:cs="Times New Roman"/>
                <w:color w:val="auto"/>
                <w:sz w:val="18"/>
                <w:szCs w:val="18"/>
              </w:rPr>
              <w:t>Elastography-method boundary</w:t>
            </w:r>
          </w:p>
        </w:tc>
        <w:tc>
          <w:tcPr>
            <w:tcW w:w="1871" w:type="dxa"/>
            <w:tcBorders>
              <w:top w:val="nil"/>
              <w:left w:val="nil"/>
              <w:bottom w:val="nil"/>
              <w:right w:val="nil"/>
            </w:tcBorders>
            <w:tcMar>
              <w:top w:w="60" w:type="dxa"/>
              <w:left w:w="80" w:type="dxa"/>
              <w:bottom w:w="60" w:type="dxa"/>
              <w:right w:w="80" w:type="dxa"/>
            </w:tcMar>
            <w:vAlign w:val="center"/>
          </w:tcPr>
          <w:p w14:paraId="36C9ECBA">
            <w:pPr>
              <w:spacing w:after="0" w:line="360" w:lineRule="auto"/>
              <w:rPr>
                <w:color w:val="auto"/>
                <w:sz w:val="18"/>
                <w:szCs w:val="18"/>
              </w:rPr>
            </w:pPr>
            <w:r>
              <w:rPr>
                <w:rFonts w:ascii="Times New Roman" w:hAnsi="Times New Roman" w:eastAsia="宋体" w:cs="Times New Roman"/>
                <w:color w:val="auto"/>
                <w:sz w:val="18"/>
                <w:szCs w:val="18"/>
              </w:rPr>
              <w:t>Strain versus shear-wave elastography</w:t>
            </w:r>
          </w:p>
        </w:tc>
        <w:tc>
          <w:tcPr>
            <w:tcW w:w="2438" w:type="dxa"/>
            <w:tcBorders>
              <w:top w:val="nil"/>
              <w:left w:val="nil"/>
              <w:bottom w:val="nil"/>
              <w:right w:val="nil"/>
            </w:tcBorders>
            <w:tcMar>
              <w:top w:w="60" w:type="dxa"/>
              <w:left w:w="80" w:type="dxa"/>
              <w:bottom w:w="60" w:type="dxa"/>
              <w:right w:w="80" w:type="dxa"/>
            </w:tcMar>
            <w:vAlign w:val="center"/>
          </w:tcPr>
          <w:p w14:paraId="7B8B6466">
            <w:pPr>
              <w:spacing w:after="0" w:line="360" w:lineRule="auto"/>
              <w:rPr>
                <w:color w:val="auto"/>
                <w:sz w:val="18"/>
                <w:szCs w:val="18"/>
              </w:rPr>
            </w:pPr>
            <w:r>
              <w:rPr>
                <w:rFonts w:ascii="Times New Roman" w:hAnsi="Times New Roman" w:eastAsia="宋体" w:cs="Times New Roman"/>
                <w:color w:val="auto"/>
                <w:sz w:val="18"/>
                <w:szCs w:val="18"/>
              </w:rPr>
              <w:t>Shows that technical route, threshold setting, and study design can shift performance estimates</w:t>
            </w:r>
          </w:p>
        </w:tc>
        <w:tc>
          <w:tcPr>
            <w:tcW w:w="2891" w:type="dxa"/>
            <w:tcBorders>
              <w:top w:val="nil"/>
              <w:left w:val="nil"/>
              <w:bottom w:val="nil"/>
              <w:right w:val="nil"/>
            </w:tcBorders>
            <w:tcMar>
              <w:top w:w="60" w:type="dxa"/>
              <w:left w:w="80" w:type="dxa"/>
              <w:bottom w:w="60" w:type="dxa"/>
              <w:right w:w="80" w:type="dxa"/>
            </w:tcMar>
            <w:vAlign w:val="center"/>
          </w:tcPr>
          <w:p w14:paraId="2D978C2D">
            <w:pPr>
              <w:spacing w:after="0" w:line="360" w:lineRule="auto"/>
              <w:rPr>
                <w:color w:val="auto"/>
                <w:sz w:val="18"/>
                <w:szCs w:val="18"/>
              </w:rPr>
            </w:pPr>
            <w:r>
              <w:rPr>
                <w:rFonts w:ascii="Times New Roman" w:hAnsi="Times New Roman" w:eastAsia="宋体" w:cs="Times New Roman"/>
                <w:color w:val="auto"/>
                <w:sz w:val="18"/>
                <w:szCs w:val="18"/>
              </w:rPr>
              <w:t>Useful for understanding methodological boundaries; diagnostic accuracy should not be overextended to metastasis prediction</w:t>
            </w:r>
          </w:p>
        </w:tc>
        <w:tc>
          <w:tcPr>
            <w:tcW w:w="680" w:type="dxa"/>
            <w:tcBorders>
              <w:top w:val="nil"/>
              <w:left w:val="nil"/>
              <w:bottom w:val="nil"/>
              <w:right w:val="nil"/>
            </w:tcBorders>
            <w:tcMar>
              <w:top w:w="60" w:type="dxa"/>
              <w:left w:w="80" w:type="dxa"/>
              <w:bottom w:w="60" w:type="dxa"/>
              <w:right w:w="80" w:type="dxa"/>
            </w:tcMar>
            <w:vAlign w:val="center"/>
          </w:tcPr>
          <w:p w14:paraId="29E95C36">
            <w:pPr>
              <w:spacing w:after="0" w:line="360" w:lineRule="auto"/>
              <w:rPr>
                <w:color w:val="auto"/>
                <w:sz w:val="18"/>
                <w:szCs w:val="18"/>
              </w:rPr>
            </w:pP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CITEREF063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63</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p>
        </w:tc>
      </w:tr>
      <w:tr w14:paraId="4FFA3552">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4" w:type="dxa"/>
            <w:tcBorders>
              <w:top w:val="nil"/>
              <w:left w:val="nil"/>
              <w:bottom w:val="nil"/>
              <w:right w:val="nil"/>
            </w:tcBorders>
            <w:tcMar>
              <w:top w:w="60" w:type="dxa"/>
              <w:left w:w="80" w:type="dxa"/>
              <w:bottom w:w="60" w:type="dxa"/>
              <w:right w:w="80" w:type="dxa"/>
            </w:tcMar>
            <w:vAlign w:val="center"/>
          </w:tcPr>
          <w:p w14:paraId="60B3D98C">
            <w:pPr>
              <w:spacing w:after="0" w:line="360" w:lineRule="auto"/>
              <w:rPr>
                <w:color w:val="auto"/>
                <w:sz w:val="18"/>
                <w:szCs w:val="18"/>
              </w:rPr>
            </w:pPr>
            <w:r>
              <w:rPr>
                <w:rFonts w:ascii="Times New Roman" w:hAnsi="Times New Roman" w:eastAsia="宋体" w:cs="Times New Roman"/>
                <w:color w:val="auto"/>
                <w:sz w:val="18"/>
                <w:szCs w:val="18"/>
              </w:rPr>
              <w:t>Collagen architecture and TACS</w:t>
            </w:r>
          </w:p>
        </w:tc>
        <w:tc>
          <w:tcPr>
            <w:tcW w:w="1871" w:type="dxa"/>
            <w:tcBorders>
              <w:top w:val="nil"/>
              <w:left w:val="nil"/>
              <w:bottom w:val="nil"/>
              <w:right w:val="nil"/>
            </w:tcBorders>
            <w:tcMar>
              <w:top w:w="60" w:type="dxa"/>
              <w:left w:w="80" w:type="dxa"/>
              <w:bottom w:w="60" w:type="dxa"/>
              <w:right w:w="80" w:type="dxa"/>
            </w:tcMar>
            <w:vAlign w:val="center"/>
          </w:tcPr>
          <w:p w14:paraId="6EADBFBA">
            <w:pPr>
              <w:spacing w:after="0" w:line="360" w:lineRule="auto"/>
              <w:rPr>
                <w:color w:val="auto"/>
                <w:sz w:val="18"/>
                <w:szCs w:val="18"/>
              </w:rPr>
            </w:pPr>
            <w:r>
              <w:rPr>
                <w:rFonts w:ascii="Times New Roman" w:hAnsi="Times New Roman" w:eastAsia="宋体" w:cs="Times New Roman"/>
                <w:color w:val="auto"/>
                <w:sz w:val="18"/>
                <w:szCs w:val="18"/>
              </w:rPr>
              <w:t>SHG, pathology slides, invasive-front tissue</w:t>
            </w:r>
          </w:p>
        </w:tc>
        <w:tc>
          <w:tcPr>
            <w:tcW w:w="2438" w:type="dxa"/>
            <w:tcBorders>
              <w:top w:val="nil"/>
              <w:left w:val="nil"/>
              <w:bottom w:val="nil"/>
              <w:right w:val="nil"/>
            </w:tcBorders>
            <w:tcMar>
              <w:top w:w="60" w:type="dxa"/>
              <w:left w:w="80" w:type="dxa"/>
              <w:bottom w:w="60" w:type="dxa"/>
              <w:right w:w="80" w:type="dxa"/>
            </w:tcMar>
            <w:vAlign w:val="center"/>
          </w:tcPr>
          <w:p w14:paraId="1AA123AE">
            <w:pPr>
              <w:spacing w:after="0" w:line="360" w:lineRule="auto"/>
              <w:rPr>
                <w:color w:val="auto"/>
                <w:sz w:val="18"/>
                <w:szCs w:val="18"/>
              </w:rPr>
            </w:pPr>
            <w:r>
              <w:rPr>
                <w:rFonts w:ascii="Times New Roman" w:hAnsi="Times New Roman" w:eastAsia="宋体" w:cs="Times New Roman"/>
                <w:color w:val="auto"/>
                <w:sz w:val="18"/>
                <w:szCs w:val="18"/>
              </w:rPr>
              <w:t>Captures collagen alignment and stromal remodeling at the invasive front</w:t>
            </w:r>
          </w:p>
        </w:tc>
        <w:tc>
          <w:tcPr>
            <w:tcW w:w="2891" w:type="dxa"/>
            <w:tcBorders>
              <w:top w:val="nil"/>
              <w:left w:val="nil"/>
              <w:bottom w:val="nil"/>
              <w:right w:val="nil"/>
            </w:tcBorders>
            <w:tcMar>
              <w:top w:w="60" w:type="dxa"/>
              <w:left w:w="80" w:type="dxa"/>
              <w:bottom w:w="60" w:type="dxa"/>
              <w:right w:w="80" w:type="dxa"/>
            </w:tcMar>
            <w:vAlign w:val="center"/>
          </w:tcPr>
          <w:p w14:paraId="32E28D46">
            <w:pPr>
              <w:spacing w:after="0" w:line="360" w:lineRule="auto"/>
              <w:rPr>
                <w:color w:val="auto"/>
                <w:sz w:val="18"/>
                <w:szCs w:val="18"/>
              </w:rPr>
            </w:pPr>
            <w:r>
              <w:rPr>
                <w:rFonts w:ascii="Times New Roman" w:hAnsi="Times New Roman" w:eastAsia="宋体" w:cs="Times New Roman"/>
                <w:color w:val="auto"/>
                <w:sz w:val="18"/>
                <w:szCs w:val="18"/>
              </w:rPr>
              <w:t>May complement molecular scoring for distant-metastasis risk recognition in selected low-burden settings</w:t>
            </w:r>
          </w:p>
        </w:tc>
        <w:tc>
          <w:tcPr>
            <w:tcW w:w="680" w:type="dxa"/>
            <w:tcBorders>
              <w:top w:val="nil"/>
              <w:left w:val="nil"/>
              <w:bottom w:val="nil"/>
              <w:right w:val="nil"/>
            </w:tcBorders>
            <w:tcMar>
              <w:top w:w="60" w:type="dxa"/>
              <w:left w:w="80" w:type="dxa"/>
              <w:bottom w:w="60" w:type="dxa"/>
              <w:right w:w="80" w:type="dxa"/>
            </w:tcMar>
            <w:vAlign w:val="center"/>
          </w:tcPr>
          <w:p w14:paraId="38527FB6">
            <w:pPr>
              <w:spacing w:after="0" w:line="360" w:lineRule="auto"/>
              <w:rPr>
                <w:color w:val="auto"/>
                <w:sz w:val="18"/>
                <w:szCs w:val="18"/>
              </w:rPr>
            </w:pPr>
            <w:r>
              <w:rPr>
                <w:rFonts w:ascii="Times New Roman" w:hAnsi="Times New Roman" w:eastAsia="宋体" w:cs="Times New Roman"/>
                <w:color w:val="auto"/>
                <w:sz w:val="18"/>
                <w:szCs w:val="18"/>
                <w:vertAlign w:val="superscript"/>
              </w:rPr>
              <w:t>[7,43]</w:t>
            </w:r>
            <w:r>
              <w:rPr>
                <w:rFonts w:ascii="Times New Roman" w:hAnsi="Times New Roman" w:eastAsia="宋体" w:cs="Times New Roman"/>
                <w:color w:val="auto"/>
                <w:sz w:val="18"/>
                <w:szCs w:val="18"/>
                <w:vertAlign w:val="superscript"/>
              </w:rPr>
              <w:fldChar w:fldCharType="begin"/>
            </w:r>
            <w:r>
              <w:instrText xml:space="preserve"> REF CITEREF007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fldChar w:fldCharType="begin"/>
            </w:r>
            <w:r>
              <w:instrText xml:space="preserve"> REF CITEREF044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fldChar w:fldCharType="end"/>
            </w:r>
          </w:p>
        </w:tc>
      </w:tr>
      <w:tr w14:paraId="5633060F">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4" w:type="dxa"/>
            <w:tcBorders>
              <w:top w:val="nil"/>
              <w:left w:val="nil"/>
              <w:bottom w:val="nil"/>
              <w:right w:val="nil"/>
            </w:tcBorders>
            <w:tcMar>
              <w:top w:w="60" w:type="dxa"/>
              <w:left w:w="80" w:type="dxa"/>
              <w:bottom w:w="60" w:type="dxa"/>
              <w:right w:w="80" w:type="dxa"/>
            </w:tcMar>
            <w:vAlign w:val="center"/>
          </w:tcPr>
          <w:p w14:paraId="4CDC5A36">
            <w:pPr>
              <w:spacing w:after="0" w:line="360" w:lineRule="auto"/>
              <w:rPr>
                <w:color w:val="auto"/>
                <w:sz w:val="18"/>
                <w:szCs w:val="18"/>
              </w:rPr>
            </w:pPr>
            <w:r>
              <w:rPr>
                <w:rFonts w:ascii="Times New Roman" w:hAnsi="Times New Roman" w:eastAsia="宋体" w:cs="Times New Roman"/>
                <w:color w:val="auto"/>
                <w:sz w:val="18"/>
                <w:szCs w:val="18"/>
              </w:rPr>
              <w:t>ECM-related tissue signatures and mechanical mapping</w:t>
            </w:r>
          </w:p>
        </w:tc>
        <w:tc>
          <w:tcPr>
            <w:tcW w:w="1871" w:type="dxa"/>
            <w:tcBorders>
              <w:top w:val="nil"/>
              <w:left w:val="nil"/>
              <w:bottom w:val="nil"/>
              <w:right w:val="nil"/>
            </w:tcBorders>
            <w:tcMar>
              <w:top w:w="60" w:type="dxa"/>
              <w:left w:w="80" w:type="dxa"/>
              <w:bottom w:w="60" w:type="dxa"/>
              <w:right w:w="80" w:type="dxa"/>
            </w:tcMar>
            <w:vAlign w:val="center"/>
          </w:tcPr>
          <w:p w14:paraId="3C7DB823">
            <w:pPr>
              <w:spacing w:after="0" w:line="360" w:lineRule="auto"/>
              <w:rPr>
                <w:color w:val="auto"/>
                <w:sz w:val="18"/>
                <w:szCs w:val="18"/>
              </w:rPr>
            </w:pPr>
            <w:r>
              <w:rPr>
                <w:rFonts w:ascii="Times New Roman" w:hAnsi="Times New Roman" w:eastAsia="宋体" w:cs="Times New Roman"/>
                <w:color w:val="auto"/>
                <w:sz w:val="18"/>
                <w:szCs w:val="18"/>
              </w:rPr>
              <w:t>Tumor tissue assays and tissue-scale mechanical mapping</w:t>
            </w:r>
          </w:p>
        </w:tc>
        <w:tc>
          <w:tcPr>
            <w:tcW w:w="2438" w:type="dxa"/>
            <w:tcBorders>
              <w:top w:val="nil"/>
              <w:left w:val="nil"/>
              <w:bottom w:val="nil"/>
              <w:right w:val="nil"/>
            </w:tcBorders>
            <w:tcMar>
              <w:top w:w="60" w:type="dxa"/>
              <w:left w:w="80" w:type="dxa"/>
              <w:bottom w:w="60" w:type="dxa"/>
              <w:right w:w="80" w:type="dxa"/>
            </w:tcMar>
            <w:vAlign w:val="center"/>
          </w:tcPr>
          <w:p w14:paraId="3E0DED7B">
            <w:pPr>
              <w:spacing w:after="0" w:line="360" w:lineRule="auto"/>
              <w:rPr>
                <w:color w:val="auto"/>
                <w:sz w:val="18"/>
                <w:szCs w:val="18"/>
              </w:rPr>
            </w:pPr>
            <w:r>
              <w:rPr>
                <w:rFonts w:ascii="Times New Roman" w:hAnsi="Times New Roman" w:cs="Times New Roman"/>
                <w:i/>
                <w:color w:val="auto"/>
                <w:sz w:val="18"/>
                <w:szCs w:val="18"/>
              </w:rPr>
              <w:t>COL1A1</w:t>
            </w:r>
            <w:r>
              <w:rPr>
                <w:rFonts w:ascii="Times New Roman" w:hAnsi="Times New Roman" w:cs="Times New Roman"/>
                <w:color w:val="auto"/>
                <w:sz w:val="18"/>
                <w:szCs w:val="18"/>
              </w:rPr>
              <w:t>, integrin-DDR-related signals, and laser speckle rheological microscopy</w:t>
            </w:r>
          </w:p>
        </w:tc>
        <w:tc>
          <w:tcPr>
            <w:tcW w:w="2891" w:type="dxa"/>
            <w:tcBorders>
              <w:top w:val="nil"/>
              <w:left w:val="nil"/>
              <w:bottom w:val="nil"/>
              <w:right w:val="nil"/>
            </w:tcBorders>
            <w:tcMar>
              <w:top w:w="60" w:type="dxa"/>
              <w:left w:w="80" w:type="dxa"/>
              <w:bottom w:w="60" w:type="dxa"/>
              <w:right w:w="80" w:type="dxa"/>
            </w:tcMar>
            <w:vAlign w:val="center"/>
          </w:tcPr>
          <w:p w14:paraId="375C6E90">
            <w:pPr>
              <w:spacing w:after="0" w:line="360" w:lineRule="auto"/>
              <w:rPr>
                <w:color w:val="auto"/>
                <w:sz w:val="18"/>
                <w:szCs w:val="18"/>
              </w:rPr>
            </w:pPr>
            <w:r>
              <w:rPr>
                <w:rFonts w:ascii="Times New Roman" w:hAnsi="Times New Roman" w:eastAsia="宋体" w:cs="Times New Roman"/>
                <w:color w:val="auto"/>
                <w:sz w:val="18"/>
                <w:szCs w:val="18"/>
              </w:rPr>
              <w:t>Supports interpretation of stromal remodeling and dormant/stem-like programs, although no unified composite model is established</w:t>
            </w:r>
          </w:p>
        </w:tc>
        <w:tc>
          <w:tcPr>
            <w:tcW w:w="680" w:type="dxa"/>
            <w:tcBorders>
              <w:top w:val="nil"/>
              <w:left w:val="nil"/>
              <w:bottom w:val="nil"/>
              <w:right w:val="nil"/>
            </w:tcBorders>
            <w:tcMar>
              <w:top w:w="60" w:type="dxa"/>
              <w:left w:w="80" w:type="dxa"/>
              <w:bottom w:w="60" w:type="dxa"/>
              <w:right w:w="80" w:type="dxa"/>
            </w:tcMar>
            <w:vAlign w:val="center"/>
          </w:tcPr>
          <w:p w14:paraId="700A4CD9">
            <w:pPr>
              <w:spacing w:after="0" w:line="360" w:lineRule="auto"/>
              <w:rPr>
                <w:color w:val="auto"/>
                <w:sz w:val="18"/>
                <w:szCs w:val="18"/>
              </w:rPr>
            </w:pP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CITEREF056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56</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CITEREF058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58</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p>
        </w:tc>
      </w:tr>
      <w:tr w14:paraId="3498B621">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4" w:type="dxa"/>
            <w:tcBorders>
              <w:top w:val="nil"/>
              <w:left w:val="nil"/>
              <w:bottom w:val="nil"/>
              <w:right w:val="nil"/>
            </w:tcBorders>
            <w:tcMar>
              <w:top w:w="60" w:type="dxa"/>
              <w:left w:w="80" w:type="dxa"/>
              <w:bottom w:w="60" w:type="dxa"/>
              <w:right w:w="80" w:type="dxa"/>
            </w:tcMar>
            <w:vAlign w:val="center"/>
          </w:tcPr>
          <w:p w14:paraId="7E7C5692">
            <w:pPr>
              <w:spacing w:after="0" w:line="360" w:lineRule="auto"/>
              <w:rPr>
                <w:color w:val="auto"/>
                <w:sz w:val="18"/>
                <w:szCs w:val="18"/>
              </w:rPr>
            </w:pPr>
            <w:r>
              <w:rPr>
                <w:rFonts w:ascii="Times New Roman" w:hAnsi="Times New Roman" w:eastAsia="宋体" w:cs="Times New Roman"/>
                <w:color w:val="auto"/>
                <w:sz w:val="18"/>
                <w:szCs w:val="18"/>
              </w:rPr>
              <w:t>Secreted or circulating ECM-associated clues</w:t>
            </w:r>
          </w:p>
        </w:tc>
        <w:tc>
          <w:tcPr>
            <w:tcW w:w="1871" w:type="dxa"/>
            <w:tcBorders>
              <w:top w:val="nil"/>
              <w:left w:val="nil"/>
              <w:bottom w:val="nil"/>
              <w:right w:val="nil"/>
            </w:tcBorders>
            <w:tcMar>
              <w:top w:w="60" w:type="dxa"/>
              <w:left w:w="80" w:type="dxa"/>
              <w:bottom w:w="60" w:type="dxa"/>
              <w:right w:w="80" w:type="dxa"/>
            </w:tcMar>
            <w:vAlign w:val="center"/>
          </w:tcPr>
          <w:p w14:paraId="0312192D">
            <w:pPr>
              <w:spacing w:after="0" w:line="360" w:lineRule="auto"/>
              <w:rPr>
                <w:color w:val="auto"/>
                <w:sz w:val="18"/>
                <w:szCs w:val="18"/>
              </w:rPr>
            </w:pPr>
            <w:r>
              <w:rPr>
                <w:rFonts w:ascii="Times New Roman" w:hAnsi="Times New Roman" w:eastAsia="宋体" w:cs="Times New Roman"/>
                <w:color w:val="auto"/>
                <w:sz w:val="18"/>
                <w:szCs w:val="18"/>
              </w:rPr>
              <w:t>Serum, plasma, or extracellular-vesicle related assays</w:t>
            </w:r>
          </w:p>
        </w:tc>
        <w:tc>
          <w:tcPr>
            <w:tcW w:w="2438" w:type="dxa"/>
            <w:tcBorders>
              <w:top w:val="nil"/>
              <w:left w:val="nil"/>
              <w:bottom w:val="nil"/>
              <w:right w:val="nil"/>
            </w:tcBorders>
            <w:tcMar>
              <w:top w:w="60" w:type="dxa"/>
              <w:left w:w="80" w:type="dxa"/>
              <w:bottom w:w="60" w:type="dxa"/>
              <w:right w:w="80" w:type="dxa"/>
            </w:tcMar>
            <w:vAlign w:val="center"/>
          </w:tcPr>
          <w:p w14:paraId="685C89D2">
            <w:pPr>
              <w:spacing w:after="0" w:line="360" w:lineRule="auto"/>
              <w:rPr>
                <w:color w:val="auto"/>
                <w:sz w:val="18"/>
                <w:szCs w:val="18"/>
              </w:rPr>
            </w:pPr>
            <w:r>
              <w:rPr>
                <w:rFonts w:ascii="Times New Roman" w:hAnsi="Times New Roman" w:eastAsia="宋体" w:cs="Times New Roman"/>
                <w:color w:val="auto"/>
                <w:sz w:val="18"/>
                <w:szCs w:val="18"/>
              </w:rPr>
              <w:t>Type IV collagen and stiffness-related small extracellular vesicles</w:t>
            </w:r>
          </w:p>
        </w:tc>
        <w:tc>
          <w:tcPr>
            <w:tcW w:w="2891" w:type="dxa"/>
            <w:tcBorders>
              <w:top w:val="nil"/>
              <w:left w:val="nil"/>
              <w:bottom w:val="nil"/>
              <w:right w:val="nil"/>
            </w:tcBorders>
            <w:tcMar>
              <w:top w:w="60" w:type="dxa"/>
              <w:left w:w="80" w:type="dxa"/>
              <w:bottom w:w="60" w:type="dxa"/>
              <w:right w:w="80" w:type="dxa"/>
            </w:tcMar>
            <w:vAlign w:val="center"/>
          </w:tcPr>
          <w:p w14:paraId="41201927">
            <w:pPr>
              <w:spacing w:after="0" w:line="360" w:lineRule="auto"/>
              <w:rPr>
                <w:color w:val="auto"/>
                <w:sz w:val="18"/>
                <w:szCs w:val="18"/>
              </w:rPr>
            </w:pPr>
            <w:r>
              <w:rPr>
                <w:rFonts w:ascii="Times New Roman" w:hAnsi="Times New Roman" w:eastAsia="宋体" w:cs="Times New Roman"/>
                <w:color w:val="auto"/>
                <w:sz w:val="18"/>
                <w:szCs w:val="18"/>
              </w:rPr>
              <w:t>May support monitoring or liquid-biopsy exploration, but longitudinal validation remains inadequate</w:t>
            </w:r>
          </w:p>
        </w:tc>
        <w:tc>
          <w:tcPr>
            <w:tcW w:w="680" w:type="dxa"/>
            <w:tcBorders>
              <w:top w:val="nil"/>
              <w:left w:val="nil"/>
              <w:bottom w:val="nil"/>
              <w:right w:val="nil"/>
            </w:tcBorders>
            <w:tcMar>
              <w:top w:w="60" w:type="dxa"/>
              <w:left w:w="80" w:type="dxa"/>
              <w:bottom w:w="60" w:type="dxa"/>
              <w:right w:w="80" w:type="dxa"/>
            </w:tcMar>
            <w:vAlign w:val="center"/>
          </w:tcPr>
          <w:p w14:paraId="0771D22D">
            <w:pPr>
              <w:spacing w:after="0" w:line="360" w:lineRule="auto"/>
              <w:rPr>
                <w:color w:val="auto"/>
                <w:sz w:val="18"/>
                <w:szCs w:val="18"/>
              </w:rPr>
            </w:pP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CITEREF051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51</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CITEREF061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61</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p>
        </w:tc>
      </w:tr>
      <w:tr w14:paraId="15CEC41D">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4" w:type="dxa"/>
            <w:tcBorders>
              <w:top w:val="nil"/>
              <w:left w:val="nil"/>
              <w:bottom w:val="nil"/>
              <w:right w:val="nil"/>
            </w:tcBorders>
            <w:tcMar>
              <w:top w:w="60" w:type="dxa"/>
              <w:left w:w="80" w:type="dxa"/>
              <w:bottom w:w="60" w:type="dxa"/>
              <w:right w:w="80" w:type="dxa"/>
            </w:tcMar>
            <w:vAlign w:val="center"/>
          </w:tcPr>
          <w:p w14:paraId="618FE927">
            <w:pPr>
              <w:spacing w:after="0" w:line="360" w:lineRule="auto"/>
              <w:rPr>
                <w:color w:val="auto"/>
                <w:sz w:val="18"/>
                <w:szCs w:val="18"/>
              </w:rPr>
            </w:pPr>
            <w:r>
              <w:rPr>
                <w:rFonts w:ascii="Times New Roman" w:hAnsi="Times New Roman" w:eastAsia="宋体" w:cs="Times New Roman"/>
                <w:color w:val="auto"/>
                <w:sz w:val="18"/>
                <w:szCs w:val="18"/>
              </w:rPr>
              <w:t>Tissue-associated candidate molecules</w:t>
            </w:r>
          </w:p>
        </w:tc>
        <w:tc>
          <w:tcPr>
            <w:tcW w:w="1871" w:type="dxa"/>
            <w:tcBorders>
              <w:top w:val="nil"/>
              <w:left w:val="nil"/>
              <w:bottom w:val="nil"/>
              <w:right w:val="nil"/>
            </w:tcBorders>
            <w:tcMar>
              <w:top w:w="60" w:type="dxa"/>
              <w:left w:w="80" w:type="dxa"/>
              <w:bottom w:w="60" w:type="dxa"/>
              <w:right w:w="80" w:type="dxa"/>
            </w:tcMar>
            <w:vAlign w:val="center"/>
          </w:tcPr>
          <w:p w14:paraId="68F05CD9">
            <w:pPr>
              <w:spacing w:after="0" w:line="360" w:lineRule="auto"/>
              <w:rPr>
                <w:color w:val="auto"/>
                <w:sz w:val="18"/>
                <w:szCs w:val="18"/>
              </w:rPr>
            </w:pPr>
            <w:r>
              <w:rPr>
                <w:rFonts w:ascii="Times New Roman" w:hAnsi="Times New Roman" w:eastAsia="宋体" w:cs="Times New Roman"/>
                <w:color w:val="auto"/>
                <w:sz w:val="18"/>
                <w:szCs w:val="18"/>
              </w:rPr>
              <w:t>Tumor tissue or proteomic assays</w:t>
            </w:r>
          </w:p>
        </w:tc>
        <w:tc>
          <w:tcPr>
            <w:tcW w:w="2438" w:type="dxa"/>
            <w:tcBorders>
              <w:top w:val="nil"/>
              <w:left w:val="nil"/>
              <w:bottom w:val="nil"/>
              <w:right w:val="nil"/>
            </w:tcBorders>
            <w:tcMar>
              <w:top w:w="60" w:type="dxa"/>
              <w:left w:w="80" w:type="dxa"/>
              <w:bottom w:w="60" w:type="dxa"/>
              <w:right w:w="80" w:type="dxa"/>
            </w:tcMar>
            <w:vAlign w:val="center"/>
          </w:tcPr>
          <w:p w14:paraId="6826EF4F">
            <w:pPr>
              <w:spacing w:after="0" w:line="360" w:lineRule="auto"/>
              <w:rPr>
                <w:color w:val="auto"/>
                <w:sz w:val="18"/>
                <w:szCs w:val="18"/>
              </w:rPr>
            </w:pPr>
            <w:r>
              <w:rPr>
                <w:rFonts w:ascii="Times New Roman" w:hAnsi="Times New Roman" w:cs="Times New Roman"/>
                <w:i/>
                <w:color w:val="auto"/>
                <w:sz w:val="18"/>
                <w:szCs w:val="18"/>
              </w:rPr>
              <w:t>CLEC3A</w:t>
            </w:r>
            <w:r>
              <w:rPr>
                <w:rFonts w:ascii="Times New Roman" w:hAnsi="Times New Roman" w:cs="Times New Roman"/>
                <w:color w:val="auto"/>
                <w:sz w:val="18"/>
                <w:szCs w:val="18"/>
              </w:rPr>
              <w:t xml:space="preserve">, </w:t>
            </w:r>
            <w:r>
              <w:rPr>
                <w:rFonts w:ascii="Times New Roman" w:hAnsi="Times New Roman" w:cs="Times New Roman"/>
                <w:i/>
                <w:color w:val="auto"/>
                <w:sz w:val="18"/>
                <w:szCs w:val="18"/>
              </w:rPr>
              <w:t>PLOD</w:t>
            </w:r>
            <w:r>
              <w:rPr>
                <w:rFonts w:ascii="Times New Roman" w:hAnsi="Times New Roman" w:cs="Times New Roman"/>
                <w:color w:val="auto"/>
                <w:sz w:val="18"/>
                <w:szCs w:val="18"/>
              </w:rPr>
              <w:t xml:space="preserve"> family, and </w:t>
            </w:r>
            <w:r>
              <w:rPr>
                <w:rFonts w:ascii="Times New Roman" w:hAnsi="Times New Roman" w:eastAsia="宋体" w:cs="Times New Roman"/>
                <w:color w:val="auto"/>
                <w:sz w:val="18"/>
                <w:szCs w:val="18"/>
              </w:rPr>
              <w:t>decellularized-matrix related proteomic clues</w:t>
            </w:r>
          </w:p>
        </w:tc>
        <w:tc>
          <w:tcPr>
            <w:tcW w:w="2891" w:type="dxa"/>
            <w:tcBorders>
              <w:top w:val="nil"/>
              <w:left w:val="nil"/>
              <w:bottom w:val="nil"/>
              <w:right w:val="nil"/>
            </w:tcBorders>
            <w:tcMar>
              <w:top w:w="60" w:type="dxa"/>
              <w:left w:w="80" w:type="dxa"/>
              <w:bottom w:w="60" w:type="dxa"/>
              <w:right w:w="80" w:type="dxa"/>
            </w:tcMar>
            <w:vAlign w:val="center"/>
          </w:tcPr>
          <w:p w14:paraId="38B79AEB">
            <w:pPr>
              <w:spacing w:after="0" w:line="360" w:lineRule="auto"/>
              <w:rPr>
                <w:color w:val="auto"/>
                <w:sz w:val="18"/>
                <w:szCs w:val="18"/>
              </w:rPr>
            </w:pPr>
            <w:r>
              <w:rPr>
                <w:rFonts w:ascii="Times New Roman" w:hAnsi="Times New Roman" w:eastAsia="宋体" w:cs="Times New Roman"/>
                <w:color w:val="auto"/>
                <w:sz w:val="18"/>
                <w:szCs w:val="18"/>
              </w:rPr>
              <w:t>May complement pathology-based stratification, yet direct clinical thresholds are not established</w:t>
            </w:r>
          </w:p>
        </w:tc>
        <w:tc>
          <w:tcPr>
            <w:tcW w:w="680" w:type="dxa"/>
            <w:tcBorders>
              <w:top w:val="nil"/>
              <w:left w:val="nil"/>
              <w:bottom w:val="nil"/>
              <w:right w:val="nil"/>
            </w:tcBorders>
            <w:tcMar>
              <w:top w:w="60" w:type="dxa"/>
              <w:left w:w="80" w:type="dxa"/>
              <w:bottom w:w="60" w:type="dxa"/>
              <w:right w:w="80" w:type="dxa"/>
            </w:tcMar>
            <w:vAlign w:val="center"/>
          </w:tcPr>
          <w:p w14:paraId="76BEEE74">
            <w:pPr>
              <w:spacing w:after="0" w:line="360" w:lineRule="auto"/>
              <w:rPr>
                <w:color w:val="auto"/>
                <w:sz w:val="18"/>
                <w:szCs w:val="18"/>
              </w:rPr>
            </w:pP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CITEREF059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59</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CITEREF060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60</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p>
        </w:tc>
      </w:tr>
      <w:tr w14:paraId="494FABEF">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4" w:type="dxa"/>
            <w:tcBorders>
              <w:top w:val="nil"/>
              <w:left w:val="nil"/>
              <w:bottom w:val="nil"/>
              <w:right w:val="nil"/>
            </w:tcBorders>
            <w:tcMar>
              <w:top w:w="60" w:type="dxa"/>
              <w:left w:w="80" w:type="dxa"/>
              <w:bottom w:w="60" w:type="dxa"/>
              <w:right w:w="80" w:type="dxa"/>
            </w:tcMar>
            <w:vAlign w:val="center"/>
          </w:tcPr>
          <w:p w14:paraId="38465CA2">
            <w:pPr>
              <w:spacing w:after="0" w:line="360" w:lineRule="auto"/>
              <w:rPr>
                <w:color w:val="auto"/>
                <w:sz w:val="18"/>
                <w:szCs w:val="18"/>
              </w:rPr>
            </w:pPr>
            <w:r>
              <w:rPr>
                <w:rFonts w:ascii="Times New Roman" w:hAnsi="Times New Roman" w:eastAsia="宋体" w:cs="Times New Roman"/>
                <w:color w:val="auto"/>
                <w:sz w:val="18"/>
                <w:szCs w:val="18"/>
              </w:rPr>
              <w:t>Radiomics and peritumoral imaging cues</w:t>
            </w:r>
          </w:p>
        </w:tc>
        <w:tc>
          <w:tcPr>
            <w:tcW w:w="1871" w:type="dxa"/>
            <w:tcBorders>
              <w:top w:val="nil"/>
              <w:left w:val="nil"/>
              <w:bottom w:val="nil"/>
              <w:right w:val="nil"/>
            </w:tcBorders>
            <w:tcMar>
              <w:top w:w="60" w:type="dxa"/>
              <w:left w:w="80" w:type="dxa"/>
              <w:bottom w:w="60" w:type="dxa"/>
              <w:right w:w="80" w:type="dxa"/>
            </w:tcMar>
            <w:vAlign w:val="center"/>
          </w:tcPr>
          <w:p w14:paraId="7E5C935B">
            <w:pPr>
              <w:spacing w:after="0" w:line="360" w:lineRule="auto"/>
              <w:rPr>
                <w:color w:val="auto"/>
                <w:sz w:val="18"/>
                <w:szCs w:val="18"/>
              </w:rPr>
            </w:pPr>
            <w:r>
              <w:rPr>
                <w:rFonts w:ascii="Times New Roman" w:hAnsi="Times New Roman" w:eastAsia="宋体" w:cs="Times New Roman"/>
                <w:color w:val="auto"/>
                <w:sz w:val="18"/>
                <w:szCs w:val="18"/>
              </w:rPr>
              <w:t>AI-assisted ultrasound radiomics and peritumoral radiomics</w:t>
            </w:r>
          </w:p>
        </w:tc>
        <w:tc>
          <w:tcPr>
            <w:tcW w:w="2438" w:type="dxa"/>
            <w:tcBorders>
              <w:top w:val="nil"/>
              <w:left w:val="nil"/>
              <w:bottom w:val="nil"/>
              <w:right w:val="nil"/>
            </w:tcBorders>
            <w:tcMar>
              <w:top w:w="60" w:type="dxa"/>
              <w:left w:w="80" w:type="dxa"/>
              <w:bottom w:w="60" w:type="dxa"/>
              <w:right w:w="80" w:type="dxa"/>
            </w:tcMar>
            <w:vAlign w:val="center"/>
          </w:tcPr>
          <w:p w14:paraId="408E0877">
            <w:pPr>
              <w:spacing w:after="0" w:line="360" w:lineRule="auto"/>
              <w:rPr>
                <w:color w:val="auto"/>
                <w:sz w:val="18"/>
                <w:szCs w:val="18"/>
              </w:rPr>
            </w:pPr>
            <w:r>
              <w:rPr>
                <w:rFonts w:ascii="Times New Roman" w:hAnsi="Times New Roman" w:eastAsia="宋体" w:cs="Times New Roman"/>
                <w:color w:val="auto"/>
                <w:sz w:val="18"/>
                <w:szCs w:val="18"/>
              </w:rPr>
              <w:t>Integrates stiffness, morphology, texture, and peritumoral microenvironmental information</w:t>
            </w:r>
          </w:p>
        </w:tc>
        <w:tc>
          <w:tcPr>
            <w:tcW w:w="2891" w:type="dxa"/>
            <w:tcBorders>
              <w:top w:val="nil"/>
              <w:left w:val="nil"/>
              <w:bottom w:val="nil"/>
              <w:right w:val="nil"/>
            </w:tcBorders>
            <w:tcMar>
              <w:top w:w="60" w:type="dxa"/>
              <w:left w:w="80" w:type="dxa"/>
              <w:bottom w:w="60" w:type="dxa"/>
              <w:right w:w="80" w:type="dxa"/>
            </w:tcMar>
            <w:vAlign w:val="center"/>
          </w:tcPr>
          <w:p w14:paraId="23E78131">
            <w:pPr>
              <w:spacing w:after="0" w:line="360" w:lineRule="auto"/>
              <w:rPr>
                <w:color w:val="auto"/>
                <w:sz w:val="18"/>
                <w:szCs w:val="18"/>
              </w:rPr>
            </w:pPr>
            <w:r>
              <w:rPr>
                <w:rFonts w:ascii="Times New Roman" w:hAnsi="Times New Roman" w:eastAsia="宋体" w:cs="Times New Roman"/>
                <w:color w:val="auto"/>
                <w:sz w:val="18"/>
                <w:szCs w:val="18"/>
              </w:rPr>
              <w:t>May help form a composite risk model, but generalizability and external validation remain bottlenecks</w:t>
            </w:r>
          </w:p>
        </w:tc>
        <w:tc>
          <w:tcPr>
            <w:tcW w:w="680" w:type="dxa"/>
            <w:tcBorders>
              <w:top w:val="nil"/>
              <w:left w:val="nil"/>
              <w:bottom w:val="nil"/>
              <w:right w:val="nil"/>
            </w:tcBorders>
            <w:tcMar>
              <w:top w:w="60" w:type="dxa"/>
              <w:left w:w="80" w:type="dxa"/>
              <w:bottom w:w="60" w:type="dxa"/>
              <w:right w:w="80" w:type="dxa"/>
            </w:tcMar>
            <w:vAlign w:val="center"/>
          </w:tcPr>
          <w:p w14:paraId="035404FA">
            <w:pPr>
              <w:spacing w:after="0" w:line="360" w:lineRule="auto"/>
              <w:rPr>
                <w:color w:val="auto"/>
                <w:sz w:val="18"/>
                <w:szCs w:val="18"/>
              </w:rPr>
            </w:pP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CITEREF055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55</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CITEREF062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62</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CITEREF064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64</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p>
        </w:tc>
      </w:tr>
      <w:tr w14:paraId="4656200F">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44" w:type="dxa"/>
            <w:tcBorders>
              <w:top w:val="nil"/>
              <w:left w:val="nil"/>
              <w:bottom w:val="single" w:color="000000" w:sz="8" w:space="0"/>
              <w:right w:val="nil"/>
            </w:tcBorders>
            <w:tcMar>
              <w:top w:w="60" w:type="dxa"/>
              <w:left w:w="80" w:type="dxa"/>
              <w:bottom w:w="60" w:type="dxa"/>
              <w:right w:w="80" w:type="dxa"/>
            </w:tcMar>
            <w:vAlign w:val="center"/>
          </w:tcPr>
          <w:p w14:paraId="1083C3C0">
            <w:pPr>
              <w:spacing w:after="0" w:line="360" w:lineRule="auto"/>
              <w:rPr>
                <w:color w:val="auto"/>
                <w:sz w:val="18"/>
                <w:szCs w:val="18"/>
              </w:rPr>
            </w:pPr>
            <w:r>
              <w:rPr>
                <w:rFonts w:ascii="Times New Roman" w:hAnsi="Times New Roman" w:eastAsia="宋体" w:cs="Times New Roman"/>
                <w:color w:val="auto"/>
                <w:sz w:val="18"/>
                <w:szCs w:val="18"/>
              </w:rPr>
              <w:t>Microscale mechanical measurement tools</w:t>
            </w:r>
          </w:p>
        </w:tc>
        <w:tc>
          <w:tcPr>
            <w:tcW w:w="1871" w:type="dxa"/>
            <w:tcBorders>
              <w:top w:val="nil"/>
              <w:left w:val="nil"/>
              <w:bottom w:val="single" w:color="000000" w:sz="8" w:space="0"/>
              <w:right w:val="nil"/>
            </w:tcBorders>
            <w:tcMar>
              <w:top w:w="60" w:type="dxa"/>
              <w:left w:w="80" w:type="dxa"/>
              <w:bottom w:w="60" w:type="dxa"/>
              <w:right w:w="80" w:type="dxa"/>
            </w:tcMar>
            <w:vAlign w:val="center"/>
          </w:tcPr>
          <w:p w14:paraId="29F951A7">
            <w:pPr>
              <w:spacing w:after="0" w:line="360" w:lineRule="auto"/>
              <w:rPr>
                <w:color w:val="auto"/>
                <w:sz w:val="18"/>
                <w:szCs w:val="18"/>
              </w:rPr>
            </w:pPr>
            <w:r>
              <w:rPr>
                <w:rFonts w:ascii="Times New Roman" w:hAnsi="Times New Roman" w:eastAsia="宋体" w:cs="Times New Roman"/>
                <w:color w:val="auto"/>
                <w:sz w:val="18"/>
                <w:szCs w:val="18"/>
              </w:rPr>
              <w:t>AFM and Young's modulus analysis</w:t>
            </w:r>
          </w:p>
        </w:tc>
        <w:tc>
          <w:tcPr>
            <w:tcW w:w="2438" w:type="dxa"/>
            <w:tcBorders>
              <w:top w:val="nil"/>
              <w:left w:val="nil"/>
              <w:bottom w:val="single" w:color="000000" w:sz="8" w:space="0"/>
              <w:right w:val="nil"/>
            </w:tcBorders>
            <w:tcMar>
              <w:top w:w="60" w:type="dxa"/>
              <w:left w:w="80" w:type="dxa"/>
              <w:bottom w:w="60" w:type="dxa"/>
              <w:right w:w="80" w:type="dxa"/>
            </w:tcMar>
            <w:vAlign w:val="center"/>
          </w:tcPr>
          <w:p w14:paraId="5CBE3049">
            <w:pPr>
              <w:spacing w:after="0" w:line="360" w:lineRule="auto"/>
              <w:rPr>
                <w:color w:val="auto"/>
                <w:sz w:val="18"/>
                <w:szCs w:val="18"/>
              </w:rPr>
            </w:pPr>
            <w:r>
              <w:rPr>
                <w:rFonts w:ascii="Times New Roman" w:hAnsi="Times New Roman" w:eastAsia="宋体" w:cs="Times New Roman"/>
                <w:color w:val="auto"/>
                <w:sz w:val="18"/>
                <w:szCs w:val="18"/>
              </w:rPr>
              <w:t>Directly characterizes the microscale mechanical properties of cells or tissues</w:t>
            </w:r>
          </w:p>
        </w:tc>
        <w:tc>
          <w:tcPr>
            <w:tcW w:w="2891" w:type="dxa"/>
            <w:tcBorders>
              <w:top w:val="nil"/>
              <w:left w:val="nil"/>
              <w:bottom w:val="single" w:color="000000" w:sz="8" w:space="0"/>
              <w:right w:val="nil"/>
            </w:tcBorders>
            <w:tcMar>
              <w:top w:w="60" w:type="dxa"/>
              <w:left w:w="80" w:type="dxa"/>
              <w:bottom w:w="60" w:type="dxa"/>
              <w:right w:w="80" w:type="dxa"/>
            </w:tcMar>
            <w:vAlign w:val="center"/>
          </w:tcPr>
          <w:p w14:paraId="074F3857">
            <w:pPr>
              <w:spacing w:after="0" w:line="360" w:lineRule="auto"/>
              <w:rPr>
                <w:color w:val="auto"/>
                <w:sz w:val="18"/>
                <w:szCs w:val="18"/>
              </w:rPr>
            </w:pPr>
            <w:r>
              <w:rPr>
                <w:rFonts w:ascii="Times New Roman" w:hAnsi="Times New Roman" w:eastAsia="宋体" w:cs="Times New Roman"/>
                <w:color w:val="auto"/>
                <w:sz w:val="18"/>
                <w:szCs w:val="18"/>
              </w:rPr>
              <w:t>More useful as a methodological and mechanistic complement than as a routine clinical tool at present</w:t>
            </w:r>
          </w:p>
        </w:tc>
        <w:tc>
          <w:tcPr>
            <w:tcW w:w="680" w:type="dxa"/>
            <w:tcBorders>
              <w:top w:val="nil"/>
              <w:left w:val="nil"/>
              <w:bottom w:val="single" w:color="000000" w:sz="8" w:space="0"/>
              <w:right w:val="nil"/>
            </w:tcBorders>
            <w:tcMar>
              <w:top w:w="60" w:type="dxa"/>
              <w:left w:w="80" w:type="dxa"/>
              <w:bottom w:w="60" w:type="dxa"/>
              <w:right w:w="80" w:type="dxa"/>
            </w:tcMar>
            <w:vAlign w:val="center"/>
          </w:tcPr>
          <w:p w14:paraId="05311097">
            <w:pPr>
              <w:spacing w:after="0" w:line="360" w:lineRule="auto"/>
              <w:rPr>
                <w:color w:val="auto"/>
                <w:sz w:val="18"/>
                <w:szCs w:val="18"/>
              </w:rPr>
            </w:pP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CITEREF065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65</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r>
              <w:rPr>
                <w:rFonts w:ascii="Times New Roman" w:hAnsi="Times New Roman" w:eastAsia="宋体" w:cs="Times New Roman"/>
                <w:color w:val="auto"/>
                <w:sz w:val="18"/>
                <w:szCs w:val="18"/>
                <w:vertAlign w:val="superscript"/>
              </w:rPr>
              <w:fldChar w:fldCharType="begin"/>
            </w:r>
            <w:r>
              <w:instrText xml:space="preserve"> REF CITEREF066 \r \h \# "0"  \* MERGEFORMAT</w:instrText>
            </w:r>
            <w:r>
              <w:rPr>
                <w:rFonts w:ascii="Times New Roman" w:hAnsi="Times New Roman" w:eastAsia="宋体" w:cs="Times New Roman"/>
                <w:color w:val="auto"/>
                <w:sz w:val="18"/>
                <w:szCs w:val="18"/>
                <w:vertAlign w:val="superscript"/>
              </w:rPr>
              <w:fldChar w:fldCharType="separate"/>
            </w:r>
            <w:r>
              <w:rPr>
                <w:rFonts w:ascii="Times New Roman" w:hAnsi="Times New Roman" w:eastAsia="宋体" w:cs="Times New Roman"/>
                <w:color w:val="auto"/>
                <w:sz w:val="18"/>
                <w:szCs w:val="18"/>
                <w:vertAlign w:val="superscript"/>
              </w:rPr>
              <w:t>66</w:t>
            </w:r>
            <w:r>
              <w:rPr>
                <w:rFonts w:ascii="Times New Roman" w:hAnsi="Times New Roman" w:eastAsia="宋体" w:cs="Times New Roman"/>
                <w:color w:val="auto"/>
                <w:sz w:val="18"/>
                <w:szCs w:val="18"/>
                <w:vertAlign w:val="superscript"/>
              </w:rPr>
              <w:fldChar w:fldCharType="end"/>
            </w:r>
            <w:r>
              <w:rPr>
                <w:rFonts w:ascii="Times New Roman" w:hAnsi="Times New Roman" w:eastAsia="宋体" w:cs="Times New Roman"/>
                <w:color w:val="auto"/>
                <w:sz w:val="18"/>
                <w:szCs w:val="18"/>
                <w:vertAlign w:val="superscript"/>
              </w:rPr>
              <w:t>]</w:t>
            </w:r>
          </w:p>
        </w:tc>
      </w:tr>
    </w:tbl>
    <w:p w14:paraId="7118C9EB">
      <w:pPr>
        <w:spacing w:before="40" w:after="0" w:line="360" w:lineRule="auto"/>
        <w:rPr>
          <w:rFonts w:ascii="Times New Roman" w:hAnsi="Times New Roman"/>
          <w:color w:val="auto"/>
          <w:sz w:val="18"/>
          <w:szCs w:val="18"/>
        </w:rPr>
      </w:pPr>
      <w:r>
        <w:rPr>
          <w:rFonts w:ascii="Times New Roman" w:hAnsi="Times New Roman" w:eastAsia="宋体" w:cs="Times New Roman"/>
          <w:color w:val="auto"/>
          <w:sz w:val="18"/>
          <w:szCs w:val="18"/>
        </w:rPr>
        <w:t>注：References 列数字与正文参考文献编号一致。SWE 为剪切波弹性成像（shear wave elastography）；YAP1 为 Yes相关蛋白1（Yes-associated protein 1）；SHG 为二次谐波成像（second harmonic generation）；TACS 为肿瘤相关胶原特征（tumor-associated collagen signatures）；ECM 为细胞外基质（extracellular matrix）；Ki-67 为细胞增殖标志物；</w:t>
      </w:r>
      <w:r>
        <w:rPr>
          <w:rFonts w:ascii="Times New Roman" w:hAnsi="Times New Roman" w:cs="Times New Roman"/>
          <w:i/>
          <w:color w:val="auto"/>
          <w:sz w:val="18"/>
          <w:szCs w:val="18"/>
        </w:rPr>
        <w:t>COL1A1</w:t>
      </w:r>
      <w:r>
        <w:rPr>
          <w:rFonts w:ascii="Times New Roman" w:hAnsi="Times New Roman" w:eastAsia="宋体" w:cs="Times New Roman"/>
          <w:color w:val="auto"/>
          <w:sz w:val="18"/>
          <w:szCs w:val="18"/>
        </w:rPr>
        <w:t xml:space="preserve"> 为Ⅰ型胶原α1链（collagen type I alpha 1 chain）；integrin 为整合素；DDR 为盘状结构域受体（discoidin domain receptor）；</w:t>
      </w:r>
      <w:r>
        <w:rPr>
          <w:rFonts w:ascii="Times New Roman" w:hAnsi="Times New Roman" w:cs="Times New Roman"/>
          <w:i/>
          <w:color w:val="auto"/>
          <w:sz w:val="18"/>
          <w:szCs w:val="18"/>
        </w:rPr>
        <w:t>CLEC3A</w:t>
      </w:r>
      <w:r>
        <w:rPr>
          <w:rFonts w:ascii="Times New Roman" w:hAnsi="Times New Roman" w:eastAsia="宋体" w:cs="Times New Roman"/>
          <w:color w:val="auto"/>
          <w:sz w:val="18"/>
          <w:szCs w:val="18"/>
        </w:rPr>
        <w:t xml:space="preserve"> 为 C型凝集素结构域家族3成员A（C-type lectin domain family 3 member A）；</w:t>
      </w:r>
      <w:r>
        <w:rPr>
          <w:rFonts w:ascii="Times New Roman" w:hAnsi="Times New Roman" w:cs="Times New Roman"/>
          <w:i/>
          <w:color w:val="auto"/>
          <w:sz w:val="18"/>
          <w:szCs w:val="18"/>
        </w:rPr>
        <w:t>PLOD</w:t>
      </w:r>
      <w:r>
        <w:rPr>
          <w:rFonts w:ascii="Times New Roman" w:hAnsi="Times New Roman" w:eastAsia="宋体" w:cs="Times New Roman"/>
          <w:color w:val="auto"/>
          <w:sz w:val="18"/>
          <w:szCs w:val="18"/>
        </w:rPr>
        <w:t xml:space="preserve"> 为前胶原赖氨酸2-酮戊二酸5-双加氧酶（procollagen-lysine,2-oxoglutarate 5-dioxygenase）；AI 为人工智能（artificial intelligence）；AFM 为原子力显微镜（atomic force microscopy）。</w:t>
      </w:r>
    </w:p>
    <w:p w14:paraId="5F0740D8">
      <w:pPr>
        <w:spacing w:before="40" w:after="0" w:line="360" w:lineRule="auto"/>
        <w:rPr>
          <w:color w:val="auto"/>
          <w:sz w:val="18"/>
          <w:szCs w:val="18"/>
        </w:rPr>
      </w:pPr>
      <w:r>
        <w:rPr>
          <w:rFonts w:ascii="Times New Roman" w:hAnsi="Times New Roman" w:cs="Times New Roman"/>
          <w:color w:val="auto"/>
          <w:sz w:val="18"/>
          <w:szCs w:val="18"/>
        </w:rPr>
        <w:t xml:space="preserve">Note: The numbers in the References column correspond to the reference numbers cited in the main text. SWE, shear wave elastography; YAP1, Yes-associated protein 1; SHG, second harmonic generation; TACS, tumor-associated collagen signatures; ECM, extracellular matrix; Ki-67, proliferation marker Ki-67; </w:t>
      </w:r>
      <w:r>
        <w:rPr>
          <w:rFonts w:ascii="Times New Roman" w:hAnsi="Times New Roman" w:cs="Times New Roman"/>
          <w:i/>
          <w:color w:val="auto"/>
          <w:sz w:val="18"/>
          <w:szCs w:val="18"/>
        </w:rPr>
        <w:t>COL1A1</w:t>
      </w:r>
      <w:r>
        <w:rPr>
          <w:rFonts w:ascii="Times New Roman" w:hAnsi="Times New Roman" w:cs="Times New Roman"/>
          <w:color w:val="auto"/>
          <w:sz w:val="18"/>
          <w:szCs w:val="18"/>
        </w:rPr>
        <w:t xml:space="preserve">, collagen type I alpha 1 chain; integrin, integrin; DDR, discoidin domain receptor; </w:t>
      </w:r>
      <w:r>
        <w:rPr>
          <w:rFonts w:ascii="Times New Roman" w:hAnsi="Times New Roman" w:cs="Times New Roman"/>
          <w:i/>
          <w:color w:val="auto"/>
          <w:sz w:val="18"/>
          <w:szCs w:val="18"/>
        </w:rPr>
        <w:t>CLEC3A</w:t>
      </w:r>
      <w:r>
        <w:rPr>
          <w:rFonts w:ascii="Times New Roman" w:hAnsi="Times New Roman" w:cs="Times New Roman"/>
          <w:color w:val="auto"/>
          <w:sz w:val="18"/>
          <w:szCs w:val="18"/>
        </w:rPr>
        <w:t xml:space="preserve">, C-type lectin domain family 3 member A; </w:t>
      </w:r>
      <w:r>
        <w:rPr>
          <w:rFonts w:ascii="Times New Roman" w:hAnsi="Times New Roman" w:cs="Times New Roman"/>
          <w:i/>
          <w:color w:val="auto"/>
          <w:sz w:val="18"/>
          <w:szCs w:val="18"/>
        </w:rPr>
        <w:t>PLOD</w:t>
      </w:r>
      <w:r>
        <w:rPr>
          <w:rFonts w:ascii="Times New Roman" w:hAnsi="Times New Roman" w:cs="Times New Roman"/>
          <w:color w:val="auto"/>
          <w:sz w:val="18"/>
          <w:szCs w:val="18"/>
        </w:rPr>
        <w:t>, procollagen-lysine,2-oxoglutarate 5-dioxygenase; AI, artificial intelligence; AFM, atomic force microscopy.</w:t>
      </w:r>
    </w:p>
    <w:p w14:paraId="344F7DB4">
      <w:pPr>
        <w:pStyle w:val="3"/>
        <w:spacing w:before="80" w:after="40" w:line="360" w:lineRule="auto"/>
        <w:rPr>
          <w:rFonts w:hint="eastAsia" w:ascii="宋体" w:hAnsi="宋体" w:eastAsia="宋体" w:cs="Times New Roman"/>
          <w:b/>
          <w:color w:val="auto"/>
        </w:rPr>
      </w:pPr>
    </w:p>
    <w:p w14:paraId="6896370F">
      <w:pPr>
        <w:pStyle w:val="3"/>
        <w:spacing w:before="80" w:after="40" w:line="360" w:lineRule="auto"/>
        <w:rPr>
          <w:rFonts w:hint="eastAsia" w:ascii="宋体" w:hAnsi="宋体" w:eastAsia="宋体" w:cs="Times New Roman"/>
          <w:b/>
          <w:color w:val="auto"/>
        </w:rPr>
      </w:pPr>
      <w:r>
        <w:rPr>
          <w:rFonts w:hint="eastAsia" w:ascii="Times New Roman" w:hAnsi="Times New Roman" w:eastAsia="宋体" w:cs="Times New Roman"/>
          <w:b/>
          <w:color w:val="auto"/>
        </w:rPr>
        <w:t>4.乳腺癌力学微环境相关干预靶点与治疗策略</w:t>
      </w:r>
    </w:p>
    <w:p w14:paraId="65CB1E07">
      <w:pPr>
        <w:pStyle w:val="3"/>
        <w:spacing w:before="0" w:after="0" w:line="360" w:lineRule="auto"/>
        <w:ind w:firstLine="420"/>
        <w:jc w:val="both"/>
        <w:rPr>
          <w:rFonts w:hint="eastAsia" w:ascii="宋体" w:hAnsi="宋体" w:eastAsia="宋体" w:cs="Times New Roman"/>
          <w:color w:val="auto"/>
        </w:rPr>
      </w:pPr>
      <w:r>
        <w:rPr>
          <w:rFonts w:eastAsia="宋体"/>
          <w:color w:val="auto"/>
        </w:rPr>
        <w:t>从现有证据看，力学微环境相关干预更适宜理解为候选策略图谱，其核心可概括为 ECM 去硬化、机械转导阻断和耐药微环境重塑。炎症-赖氨酰氧化酶样蛋白2（lysyl oxidase-like 2，</w:t>
      </w:r>
      <w:r>
        <w:rPr>
          <w:i w:val="0"/>
          <w:iCs w:val="0"/>
          <w:color w:val="auto"/>
        </w:rPr>
        <w:t>LOXL2</w:t>
      </w:r>
      <w:r>
        <w:rPr>
          <w:rFonts w:eastAsia="宋体"/>
          <w:color w:val="auto"/>
        </w:rPr>
        <w:t xml:space="preserve">）-胶原排列轴提示，肿瘤相关炎症信号可上调 </w:t>
      </w:r>
      <w:r>
        <w:rPr>
          <w:i w:val="0"/>
          <w:iCs w:val="0"/>
          <w:color w:val="auto"/>
        </w:rPr>
        <w:t>LOXL2</w:t>
      </w:r>
      <w:r>
        <w:rPr>
          <w:rFonts w:eastAsia="宋体"/>
          <w:color w:val="auto"/>
        </w:rPr>
        <w:t>，促进胶原交联和纤维有序化，从而增强侵袭表型，这使 ECM 交联抑制或基质去硬化成为较有逻辑的切入点</w:t>
      </w:r>
      <w:r>
        <w:rPr>
          <w:rFonts w:eastAsia="宋体"/>
          <w:color w:val="auto"/>
          <w:vertAlign w:val="superscript"/>
        </w:rPr>
        <w:t>[42]</w:t>
      </w:r>
      <w:r>
        <w:rPr>
          <w:rFonts w:ascii="Times New Roman" w:hAnsi="Times New Roman" w:cs="Times New Roman"/>
          <w:color w:val="auto"/>
          <w:vertAlign w:val="superscript"/>
        </w:rPr>
        <w:fldChar w:fldCharType="begin"/>
      </w:r>
      <w:r>
        <w:instrText xml:space="preserve"> REF CITEREF043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fldChar w:fldCharType="end"/>
      </w:r>
      <w:r>
        <w:rPr>
          <w:color w:val="auto"/>
        </w:rPr>
        <w:t>。</w:t>
      </w:r>
    </w:p>
    <w:p w14:paraId="3C4BDBBE">
      <w:pPr>
        <w:pStyle w:val="3"/>
        <w:spacing w:before="0" w:after="0" w:line="360" w:lineRule="auto"/>
        <w:ind w:firstLine="420"/>
        <w:jc w:val="both"/>
        <w:rPr>
          <w:rFonts w:hint="eastAsia" w:ascii="宋体" w:hAnsi="宋体" w:eastAsia="宋体" w:cs="Times New Roman"/>
          <w:color w:val="auto"/>
        </w:rPr>
      </w:pPr>
      <w:r>
        <w:rPr>
          <w:rFonts w:ascii="Times New Roman" w:hAnsi="Times New Roman" w:eastAsia="宋体" w:cs="Times New Roman"/>
          <w:color w:val="auto"/>
        </w:rPr>
        <w:t>其次，整合素</w:t>
      </w:r>
      <w:r>
        <w:rPr>
          <w:rFonts w:hint="eastAsia" w:ascii="Times New Roman" w:hAnsi="Times New Roman" w:eastAsia="宋体" w:cs="Times New Roman"/>
          <w:color w:val="auto"/>
          <w:lang w:val="en-US" w:eastAsia="zh-CN"/>
        </w:rPr>
        <w:t>-</w:t>
      </w:r>
      <w:r>
        <w:rPr>
          <w:rFonts w:ascii="Times New Roman" w:hAnsi="Times New Roman" w:eastAsia="宋体" w:cs="Times New Roman"/>
          <w:color w:val="auto"/>
        </w:rPr>
        <w:t>FAK 轴可将外部受力变化传递至细胞迁移、收缩和侵袭等执行程序。TNBC 前临床研究显示，H1 受体拮抗剂依巴斯汀（ebastine）可结合 FAK 酪氨酸激酶结构域，并抑制 Y397 和 Y576/577 位点磷酸化。；在 MDA-MB-231、4T1 和 BT549 细胞中，10-20 μM</w:t>
      </w:r>
      <w:r>
        <w:rPr>
          <w:rFonts w:hint="eastAsia" w:ascii="Times New Roman" w:hAnsi="Times New Roman" w:cs="Times New Roman"/>
          <w:color w:val="auto"/>
        </w:rPr>
        <w:t xml:space="preserve"> </w:t>
      </w:r>
      <w:r>
        <w:rPr>
          <w:rFonts w:ascii="Times New Roman" w:hAnsi="Times New Roman" w:eastAsia="宋体" w:cs="Times New Roman"/>
          <w:color w:val="auto"/>
        </w:rPr>
        <w:t>依巴斯汀处理 48 h 后，FAK/Src相关信号明显下降</w:t>
      </w:r>
      <w:r>
        <w:rPr>
          <w:rFonts w:ascii="Times New Roman" w:hAnsi="Times New Roman" w:eastAsia="宋体" w:cs="Times New Roman"/>
          <w:color w:val="auto"/>
          <w:vertAlign w:val="superscript"/>
        </w:rPr>
        <w:t>[44]</w:t>
      </w:r>
      <w:r>
        <w:rPr>
          <w:rFonts w:ascii="Times New Roman" w:hAnsi="Times New Roman" w:cs="Times New Roman"/>
          <w:color w:val="auto"/>
          <w:vertAlign w:val="superscript"/>
        </w:rPr>
        <w:fldChar w:fldCharType="begin"/>
      </w:r>
      <w:r>
        <w:instrText xml:space="preserve"> REF CITEREF042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fldChar w:fldCharType="end"/>
      </w:r>
      <w:r>
        <w:rPr>
          <w:rFonts w:ascii="Times New Roman" w:hAnsi="Times New Roman" w:eastAsia="宋体" w:cs="Times New Roman"/>
          <w:color w:val="auto"/>
        </w:rPr>
        <w:t>。在 4T1 乳腺癌干细胞富集异种移植模型中，20 mg/kg 依巴斯汀隔日给药 34 d 后，肿瘤负荷、血管生成和肺转移均受到抑制，血清基质金属蛋白酶-2（matrix metalloproteinase-2，MMP-2）/MMP-9 水平也下降</w:t>
      </w:r>
      <w:r>
        <w:rPr>
          <w:rFonts w:ascii="Times New Roman" w:hAnsi="Times New Roman" w:eastAsia="宋体" w:cs="Times New Roman"/>
          <w:color w:val="auto"/>
          <w:vertAlign w:val="superscript"/>
        </w:rPr>
        <w:t>[44]</w:t>
      </w:r>
      <w:r>
        <w:rPr>
          <w:rFonts w:ascii="Times New Roman" w:hAnsi="Times New Roman" w:cs="Times New Roman"/>
          <w:color w:val="auto"/>
          <w:vertAlign w:val="superscript"/>
        </w:rPr>
        <w:fldChar w:fldCharType="begin"/>
      </w:r>
      <w:r>
        <w:instrText xml:space="preserve"> REF CITEREF042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fldChar w:fldCharType="end"/>
      </w:r>
      <w:r>
        <w:rPr>
          <w:rFonts w:ascii="Times New Roman" w:hAnsi="Times New Roman" w:cs="Times New Roman"/>
          <w:color w:val="auto"/>
        </w:rPr>
        <w:t>。</w:t>
      </w:r>
      <w:r>
        <w:rPr>
          <w:rFonts w:hint="eastAsia" w:ascii="Times New Roman" w:hAnsi="Times New Roman" w:eastAsia="宋体" w:cs="Times New Roman"/>
          <w:color w:val="auto"/>
          <w:highlight w:val="none"/>
        </w:rPr>
        <w:t>上述前临床结果提示，FAK及其相关机械转导通路不仅参与TNBC侵袭和转移，还可能成为药物干预的潜在靶点。</w:t>
      </w:r>
      <w:r>
        <w:rPr>
          <w:rFonts w:ascii="Times New Roman" w:hAnsi="Times New Roman" w:eastAsia="宋体" w:cs="Times New Roman"/>
          <w:color w:val="auto"/>
        </w:rPr>
        <w:t>维甲酸与 FAK 抑制剂联用时，对肿瘤生长和播散的抑制作用也强于单药</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CITEREF045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45</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ascii="Times New Roman" w:hAnsi="Times New Roman" w:eastAsia="宋体" w:cs="Times New Roman"/>
          <w:color w:val="auto"/>
        </w:rPr>
        <w:t>。在药物耐受乳腺癌前临床模型中，</w:t>
      </w:r>
      <w:r>
        <w:rPr>
          <w:rFonts w:hint="eastAsia" w:ascii="Times New Roman" w:hAnsi="Times New Roman" w:eastAsia="宋体" w:cs="Times New Roman"/>
          <w:color w:val="auto"/>
        </w:rPr>
        <w:t>靶向整合素α11亚基基因（integrin subunit alpha 11，</w:t>
      </w:r>
      <w:r>
        <w:rPr>
          <w:rFonts w:hint="eastAsia" w:ascii="Times New Roman" w:hAnsi="Times New Roman" w:cs="Times New Roman"/>
          <w:i/>
          <w:iCs/>
          <w:color w:val="auto"/>
        </w:rPr>
        <w:t>ITGA11</w:t>
      </w:r>
      <w:r>
        <w:rPr>
          <w:rFonts w:hint="eastAsia" w:ascii="Times New Roman" w:hAnsi="Times New Roman" w:eastAsia="宋体" w:cs="Times New Roman"/>
          <w:color w:val="auto"/>
        </w:rPr>
        <w:t>）的小干扰RNA（small interfering RNA，</w:t>
      </w:r>
      <w:r>
        <w:rPr>
          <w:rFonts w:hint="eastAsia" w:ascii="Times New Roman" w:hAnsi="Times New Roman" w:cs="Times New Roman"/>
          <w:i/>
          <w:iCs/>
          <w:color w:val="auto"/>
        </w:rPr>
        <w:t>siRNA</w:t>
      </w:r>
      <w:r>
        <w:rPr>
          <w:rFonts w:hint="eastAsia" w:ascii="Times New Roman" w:hAnsi="Times New Roman" w:eastAsia="宋体" w:cs="Times New Roman"/>
          <w:color w:val="auto"/>
        </w:rPr>
        <w:t>）干预亦可抑制肿瘤进展，提示整合素α11相关黏附和机械转导通路可能参与耐药微环境维持，并可作为联合增敏的候选干预通路</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CITEREF067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67</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ascii="Times New Roman" w:hAnsi="Times New Roman" w:eastAsia="宋体" w:cs="Times New Roman"/>
          <w:color w:val="auto"/>
        </w:rPr>
        <w:t>。近期研究还提示，FAK 可能参与程序性死亡配体1（programmed death-ligand 1，PD-L1）稳定性调控，并影响 TNBC 免疫逃逸表型</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CITEREF046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46</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ascii="Times New Roman" w:hAnsi="Times New Roman" w:cs="Times New Roman"/>
          <w:color w:val="auto"/>
        </w:rPr>
        <w:t>。</w:t>
      </w:r>
    </w:p>
    <w:p w14:paraId="4539E2C3">
      <w:pPr>
        <w:pStyle w:val="3"/>
        <w:spacing w:before="0" w:after="0" w:line="360" w:lineRule="auto"/>
        <w:ind w:firstLine="420"/>
        <w:jc w:val="both"/>
        <w:rPr>
          <w:rFonts w:hint="eastAsia" w:ascii="宋体" w:hAnsi="宋体" w:eastAsia="宋体" w:cs="Times New Roman"/>
          <w:color w:val="auto"/>
        </w:rPr>
      </w:pPr>
      <w:r>
        <w:rPr>
          <w:rFonts w:hint="eastAsia" w:ascii="Times New Roman" w:hAnsi="Times New Roman" w:eastAsia="宋体" w:cs="Times New Roman"/>
          <w:color w:val="auto"/>
          <w:highlight w:val="none"/>
        </w:rPr>
        <w:t>除整合素/FAK介导的黏附斑机械信号转导外</w:t>
      </w:r>
      <w:r>
        <w:rPr>
          <w:rFonts w:ascii="Times New Roman" w:hAnsi="Times New Roman" w:eastAsia="宋体" w:cs="Times New Roman"/>
          <w:color w:val="auto"/>
          <w:highlight w:val="none"/>
        </w:rPr>
        <w:t>，</w:t>
      </w:r>
      <w:r>
        <w:rPr>
          <w:rFonts w:ascii="Times New Roman" w:hAnsi="Times New Roman" w:eastAsia="宋体" w:cs="Times New Roman"/>
          <w:iCs/>
          <w:color w:val="auto"/>
        </w:rPr>
        <w:t>YAP/TAZ 及</w:t>
      </w:r>
      <w:r>
        <w:rPr>
          <w:rFonts w:ascii="Times New Roman" w:hAnsi="Times New Roman" w:eastAsia="宋体" w:cs="Times New Roman"/>
          <w:color w:val="auto"/>
        </w:rPr>
        <w:t>其上游表皮生长因子受体（epidermal growth factor receptor，</w:t>
      </w:r>
      <w:r>
        <w:rPr>
          <w:rFonts w:ascii="Times New Roman" w:hAnsi="Times New Roman" w:eastAsia="宋体" w:cs="Times New Roman"/>
          <w:iCs/>
          <w:color w:val="auto"/>
        </w:rPr>
        <w:t>EGFR</w:t>
      </w:r>
      <w:r>
        <w:rPr>
          <w:rFonts w:ascii="Times New Roman" w:hAnsi="Times New Roman" w:eastAsia="宋体" w:cs="Times New Roman"/>
          <w:color w:val="auto"/>
        </w:rPr>
        <w:t xml:space="preserve">）、CAF-ECM 重塑网络也是当前较值得关注的候选层面。可调刚度的水凝胶研究提示，较高基质硬度可激活 </w:t>
      </w:r>
      <w:r>
        <w:rPr>
          <w:rFonts w:ascii="Times New Roman" w:hAnsi="Times New Roman" w:eastAsia="宋体" w:cs="Times New Roman"/>
          <w:iCs/>
          <w:color w:val="auto"/>
        </w:rPr>
        <w:t xml:space="preserve">EGFR-YAP </w:t>
      </w:r>
      <w:r>
        <w:rPr>
          <w:rFonts w:ascii="Times New Roman" w:hAnsi="Times New Roman" w:eastAsia="宋体" w:cs="Times New Roman"/>
          <w:color w:val="auto"/>
        </w:rPr>
        <w:t xml:space="preserve">相关程序，并诱导 P-糖蛋白（P-glycoprotein，P-gp）相关耐药表型；抑制 </w:t>
      </w:r>
      <w:r>
        <w:rPr>
          <w:rFonts w:ascii="Times New Roman" w:hAnsi="Times New Roman" w:eastAsia="宋体" w:cs="Times New Roman"/>
          <w:iCs/>
          <w:color w:val="auto"/>
        </w:rPr>
        <w:t xml:space="preserve">EGFR 或 YAP </w:t>
      </w:r>
      <w:r>
        <w:rPr>
          <w:rFonts w:ascii="Times New Roman" w:hAnsi="Times New Roman" w:eastAsia="宋体" w:cs="Times New Roman"/>
          <w:color w:val="auto"/>
        </w:rPr>
        <w:t>后，乳腺癌细胞对阿霉素的敏感性可部分恢复</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CITEREF047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47</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rPr>
        <w:t xml:space="preserve">。同样，当使用 维替泊芬（verteporfin）抑制 </w:t>
      </w:r>
      <w:r>
        <w:rPr>
          <w:rFonts w:ascii="Times New Roman" w:hAnsi="Times New Roman" w:eastAsia="宋体" w:cs="Times New Roman"/>
          <w:iCs/>
          <w:color w:val="auto"/>
        </w:rPr>
        <w:t>YAP</w:t>
      </w:r>
      <w:r>
        <w:rPr>
          <w:rFonts w:ascii="Times New Roman" w:hAnsi="Times New Roman" w:eastAsia="宋体" w:cs="Times New Roman"/>
          <w:color w:val="auto"/>
        </w:rPr>
        <w:t xml:space="preserve"> 后，既可下调糖酵解相关程序，也可增强侵袭性乳腺癌细胞对化学治疗的反应</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CITEREF048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48</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CITEREF049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49</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rPr>
        <w:t>。另有 TNBC 研究将 SWE 读数、CAF 活化和仿生纳米递送联系起来，提示经 CAF/ECM 重塑后，局部硬度下降、缺氧缓解，紫杉醇及 PD-1 抑制剂的抗肿瘤效应可能增强</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CITEREF040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40</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rPr>
        <w:t>。</w:t>
      </w:r>
    </w:p>
    <w:p w14:paraId="58BD2B67">
      <w:pPr>
        <w:pStyle w:val="3"/>
        <w:spacing w:before="0" w:after="0" w:line="360" w:lineRule="auto"/>
        <w:ind w:firstLine="420"/>
        <w:jc w:val="both"/>
        <w:rPr>
          <w:rFonts w:hint="eastAsia" w:ascii="宋体" w:hAnsi="宋体" w:eastAsia="宋体" w:cs="Times New Roman"/>
          <w:color w:val="auto"/>
        </w:rPr>
      </w:pPr>
      <w:r>
        <w:rPr>
          <w:rFonts w:eastAsia="宋体"/>
          <w:color w:val="auto"/>
        </w:rPr>
        <w:t>部分下游调控环节也逐渐受到关注。现有研究提示，</w:t>
      </w:r>
      <w:r>
        <w:rPr>
          <w:rFonts w:hint="eastAsia" w:eastAsia="宋体"/>
          <w:color w:val="auto"/>
          <w:highlight w:val="none"/>
        </w:rPr>
        <w:t>抑制赖氨酸去甲基化酶4C（lysine demethylase 4C，KDM4C）、选择性抑制Rho相关卷曲螺旋形成蛋白激酶2（Rho-associated coiled-coil-containing protein kinase 2，ROCK2</w:t>
      </w:r>
      <w:r>
        <w:rPr>
          <w:rFonts w:hint="eastAsia"/>
          <w:color w:val="auto"/>
          <w:highlight w:val="none"/>
          <w:lang w:eastAsia="zh-CN"/>
        </w:rPr>
        <w:t>），</w:t>
      </w:r>
      <w:r>
        <w:rPr>
          <w:rFonts w:eastAsia="宋体"/>
          <w:color w:val="auto"/>
        </w:rPr>
        <w:t>以及细胞刚度相关药物重定位，可能分别从染色质状态、细胞骨架张力和细胞力学性质等层面影响乳腺癌进展</w:t>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CITEREF068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68</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rFonts w:ascii="Times New Roman" w:hAnsi="Times New Roman" w:cs="Times New Roman"/>
          <w:color w:val="auto"/>
          <w:vertAlign w:val="superscript"/>
        </w:rPr>
        <w:fldChar w:fldCharType="begin"/>
      </w:r>
      <w:r>
        <w:rPr>
          <w:vertAlign w:val="superscript"/>
        </w:rPr>
        <w:instrText xml:space="preserve"> REF CITEREF070 \r \h \# "0"  \* MERGEFORMAT</w:instrText>
      </w:r>
      <w:r>
        <w:rPr>
          <w:rFonts w:ascii="Times New Roman" w:hAnsi="Times New Roman" w:cs="Times New Roman"/>
          <w:color w:val="auto"/>
          <w:vertAlign w:val="superscript"/>
        </w:rPr>
        <w:fldChar w:fldCharType="separate"/>
      </w:r>
      <w:r>
        <w:rPr>
          <w:rFonts w:ascii="Times New Roman" w:hAnsi="Times New Roman" w:cs="Times New Roman"/>
          <w:color w:val="auto"/>
          <w:vertAlign w:val="superscript"/>
        </w:rPr>
        <w:t>70</w:t>
      </w:r>
      <w:r>
        <w:rPr>
          <w:rFonts w:ascii="Times New Roman" w:hAnsi="Times New Roman" w:cs="Times New Roman"/>
          <w:color w:val="auto"/>
          <w:vertAlign w:val="superscript"/>
        </w:rPr>
        <w:fldChar w:fldCharType="end"/>
      </w:r>
      <w:r>
        <w:rPr>
          <w:rFonts w:ascii="Times New Roman" w:hAnsi="Times New Roman" w:cs="Times New Roman"/>
          <w:color w:val="auto"/>
          <w:vertAlign w:val="superscript"/>
        </w:rPr>
        <w:t>]</w:t>
      </w:r>
      <w:r>
        <w:rPr>
          <w:color w:val="auto"/>
        </w:rPr>
        <w:t>。</w:t>
      </w:r>
      <w:r>
        <w:rPr>
          <w:rFonts w:hint="eastAsia" w:eastAsia="宋体"/>
          <w:color w:val="auto"/>
        </w:rPr>
        <w:t>但是</w:t>
      </w:r>
      <w:r>
        <w:rPr>
          <w:rFonts w:eastAsia="宋体"/>
          <w:color w:val="auto"/>
        </w:rPr>
        <w:t>，这类证据目前多来自细胞、类器官或动物模型，距离明确适用人群、监测</w:t>
      </w:r>
      <w:bookmarkStart w:id="76" w:name="_GoBack"/>
      <w:bookmarkEnd w:id="76"/>
      <w:r>
        <w:rPr>
          <w:rFonts w:eastAsia="宋体"/>
          <w:color w:val="auto"/>
        </w:rPr>
        <w:t>终点和联合治疗方案仍有一定距离</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CITEREF071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71</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CITEREF072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72</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color w:val="auto"/>
        </w:rPr>
        <w:t>。</w:t>
      </w:r>
    </w:p>
    <w:p w14:paraId="6C370314">
      <w:pPr>
        <w:pStyle w:val="3"/>
        <w:spacing w:before="80" w:after="40" w:line="360" w:lineRule="auto"/>
        <w:rPr>
          <w:rFonts w:hint="eastAsia" w:ascii="宋体" w:hAnsi="宋体" w:eastAsia="宋体" w:cs="Times New Roman"/>
          <w:b/>
          <w:color w:val="auto"/>
        </w:rPr>
      </w:pPr>
      <w:r>
        <w:rPr>
          <w:rFonts w:hint="eastAsia" w:ascii="Times New Roman" w:hAnsi="Times New Roman" w:eastAsia="宋体" w:cs="Times New Roman"/>
          <w:b/>
          <w:color w:val="auto"/>
        </w:rPr>
        <w:t>5.乳腺癌力学微环境相关临床转化现状、局限性与未来方向</w:t>
      </w:r>
    </w:p>
    <w:p w14:paraId="157E0F5A">
      <w:pPr>
        <w:pStyle w:val="3"/>
        <w:spacing w:before="0" w:after="0" w:line="360" w:lineRule="auto"/>
        <w:ind w:firstLine="420"/>
        <w:jc w:val="both"/>
        <w:rPr>
          <w:rFonts w:hint="eastAsia" w:ascii="宋体" w:hAnsi="宋体" w:eastAsia="宋体" w:cs="Times New Roman"/>
          <w:color w:val="auto"/>
        </w:rPr>
      </w:pPr>
      <w:r>
        <w:rPr>
          <w:rFonts w:eastAsia="宋体"/>
          <w:color w:val="auto"/>
        </w:rPr>
        <w:t>SWE、核 YAP 表达和 ECM 分子特征已显示出一定风险分层潜力</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CITEREF006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6</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CITEREF008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8</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CITEREF050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50</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eastAsia="宋体"/>
          <w:color w:val="auto"/>
        </w:rPr>
        <w:t>；ECM 组合特征则提示结构化基质有望进入预后评估框架</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CITEREF058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58</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eastAsia="宋体"/>
          <w:color w:val="auto"/>
        </w:rPr>
        <w:t>。但这些指标距离常规临床应用仍有差距，现有研究还受到设备阈值、判读流程、样本来源和分子亚型差异等因素影响。因此，力学相关指标目前更适合作为综合评估线索，而不宜单独用于治疗决策。</w:t>
      </w:r>
    </w:p>
    <w:p w14:paraId="201FB78E">
      <w:pPr>
        <w:pStyle w:val="3"/>
        <w:spacing w:before="0" w:after="0" w:line="360" w:lineRule="auto"/>
        <w:ind w:firstLine="420"/>
        <w:jc w:val="both"/>
        <w:rPr>
          <w:rFonts w:hint="eastAsia" w:ascii="宋体" w:hAnsi="宋体" w:eastAsia="宋体" w:cs="Times New Roman"/>
          <w:color w:val="auto"/>
        </w:rPr>
      </w:pPr>
      <w:r>
        <w:rPr>
          <w:rFonts w:eastAsia="宋体"/>
          <w:color w:val="auto"/>
        </w:rPr>
        <w:t>SWE 更适合术前宏观弹性评估，可与淋巴结转移、Ki-67 水平和无病生存等指标联合分析</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CITEREF052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52</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CITEREF054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54</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CITEREF063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63</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eastAsia="宋体"/>
          <w:color w:val="auto"/>
        </w:rPr>
        <w:t>；组织病理和 SHG</w:t>
      </w:r>
      <w:r>
        <w:rPr>
          <w:rFonts w:hint="eastAsia" w:eastAsia="宋体"/>
          <w:color w:val="auto"/>
          <w:lang w:val="en-US" w:eastAsia="zh-CN"/>
        </w:rPr>
        <w:t>-</w:t>
      </w:r>
      <w:r>
        <w:rPr>
          <w:rFonts w:eastAsia="宋体"/>
          <w:color w:val="auto"/>
        </w:rPr>
        <w:t>TACS 更适合显示胶原纤维取向及肿瘤-间质界面形态</w:t>
      </w:r>
      <w:r>
        <w:rPr>
          <w:rFonts w:eastAsia="宋体"/>
          <w:color w:val="auto"/>
          <w:vertAlign w:val="superscript"/>
        </w:rPr>
        <w:t>[7,43]</w:t>
      </w:r>
      <w:r>
        <w:rPr>
          <w:rFonts w:ascii="Times New Roman" w:hAnsi="Times New Roman" w:eastAsia="宋体" w:cs="Times New Roman"/>
          <w:color w:val="auto"/>
          <w:vertAlign w:val="superscript"/>
        </w:rPr>
        <w:fldChar w:fldCharType="begin"/>
      </w:r>
      <w:r>
        <w:instrText xml:space="preserve"> REF CITEREF007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fldChar w:fldCharType="begin"/>
      </w:r>
      <w:r>
        <w:instrText xml:space="preserve"> REF CITEREF044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fldChar w:fldCharType="end"/>
      </w:r>
      <w:r>
        <w:rPr>
          <w:rFonts w:eastAsia="宋体"/>
          <w:color w:val="auto"/>
        </w:rPr>
        <w:t>。原子力显微镜（atomic force microscopy，AFM）和杨氏模量测量可反映微尺度局部力学性质，三维基质模型和可调刚度水凝胶有助于观察细胞对外部硬度变化的动态反应</w:t>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CITEREF065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65</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rFonts w:ascii="Times New Roman" w:hAnsi="Times New Roman" w:eastAsia="宋体" w:cs="Times New Roman"/>
          <w:color w:val="auto"/>
          <w:vertAlign w:val="superscript"/>
        </w:rPr>
        <w:fldChar w:fldCharType="begin"/>
      </w:r>
      <w:r>
        <w:rPr>
          <w:vertAlign w:val="superscript"/>
        </w:rPr>
        <w:instrText xml:space="preserve"> REF CITEREF066 \r \h \# "0"  \* MERGEFORMAT</w:instrText>
      </w:r>
      <w:r>
        <w:rPr>
          <w:rFonts w:ascii="Times New Roman" w:hAnsi="Times New Roman" w:eastAsia="宋体" w:cs="Times New Roman"/>
          <w:color w:val="auto"/>
          <w:vertAlign w:val="superscript"/>
        </w:rPr>
        <w:fldChar w:fldCharType="separate"/>
      </w:r>
      <w:r>
        <w:rPr>
          <w:rFonts w:ascii="Times New Roman" w:hAnsi="Times New Roman" w:eastAsia="宋体" w:cs="Times New Roman"/>
          <w:color w:val="auto"/>
          <w:vertAlign w:val="superscript"/>
        </w:rPr>
        <w:t>66</w:t>
      </w:r>
      <w:r>
        <w:rPr>
          <w:rFonts w:ascii="Times New Roman" w:hAnsi="Times New Roman" w:eastAsia="宋体" w:cs="Times New Roman"/>
          <w:color w:val="auto"/>
          <w:vertAlign w:val="superscript"/>
        </w:rPr>
        <w:fldChar w:fldCharType="end"/>
      </w:r>
      <w:r>
        <w:rPr>
          <w:rFonts w:ascii="Times New Roman" w:hAnsi="Times New Roman" w:eastAsia="宋体" w:cs="Times New Roman"/>
          <w:color w:val="auto"/>
          <w:vertAlign w:val="superscript"/>
        </w:rPr>
        <w:t>]</w:t>
      </w:r>
      <w:r>
        <w:rPr>
          <w:color w:val="auto"/>
        </w:rPr>
        <w:t>。</w:t>
      </w:r>
      <w:r>
        <w:rPr>
          <w:rFonts w:hint="eastAsia" w:eastAsia="宋体"/>
          <w:color w:val="auto"/>
          <w:lang w:val="en-US" w:eastAsia="zh-CN"/>
        </w:rPr>
        <w:t>近期</w:t>
      </w:r>
      <w:r>
        <w:rPr>
          <w:rFonts w:hint="eastAsia" w:eastAsia="宋体"/>
          <w:color w:val="auto"/>
          <w:highlight w:val="none"/>
          <w:lang w:val="en-US" w:eastAsia="zh-CN"/>
        </w:rPr>
        <w:t>研究</w:t>
      </w:r>
      <w:r>
        <w:rPr>
          <w:rFonts w:eastAsia="宋体"/>
          <w:color w:val="auto"/>
          <w:highlight w:val="none"/>
        </w:rPr>
        <w:t>指出</w:t>
      </w:r>
      <w:r>
        <w:rPr>
          <w:rFonts w:eastAsia="宋体"/>
          <w:color w:val="auto"/>
        </w:rPr>
        <w:t>，生物物理技术、培养条件和测量流程差异均可能影响机械表型结果；瘤周影像组学虽可整合周围结构和纹理信息，但仍受区域界定、算法泛化和外部验证限制</w:t>
      </w:r>
      <w:r>
        <w:rPr>
          <w:rFonts w:ascii="Times New Roman" w:hAnsi="Times New Roman" w:eastAsia="宋体" w:cs="Times New Roman"/>
          <w:color w:val="auto"/>
          <w:highlight w:val="none"/>
          <w:vertAlign w:val="superscript"/>
        </w:rPr>
        <w:t>[</w:t>
      </w:r>
      <w:r>
        <w:rPr>
          <w:rFonts w:ascii="Times New Roman" w:hAnsi="Times New Roman" w:eastAsia="宋体" w:cs="Times New Roman"/>
          <w:color w:val="auto"/>
          <w:highlight w:val="none"/>
          <w:vertAlign w:val="superscript"/>
        </w:rPr>
        <w:fldChar w:fldCharType="begin"/>
      </w:r>
      <w:r>
        <w:rPr>
          <w:rFonts w:ascii="Times New Roman" w:hAnsi="Times New Roman" w:eastAsia="宋体" w:cs="Times New Roman"/>
          <w:color w:val="auto"/>
          <w:highlight w:val="none"/>
          <w:vertAlign w:val="superscript"/>
        </w:rPr>
        <w:instrText xml:space="preserve"> REF CITEREF064 \r \h \# "0"  \* MERGEFORMAT </w:instrText>
      </w:r>
      <w:r>
        <w:rPr>
          <w:rFonts w:ascii="Times New Roman" w:hAnsi="Times New Roman" w:eastAsia="宋体" w:cs="Times New Roman"/>
          <w:color w:val="auto"/>
          <w:highlight w:val="none"/>
          <w:vertAlign w:val="superscript"/>
        </w:rPr>
        <w:fldChar w:fldCharType="separate"/>
      </w:r>
      <w:r>
        <w:rPr>
          <w:rFonts w:ascii="Times New Roman" w:hAnsi="Times New Roman" w:eastAsia="宋体" w:cs="Times New Roman"/>
          <w:color w:val="auto"/>
          <w:highlight w:val="none"/>
          <w:vertAlign w:val="superscript"/>
        </w:rPr>
        <w:t>64</w:t>
      </w:r>
      <w:r>
        <w:rPr>
          <w:rFonts w:ascii="Times New Roman" w:hAnsi="Times New Roman" w:eastAsia="宋体" w:cs="Times New Roman"/>
          <w:color w:val="auto"/>
          <w:highlight w:val="none"/>
          <w:vertAlign w:val="superscript"/>
        </w:rPr>
        <w:fldChar w:fldCharType="end"/>
      </w:r>
      <w:r>
        <w:rPr>
          <w:rFonts w:hint="eastAsia" w:ascii="Times New Roman" w:hAnsi="Times New Roman" w:eastAsia="宋体" w:cs="Times New Roman"/>
          <w:color w:val="auto"/>
          <w:highlight w:val="none"/>
          <w:vertAlign w:val="superscript"/>
        </w:rPr>
        <w:t>,</w:t>
      </w:r>
      <w:r>
        <w:rPr>
          <w:rFonts w:ascii="Times New Roman" w:hAnsi="Times New Roman" w:eastAsia="宋体" w:cs="Times New Roman"/>
          <w:color w:val="auto"/>
          <w:highlight w:val="none"/>
          <w:vertAlign w:val="superscript"/>
        </w:rPr>
        <w:fldChar w:fldCharType="begin"/>
      </w:r>
      <w:r>
        <w:rPr>
          <w:rFonts w:ascii="Times New Roman" w:hAnsi="Times New Roman" w:eastAsia="宋体" w:cs="Times New Roman"/>
          <w:color w:val="auto"/>
          <w:highlight w:val="none"/>
          <w:vertAlign w:val="superscript"/>
        </w:rPr>
        <w:instrText xml:space="preserve"> REF CITEREF073 \r \h \# "0"  \* MERGEFORMAT </w:instrText>
      </w:r>
      <w:r>
        <w:rPr>
          <w:rFonts w:ascii="Times New Roman" w:hAnsi="Times New Roman" w:eastAsia="宋体" w:cs="Times New Roman"/>
          <w:color w:val="auto"/>
          <w:highlight w:val="none"/>
          <w:vertAlign w:val="superscript"/>
        </w:rPr>
        <w:fldChar w:fldCharType="separate"/>
      </w:r>
      <w:r>
        <w:rPr>
          <w:rFonts w:ascii="Times New Roman" w:hAnsi="Times New Roman" w:eastAsia="宋体" w:cs="Times New Roman"/>
          <w:color w:val="auto"/>
          <w:highlight w:val="none"/>
          <w:vertAlign w:val="superscript"/>
        </w:rPr>
        <w:t>73</w:t>
      </w:r>
      <w:r>
        <w:rPr>
          <w:rFonts w:ascii="Times New Roman" w:hAnsi="Times New Roman" w:eastAsia="宋体" w:cs="Times New Roman"/>
          <w:color w:val="auto"/>
          <w:highlight w:val="none"/>
          <w:vertAlign w:val="superscript"/>
        </w:rPr>
        <w:fldChar w:fldCharType="end"/>
      </w:r>
      <w:r>
        <w:rPr>
          <w:rFonts w:ascii="Times New Roman" w:hAnsi="Times New Roman" w:eastAsia="宋体" w:cs="Times New Roman"/>
          <w:color w:val="auto"/>
          <w:highlight w:val="none"/>
          <w:vertAlign w:val="superscript"/>
        </w:rPr>
        <w:t>]</w:t>
      </w:r>
      <w:r>
        <w:rPr>
          <w:rFonts w:eastAsia="宋体"/>
          <w:color w:val="auto"/>
        </w:rPr>
        <w:t>。因此，ECM 的定性和定量评价需要围绕研究问题选择读出，不能把影像硬度、胶原结构、细胞牵引状态和分子组成简单视为同一类指标。</w:t>
      </w:r>
    </w:p>
    <w:p w14:paraId="75E5116E">
      <w:pPr>
        <w:pStyle w:val="3"/>
        <w:spacing w:before="0" w:after="0" w:line="360" w:lineRule="auto"/>
        <w:ind w:firstLine="420"/>
        <w:jc w:val="both"/>
        <w:rPr>
          <w:rFonts w:hint="eastAsia"/>
          <w:color w:val="auto"/>
        </w:rPr>
      </w:pPr>
      <w:r>
        <w:rPr>
          <w:rFonts w:hint="eastAsia" w:eastAsia="宋体"/>
          <w:color w:val="auto"/>
        </w:rPr>
        <w:t>目前，乳腺癌力学微环境的临床转化仍主要受测量标准化、临床证据质量和干预实施三个层面的限制。首先，不同检测技术所反映的力学尺度并不相同：SWE主要评估组织的宏观弹性，SHG/TACS、AFM和影像组学则分别侧重胶原结构、微尺度力学性质及图像空间特征，现阶段尚不能将这些结果作为可直接互换的指标。SWE研究在设备平台、感兴趣区选取、阈值设定和分析流程方面仍存在差异，影响研究间的可比性和重复性</w:t>
      </w:r>
      <w:r>
        <w:rPr>
          <w:rFonts w:hint="eastAsia"/>
          <w:color w:val="auto"/>
          <w:vertAlign w:val="superscript"/>
        </w:rPr>
        <w:t>[6,52-55]</w:t>
      </w:r>
      <w:r>
        <w:rPr>
          <w:rFonts w:hint="eastAsia" w:eastAsia="宋体"/>
          <w:color w:val="auto"/>
        </w:rPr>
        <w:t>。SHG/TACS、AFM及影像组学同样受到取材区域、样本处理、算法建模和外部验证不足等因素限制</w:t>
      </w:r>
      <w:r>
        <w:rPr>
          <w:rFonts w:hint="eastAsia"/>
          <w:color w:val="auto"/>
          <w:vertAlign w:val="superscript"/>
        </w:rPr>
        <w:t>[,43,62,73]</w:t>
      </w:r>
      <w:r>
        <w:rPr>
          <w:rFonts w:hint="eastAsia" w:eastAsia="宋体"/>
          <w:color w:val="auto"/>
        </w:rPr>
        <w:t>。其次，现有风险分层证据多来自回顾性、单中心或样本量有限的研究，不同分子亚型、病程阶段和治疗背景之间存在明显异质性</w:t>
      </w:r>
      <w:r>
        <w:rPr>
          <w:rFonts w:hint="eastAsia"/>
          <w:color w:val="auto"/>
          <w:vertAlign w:val="superscript"/>
        </w:rPr>
        <w:t>[50,52-54]</w:t>
      </w:r>
      <w:r>
        <w:rPr>
          <w:rFonts w:hint="eastAsia" w:eastAsia="宋体"/>
          <w:color w:val="auto"/>
        </w:rPr>
        <w:t>。ECM分子标志物及其他候选指标也普遍缺少前瞻性多中心队列、纵向随访和独立外部验证，因而尚难形成稳定的临床阈值或统一的联合模型</w:t>
      </w:r>
      <w:r>
        <w:rPr>
          <w:rFonts w:hint="eastAsia"/>
          <w:color w:val="auto"/>
          <w:vertAlign w:val="superscript"/>
        </w:rPr>
        <w:t>[61-64]</w:t>
      </w:r>
      <w:r>
        <w:rPr>
          <w:rFonts w:hint="eastAsia" w:eastAsia="宋体"/>
          <w:color w:val="auto"/>
        </w:rPr>
        <w:t>。在干预层面，CAF-ECM重塑和基质去硬化策略的证据仍以机制研究及前临床模型为主</w:t>
      </w:r>
      <w:r>
        <w:rPr>
          <w:rFonts w:hint="eastAsia"/>
          <w:color w:val="auto"/>
          <w:vertAlign w:val="superscript"/>
        </w:rPr>
        <w:t>[40,42]</w:t>
      </w:r>
      <w:r>
        <w:rPr>
          <w:rFonts w:hint="eastAsia" w:eastAsia="宋体"/>
          <w:color w:val="auto"/>
        </w:rPr>
        <w:t>。整合素/FAK阻断、YAP/EGFR调控及整合素α</w:t>
      </w:r>
      <w:r>
        <w:rPr>
          <w:rFonts w:hint="eastAsia" w:eastAsia="宋体"/>
          <w:color w:val="auto"/>
          <w:lang w:val="en-US" w:eastAsia="zh-CN"/>
        </w:rPr>
        <w:t>-11</w:t>
      </w:r>
      <w:r>
        <w:rPr>
          <w:rFonts w:hint="eastAsia" w:eastAsia="宋体"/>
          <w:color w:val="auto"/>
        </w:rPr>
        <w:t>相关干预虽已显示一定的抗侵袭、抗转移或增敏潜力，但其适用人群和治疗窗口仍需进一步明确</w:t>
      </w:r>
      <w:r>
        <w:rPr>
          <w:rFonts w:hint="eastAsia"/>
          <w:color w:val="auto"/>
          <w:vertAlign w:val="superscript"/>
        </w:rPr>
        <w:t>[44-49,67]</w:t>
      </w:r>
      <w:r>
        <w:rPr>
          <w:rFonts w:hint="eastAsia" w:eastAsia="宋体"/>
          <w:color w:val="auto"/>
        </w:rPr>
        <w:t>。KDM4C、ROCK2及其他细胞力学相关候选策略同样处于早期研究阶段，其安全性、监测终点和联合治疗方案尚缺乏临床验证</w:t>
      </w:r>
      <w:r>
        <w:rPr>
          <w:rFonts w:hint="eastAsia"/>
          <w:color w:val="auto"/>
          <w:vertAlign w:val="superscript"/>
        </w:rPr>
        <w:t>[68-72]</w:t>
      </w:r>
      <w:r>
        <w:rPr>
          <w:rFonts w:hint="eastAsia" w:eastAsia="宋体"/>
          <w:color w:val="auto"/>
        </w:rPr>
        <w:t>。因此，现阶段力学相关指标和候选靶点更适合作为现有风险分层与治疗体系的补充，而不宜独立用于临床决策。</w:t>
      </w:r>
    </w:p>
    <w:p w14:paraId="2EC7A8AF">
      <w:pPr>
        <w:pStyle w:val="3"/>
        <w:spacing w:before="0" w:after="0" w:line="360" w:lineRule="auto"/>
        <w:ind w:firstLine="420"/>
        <w:jc w:val="both"/>
        <w:rPr>
          <w:rFonts w:ascii="Times New Roman" w:hAnsi="Times New Roman" w:eastAsia="宋体" w:cs="Times New Roman"/>
          <w:color w:val="auto"/>
          <w:sz w:val="21"/>
        </w:rPr>
      </w:pPr>
      <w:r>
        <w:rPr>
          <w:rFonts w:hint="eastAsia" w:eastAsia="宋体"/>
          <w:color w:val="auto"/>
        </w:rPr>
        <w:t>针对上述局限，后续研究需要围绕不同分子亚型和病程阶段建立前瞻性、多中心的标准化采集与评价体系，并同步记录治疗背景、纤维化程度、免疫浸润状态及关键病理参数。在此基础上，可进一步构建并验证由肿瘤硬度值、胶原结构特征、ECM分子特征和机械转导相关分子指标组成的联合模型，评估其相对于现有分层工具的增量价值。现有研究提示，</w:t>
      </w:r>
      <w:r>
        <w:rPr>
          <w:rFonts w:hint="eastAsia" w:eastAsia="宋体"/>
          <w:color w:val="auto"/>
          <w:lang w:val="en-US" w:eastAsia="zh-CN"/>
        </w:rPr>
        <w:t>肿瘤力学参数的</w:t>
      </w:r>
      <w:r>
        <w:rPr>
          <w:rFonts w:hint="eastAsia" w:eastAsia="宋体"/>
          <w:color w:val="auto"/>
        </w:rPr>
        <w:t>异质性可能与代谢重编程、免疫调控、表观遗传改变、外泌体通信及转移前生态位形成</w:t>
      </w:r>
      <w:r>
        <w:rPr>
          <w:rFonts w:hint="eastAsia" w:eastAsia="宋体"/>
          <w:color w:val="auto"/>
          <w:lang w:val="en-US" w:eastAsia="zh-CN"/>
        </w:rPr>
        <w:t>等过程</w:t>
      </w:r>
      <w:r>
        <w:rPr>
          <w:rFonts w:hint="eastAsia" w:eastAsia="宋体"/>
          <w:color w:val="auto"/>
        </w:rPr>
        <w:t>有关</w:t>
      </w:r>
      <w:r>
        <w:rPr>
          <w:rFonts w:hint="eastAsia"/>
          <w:color w:val="auto"/>
          <w:vertAlign w:val="superscript"/>
        </w:rPr>
        <w:t>[38-41,51]</w:t>
      </w:r>
      <w:r>
        <w:rPr>
          <w:rFonts w:hint="eastAsia" w:eastAsia="宋体"/>
          <w:color w:val="auto"/>
          <w:lang w:eastAsia="zh-CN"/>
        </w:rPr>
        <w:t>，</w:t>
      </w:r>
      <w:r>
        <w:rPr>
          <w:rFonts w:hint="eastAsia" w:eastAsia="宋体"/>
          <w:color w:val="auto"/>
          <w:lang w:val="en-US" w:eastAsia="zh-CN"/>
        </w:rPr>
        <w:t>因此</w:t>
      </w:r>
      <w:r>
        <w:rPr>
          <w:rFonts w:hint="eastAsia" w:eastAsia="宋体"/>
          <w:color w:val="auto"/>
        </w:rPr>
        <w:t>未来还应关注ECM刚度在时间和空间上的异质性</w:t>
      </w:r>
      <w:r>
        <w:rPr>
          <w:rFonts w:hint="eastAsia" w:eastAsia="宋体"/>
          <w:color w:val="auto"/>
          <w:lang w:eastAsia="zh-CN"/>
        </w:rPr>
        <w:t>。</w:t>
      </w:r>
      <w:r>
        <w:rPr>
          <w:rFonts w:hint="eastAsia" w:eastAsia="宋体"/>
          <w:color w:val="auto"/>
        </w:rPr>
        <w:t>总体而言，</w:t>
      </w:r>
      <w:r>
        <w:rPr>
          <w:rFonts w:hint="eastAsia" w:eastAsia="宋体"/>
          <w:color w:val="auto"/>
          <w:lang w:val="en-US" w:eastAsia="zh-CN"/>
        </w:rPr>
        <w:t>肿瘤</w:t>
      </w:r>
      <w:r>
        <w:rPr>
          <w:rFonts w:hint="eastAsia" w:eastAsia="宋体"/>
          <w:color w:val="auto"/>
        </w:rPr>
        <w:t>力学微环境更适合作为风险分层和联合治疗设计的补充维度，其真正纳入临床路径仍有赖于标准化验证、分层转化研究以及与现有评估体系的系统比较。</w:t>
      </w:r>
    </w:p>
    <w:p w14:paraId="6F715609">
      <w:pPr>
        <w:pStyle w:val="3"/>
        <w:spacing w:before="160" w:after="80" w:line="360" w:lineRule="auto"/>
        <w:rPr>
          <w:rFonts w:ascii="Times New Roman" w:hAnsi="Times New Roman" w:eastAsia="黑体" w:cs="Times New Roman"/>
          <w:b/>
          <w:color w:val="auto"/>
        </w:rPr>
      </w:pPr>
      <w:r>
        <w:rPr>
          <w:rFonts w:hint="eastAsia" w:ascii="Times New Roman" w:hAnsi="Times New Roman" w:eastAsia="黑体" w:cs="Times New Roman"/>
          <w:b/>
          <w:color w:val="auto"/>
          <w:lang w:val="en-US" w:eastAsia="zh-CN"/>
        </w:rPr>
        <w:t>6</w:t>
      </w:r>
      <w:r>
        <w:rPr>
          <w:rFonts w:ascii="Times New Roman" w:hAnsi="Times New Roman" w:eastAsia="宋体" w:cs="Times New Roman"/>
          <w:b/>
          <w:color w:val="auto"/>
        </w:rPr>
        <w:t xml:space="preserve"> 总结与思考</w:t>
      </w:r>
    </w:p>
    <w:p w14:paraId="69FE8197">
      <w:pPr>
        <w:pStyle w:val="3"/>
        <w:spacing w:before="0" w:after="0" w:line="360" w:lineRule="auto"/>
        <w:ind w:firstLine="420"/>
        <w:jc w:val="both"/>
        <w:rPr>
          <w:rFonts w:ascii="Times New Roman" w:hAnsi="Times New Roman" w:eastAsia="宋体" w:cs="Times New Roman"/>
          <w:color w:val="auto"/>
        </w:rPr>
      </w:pPr>
      <w:r>
        <w:rPr>
          <w:rFonts w:eastAsia="宋体"/>
          <w:color w:val="auto"/>
        </w:rPr>
        <w:t>乳腺癌侵袭转移并非仅由肿瘤细胞内在分子异常决定，也与局部力学微环境持续改变密切相关。ECM 重塑和基质硬化可影响黏附斑-细胞骨架重塑、受限迁移中的核力学适应，以及血管、免疫和远端微环境塑形。现有证据提示，力学微环境可能参与侵袭启动、组织穿行和转移准备等环节，但患者层面的直接纵向验证仍相对有限。</w:t>
      </w:r>
    </w:p>
    <w:p w14:paraId="63BE7477">
      <w:pPr>
        <w:pStyle w:val="3"/>
        <w:spacing w:before="0" w:after="0" w:line="360" w:lineRule="auto"/>
        <w:ind w:firstLine="420"/>
        <w:jc w:val="both"/>
        <w:rPr>
          <w:rFonts w:ascii="Times New Roman" w:hAnsi="Times New Roman" w:eastAsia="宋体" w:cs="Times New Roman"/>
          <w:color w:val="auto"/>
        </w:rPr>
      </w:pPr>
      <w:r>
        <w:rPr>
          <w:rFonts w:eastAsia="宋体"/>
          <w:color w:val="auto"/>
        </w:rPr>
        <w:t>从诊疗意义看，乳腺癌力学相关数据更适合进入风险分层和联合治疗设计，而不是替代既有分期和分子分型体系。影像硬度、胶原结构、ECM 分子和机械转导节点可分别提供术前评估、侵袭前沿识别、随访监测和候选干预切口。未来研究应在标准化前瞻队列中明确不同力学读出的稳定边界，并判断哪些患者真正可能从去硬化、机械转导阻断或联合增敏策略中获益。</w:t>
      </w:r>
    </w:p>
    <w:p w14:paraId="1C86E7AD">
      <w:pPr>
        <w:pStyle w:val="3"/>
        <w:spacing w:before="0" w:after="0" w:line="360" w:lineRule="auto"/>
        <w:jc w:val="both"/>
        <w:rPr>
          <w:rFonts w:ascii="Times New Roman" w:hAnsi="Times New Roman" w:eastAsia="宋体" w:cs="Times New Roman"/>
          <w:color w:val="auto"/>
        </w:rPr>
      </w:pPr>
    </w:p>
    <w:p w14:paraId="7E72A7A5">
      <w:pPr>
        <w:pStyle w:val="3"/>
        <w:spacing w:before="0" w:after="0" w:line="360" w:lineRule="auto"/>
        <w:jc w:val="both"/>
        <w:rPr>
          <w:rFonts w:ascii="Times New Roman" w:hAnsi="Times New Roman" w:eastAsia="宋体" w:cs="Times New Roman"/>
          <w:color w:val="auto"/>
        </w:rPr>
      </w:pPr>
      <w:r>
        <w:rPr>
          <w:rFonts w:hint="eastAsia" w:ascii="Times New Roman" w:hAnsi="Times New Roman" w:eastAsia="黑体" w:cs="Times New Roman"/>
          <w:b/>
          <w:color w:val="auto"/>
          <w:sz w:val="21"/>
          <w:szCs w:val="21"/>
        </w:rPr>
        <w:t>参考文献</w:t>
      </w:r>
    </w:p>
    <w:p w14:paraId="0F964FF1">
      <w:pPr>
        <w:numPr>
          <w:ilvl w:val="0"/>
          <w:numId w:val="1"/>
        </w:numPr>
        <w:spacing w:line="360" w:lineRule="auto"/>
        <w:rPr>
          <w:color w:val="auto"/>
          <w:sz w:val="18"/>
          <w:szCs w:val="18"/>
        </w:rPr>
      </w:pPr>
      <w:bookmarkStart w:id="3" w:name="CITEREF001"/>
      <w:r>
        <w:rPr>
          <w:rFonts w:ascii="Times New Roman" w:hAnsi="Times New Roman" w:cs="Times New Roman"/>
          <w:color w:val="auto"/>
          <w:sz w:val="18"/>
          <w:szCs w:val="18"/>
        </w:rPr>
        <w:t>GARGALIONIS AN, PAPAVASSILIOU KA, PAPAVASSILIOU AG. Mechanobiology of solid tumors[J]. Biochim Biophys Acta Mol Basis Dis, 2022, 1868(12):166555.</w:t>
      </w:r>
      <w:bookmarkEnd w:id="3"/>
    </w:p>
    <w:p w14:paraId="148592B7">
      <w:pPr>
        <w:numPr>
          <w:ilvl w:val="0"/>
          <w:numId w:val="1"/>
        </w:numPr>
        <w:spacing w:line="360" w:lineRule="auto"/>
        <w:rPr>
          <w:color w:val="auto"/>
          <w:sz w:val="18"/>
          <w:szCs w:val="18"/>
        </w:rPr>
      </w:pPr>
      <w:bookmarkStart w:id="4" w:name="CITEREF002"/>
      <w:r>
        <w:rPr>
          <w:rFonts w:ascii="Times New Roman" w:hAnsi="Times New Roman" w:cs="Times New Roman"/>
          <w:color w:val="auto"/>
          <w:sz w:val="18"/>
          <w:szCs w:val="18"/>
        </w:rPr>
        <w:t>NIA HT, MUNN LL, JAIN RK. Physical traits of cancer[J]. Science, 2020, 370(6516):eaaz0868.</w:t>
      </w:r>
      <w:bookmarkEnd w:id="4"/>
    </w:p>
    <w:p w14:paraId="635A38DD">
      <w:pPr>
        <w:numPr>
          <w:ilvl w:val="0"/>
          <w:numId w:val="1"/>
        </w:numPr>
        <w:spacing w:line="360" w:lineRule="auto"/>
        <w:rPr>
          <w:color w:val="auto"/>
          <w:sz w:val="18"/>
          <w:szCs w:val="18"/>
        </w:rPr>
      </w:pPr>
      <w:bookmarkStart w:id="5" w:name="CITEREF003"/>
      <w:r>
        <w:rPr>
          <w:rFonts w:ascii="Times New Roman" w:hAnsi="Times New Roman" w:cs="Times New Roman"/>
          <w:color w:val="auto"/>
          <w:sz w:val="18"/>
          <w:szCs w:val="18"/>
        </w:rPr>
        <w:t>LINKE JA, MUNN LL, JAIN RK. Compressive stresses in cancer: characterization and implications for tumour progression and treatment[J]. Nat Rev Cancer, 2024, 24(11):768-791.</w:t>
      </w:r>
      <w:bookmarkEnd w:id="5"/>
    </w:p>
    <w:p w14:paraId="174473F1">
      <w:pPr>
        <w:numPr>
          <w:ilvl w:val="0"/>
          <w:numId w:val="1"/>
        </w:numPr>
        <w:spacing w:line="360" w:lineRule="auto"/>
        <w:rPr>
          <w:color w:val="auto"/>
          <w:sz w:val="18"/>
          <w:szCs w:val="18"/>
        </w:rPr>
      </w:pPr>
      <w:bookmarkStart w:id="6" w:name="CITEREF004"/>
      <w:r>
        <w:rPr>
          <w:rFonts w:ascii="Times New Roman" w:hAnsi="Times New Roman" w:cs="Times New Roman"/>
          <w:color w:val="auto"/>
          <w:sz w:val="18"/>
          <w:szCs w:val="18"/>
        </w:rPr>
        <w:t xml:space="preserve">DATCHOUDHURY S, SHARMA A, SHARMA R, et al. Downregulation of </w:t>
      </w:r>
      <w:r>
        <w:rPr>
          <w:rFonts w:ascii="Times New Roman" w:hAnsi="Times New Roman" w:cs="Times New Roman"/>
          <w:i/>
          <w:color w:val="auto"/>
          <w:sz w:val="18"/>
          <w:szCs w:val="18"/>
        </w:rPr>
        <w:t>PIEZO1</w:t>
      </w:r>
      <w:r>
        <w:rPr>
          <w:rFonts w:ascii="Times New Roman" w:hAnsi="Times New Roman" w:cs="Times New Roman"/>
          <w:color w:val="auto"/>
          <w:sz w:val="18"/>
          <w:szCs w:val="18"/>
        </w:rPr>
        <w:t xml:space="preserve"> activity promotes breast cancer cell survival under shear stress by modulating β-catenin and </w:t>
      </w:r>
      <w:r>
        <w:rPr>
          <w:rFonts w:ascii="Times New Roman" w:hAnsi="Times New Roman" w:cs="Times New Roman"/>
          <w:i/>
          <w:color w:val="auto"/>
          <w:sz w:val="18"/>
          <w:szCs w:val="18"/>
        </w:rPr>
        <w:t>BCL2</w:t>
      </w:r>
      <w:r>
        <w:rPr>
          <w:rFonts w:ascii="Times New Roman" w:hAnsi="Times New Roman" w:cs="Times New Roman"/>
          <w:color w:val="auto"/>
          <w:sz w:val="18"/>
          <w:szCs w:val="18"/>
        </w:rPr>
        <w:t>[J]. Cancer Res Commun, 2026. doi:10.1158/2767-9764.CRC-25-0749.</w:t>
      </w:r>
      <w:bookmarkEnd w:id="6"/>
    </w:p>
    <w:p w14:paraId="3820AF7B">
      <w:pPr>
        <w:numPr>
          <w:ilvl w:val="0"/>
          <w:numId w:val="1"/>
        </w:numPr>
        <w:spacing w:line="360" w:lineRule="auto"/>
        <w:rPr>
          <w:color w:val="auto"/>
          <w:sz w:val="18"/>
          <w:szCs w:val="18"/>
        </w:rPr>
      </w:pPr>
      <w:bookmarkStart w:id="7" w:name="CITEREF005"/>
      <w:r>
        <w:rPr>
          <w:rFonts w:ascii="Times New Roman" w:hAnsi="Times New Roman" w:cs="Times New Roman"/>
          <w:color w:val="auto"/>
          <w:sz w:val="18"/>
          <w:szCs w:val="18"/>
        </w:rPr>
        <w:t>PIERSMA B, HAYWARD MK, WEAVER VM. Fibrosis and cancer: a strained relationship[J]. Biochim Biophys Acta Rev Cancer, 2020, 1873(2):188356.</w:t>
      </w:r>
      <w:bookmarkEnd w:id="7"/>
    </w:p>
    <w:p w14:paraId="58F8CDBC">
      <w:pPr>
        <w:numPr>
          <w:ilvl w:val="0"/>
          <w:numId w:val="1"/>
        </w:numPr>
        <w:spacing w:line="360" w:lineRule="auto"/>
        <w:rPr>
          <w:color w:val="auto"/>
          <w:sz w:val="18"/>
          <w:szCs w:val="18"/>
        </w:rPr>
      </w:pPr>
      <w:bookmarkStart w:id="8" w:name="CITEREF006"/>
      <w:r>
        <w:rPr>
          <w:rFonts w:ascii="Times New Roman" w:hAnsi="Times New Roman" w:cs="Times New Roman"/>
          <w:color w:val="auto"/>
          <w:sz w:val="18"/>
          <w:szCs w:val="18"/>
        </w:rPr>
        <w:t>KIM JY, KIM JJ, HWANGBO L, et al. Tumor stiffness measured by shear-wave elastography: association with disease-free survival in women with early-stage breast cancer[J]. Br J Radiol, 2021, 94(1128):20210584.</w:t>
      </w:r>
      <w:bookmarkEnd w:id="8"/>
    </w:p>
    <w:p w14:paraId="5BF98D25">
      <w:pPr>
        <w:numPr>
          <w:ilvl w:val="0"/>
          <w:numId w:val="1"/>
        </w:numPr>
        <w:spacing w:line="360" w:lineRule="auto"/>
        <w:rPr>
          <w:color w:val="auto"/>
          <w:sz w:val="18"/>
          <w:szCs w:val="18"/>
        </w:rPr>
      </w:pPr>
      <w:bookmarkStart w:id="9" w:name="CITEREF007"/>
      <w:r>
        <w:rPr>
          <w:rFonts w:ascii="Times New Roman" w:hAnsi="Times New Roman" w:cs="Times New Roman"/>
          <w:color w:val="auto"/>
          <w:sz w:val="18"/>
          <w:szCs w:val="18"/>
        </w:rPr>
        <w:t>DESA DE, STRAWDERMAN RL, WU W, et al. Intratumoral heterogeneity of second-harmonic generation scattering from tumor collagen and its effects on metastatic risk prediction[J]. BMC Cancer, 2020, 20(1):1217.</w:t>
      </w:r>
      <w:bookmarkEnd w:id="9"/>
    </w:p>
    <w:p w14:paraId="0FA8BB35">
      <w:pPr>
        <w:numPr>
          <w:ilvl w:val="0"/>
          <w:numId w:val="1"/>
        </w:numPr>
        <w:spacing w:line="360" w:lineRule="auto"/>
        <w:rPr>
          <w:color w:val="auto"/>
          <w:sz w:val="18"/>
          <w:szCs w:val="18"/>
        </w:rPr>
      </w:pPr>
      <w:bookmarkStart w:id="10" w:name="CITEREF008"/>
      <w:r>
        <w:rPr>
          <w:rFonts w:ascii="Times New Roman" w:hAnsi="Times New Roman" w:cs="Times New Roman"/>
          <w:color w:val="auto"/>
          <w:sz w:val="18"/>
          <w:szCs w:val="18"/>
        </w:rPr>
        <w:t>CHA YJ, BAE SJ, KIM D, et al. High Nuclear Expression of Yes-Associated Protein 1 Correlates With Metastasis in Patients With Breast Cancer[J]. Front Oncol, 2021, 11:609743.</w:t>
      </w:r>
      <w:bookmarkEnd w:id="10"/>
    </w:p>
    <w:p w14:paraId="57228FE8">
      <w:pPr>
        <w:numPr>
          <w:ilvl w:val="0"/>
          <w:numId w:val="1"/>
        </w:numPr>
        <w:spacing w:line="360" w:lineRule="auto"/>
        <w:rPr>
          <w:color w:val="auto"/>
          <w:sz w:val="18"/>
          <w:szCs w:val="18"/>
        </w:rPr>
      </w:pPr>
      <w:bookmarkStart w:id="11" w:name="CITEREF009"/>
      <w:r>
        <w:rPr>
          <w:rFonts w:ascii="Times New Roman" w:hAnsi="Times New Roman" w:cs="Times New Roman"/>
          <w:color w:val="auto"/>
          <w:sz w:val="18"/>
          <w:szCs w:val="18"/>
        </w:rPr>
        <w:t>WU T, XIONG S, CHEN M, et al. Matrix stiffening facilitates the collective invasion of breast cancer through the periostin-integrin mechanotransduction pathway[J]. Matrix Biol, 2023, 121:22-40.</w:t>
      </w:r>
      <w:bookmarkEnd w:id="11"/>
    </w:p>
    <w:p w14:paraId="63F7A533">
      <w:pPr>
        <w:numPr>
          <w:ilvl w:val="0"/>
          <w:numId w:val="1"/>
        </w:numPr>
        <w:spacing w:line="360" w:lineRule="auto"/>
        <w:rPr>
          <w:color w:val="auto"/>
          <w:sz w:val="18"/>
          <w:szCs w:val="18"/>
        </w:rPr>
      </w:pPr>
      <w:bookmarkStart w:id="12" w:name="CITEREF010"/>
      <w:r>
        <w:rPr>
          <w:rFonts w:ascii="Times New Roman" w:hAnsi="Times New Roman" w:cs="Times New Roman"/>
          <w:color w:val="auto"/>
          <w:sz w:val="18"/>
          <w:szCs w:val="18"/>
        </w:rPr>
        <w:t xml:space="preserve">LIANG P, ZHANG J, WU Y, et al. An </w:t>
      </w:r>
      <w:r>
        <w:rPr>
          <w:rFonts w:ascii="Times New Roman" w:hAnsi="Times New Roman" w:cs="Times New Roman"/>
          <w:i/>
          <w:color w:val="auto"/>
          <w:sz w:val="18"/>
          <w:szCs w:val="18"/>
        </w:rPr>
        <w:t>ULK1/2</w:t>
      </w:r>
      <w:r>
        <w:rPr>
          <w:rFonts w:ascii="Times New Roman" w:hAnsi="Times New Roman" w:cs="Times New Roman"/>
          <w:color w:val="auto"/>
          <w:sz w:val="18"/>
          <w:szCs w:val="18"/>
        </w:rPr>
        <w:t>-</w:t>
      </w:r>
      <w:r>
        <w:rPr>
          <w:rFonts w:ascii="Times New Roman" w:hAnsi="Times New Roman" w:cs="Times New Roman"/>
          <w:i/>
          <w:color w:val="auto"/>
          <w:sz w:val="18"/>
          <w:szCs w:val="18"/>
        </w:rPr>
        <w:t>PXN</w:t>
      </w:r>
      <w:r>
        <w:rPr>
          <w:rFonts w:ascii="Times New Roman" w:hAnsi="Times New Roman" w:cs="Times New Roman"/>
          <w:color w:val="auto"/>
          <w:sz w:val="18"/>
          <w:szCs w:val="18"/>
        </w:rPr>
        <w:t xml:space="preserve"> mechanotransduction pathway suppresses breast cancer cell migration[J]. EMBO Rep, 2023, 24(11):e56850.</w:t>
      </w:r>
      <w:bookmarkEnd w:id="12"/>
    </w:p>
    <w:p w14:paraId="2E898147">
      <w:pPr>
        <w:numPr>
          <w:ilvl w:val="0"/>
          <w:numId w:val="1"/>
        </w:numPr>
        <w:spacing w:line="360" w:lineRule="auto"/>
        <w:rPr>
          <w:color w:val="auto"/>
          <w:sz w:val="18"/>
          <w:szCs w:val="18"/>
        </w:rPr>
      </w:pPr>
      <w:bookmarkStart w:id="13" w:name="CITEREF011"/>
      <w:r>
        <w:rPr>
          <w:rFonts w:ascii="Times New Roman" w:hAnsi="Times New Roman" w:eastAsia="宋体" w:cs="Times New Roman"/>
          <w:color w:val="auto"/>
          <w:sz w:val="18"/>
          <w:szCs w:val="18"/>
        </w:rPr>
        <w:t xml:space="preserve">SHARMA A, STEGER RF, LI JM, et al. </w:t>
      </w:r>
      <w:r>
        <w:rPr>
          <w:rFonts w:ascii="Times New Roman" w:hAnsi="Times New Roman" w:eastAsia="宋体" w:cs="Times New Roman"/>
          <w:i/>
          <w:color w:val="auto"/>
          <w:sz w:val="18"/>
          <w:szCs w:val="18"/>
        </w:rPr>
        <w:t>Sp1</w:t>
      </w:r>
      <w:r>
        <w:rPr>
          <w:rFonts w:ascii="Times New Roman" w:hAnsi="Times New Roman" w:eastAsia="宋体" w:cs="Times New Roman"/>
          <w:color w:val="auto"/>
          <w:sz w:val="18"/>
          <w:szCs w:val="18"/>
        </w:rPr>
        <w:t xml:space="preserve"> mechanotransduction regulates breast cancer cell invasion in engineered viscoelastic extracellular matrices[J]. Biomaterials, 2026, 327:123755.</w:t>
      </w:r>
      <w:bookmarkEnd w:id="13"/>
    </w:p>
    <w:p w14:paraId="6C313BE9">
      <w:pPr>
        <w:numPr>
          <w:ilvl w:val="0"/>
          <w:numId w:val="1"/>
        </w:numPr>
        <w:spacing w:line="360" w:lineRule="auto"/>
        <w:rPr>
          <w:color w:val="auto"/>
          <w:sz w:val="18"/>
          <w:szCs w:val="18"/>
        </w:rPr>
      </w:pPr>
      <w:bookmarkStart w:id="14" w:name="CITEREF012"/>
      <w:r>
        <w:rPr>
          <w:rFonts w:ascii="Times New Roman" w:hAnsi="Times New Roman" w:eastAsia="宋体" w:cs="Times New Roman"/>
          <w:color w:val="auto"/>
          <w:sz w:val="18"/>
          <w:szCs w:val="18"/>
        </w:rPr>
        <w:t>FENG Q, BENNETT Z, GRICHUK A, et al. Severely polarized extracellular acidity around tumour cells[J]. Nat Biomed Eng, 2024, 8(6):787-799.</w:t>
      </w:r>
      <w:bookmarkEnd w:id="14"/>
    </w:p>
    <w:p w14:paraId="37D43F8C">
      <w:pPr>
        <w:numPr>
          <w:ilvl w:val="0"/>
          <w:numId w:val="1"/>
        </w:numPr>
        <w:spacing w:line="360" w:lineRule="auto"/>
        <w:rPr>
          <w:color w:val="auto"/>
          <w:sz w:val="18"/>
          <w:szCs w:val="18"/>
        </w:rPr>
      </w:pPr>
      <w:bookmarkStart w:id="15" w:name="CITEREF013"/>
      <w:r>
        <w:rPr>
          <w:rFonts w:ascii="Times New Roman" w:hAnsi="Times New Roman" w:cs="Times New Roman"/>
          <w:color w:val="auto"/>
          <w:sz w:val="18"/>
          <w:szCs w:val="18"/>
        </w:rPr>
        <w:t>ZHU P, TIAN Z, WANG Y, et al. Lactic Acid Promotes TNBC Lung Metastasis via TGF-β/Smad-Driven Lipid Metabolic Toxicity and NK Cell Dysfunction[J]. J Biochem Mol Toxicol, 2026, 40(6):e70938. doi:10.1002/jbt.70938.</w:t>
      </w:r>
      <w:bookmarkEnd w:id="15"/>
    </w:p>
    <w:p w14:paraId="6496B8E5">
      <w:pPr>
        <w:numPr>
          <w:ilvl w:val="0"/>
          <w:numId w:val="1"/>
        </w:numPr>
        <w:spacing w:line="360" w:lineRule="auto"/>
        <w:rPr>
          <w:color w:val="auto"/>
          <w:sz w:val="18"/>
          <w:szCs w:val="18"/>
        </w:rPr>
      </w:pPr>
      <w:bookmarkStart w:id="16" w:name="CITEREF014"/>
      <w:r>
        <w:rPr>
          <w:rFonts w:ascii="Times New Roman" w:hAnsi="Times New Roman" w:cs="Times New Roman"/>
          <w:color w:val="auto"/>
          <w:sz w:val="18"/>
          <w:szCs w:val="18"/>
        </w:rPr>
        <w:t>ZHUANG Y, TONG L, SUN X. Acidic Tumor Microenvironments and Emerging Therapeutic Strategies for Cancer Therapy[J]. Yonsei Med J, 2025, 66(10):619-629. doi:10.3349/ymj.2024.0210.</w:t>
      </w:r>
      <w:bookmarkEnd w:id="16"/>
    </w:p>
    <w:p w14:paraId="05401DA2">
      <w:pPr>
        <w:numPr>
          <w:ilvl w:val="0"/>
          <w:numId w:val="1"/>
        </w:numPr>
        <w:spacing w:line="360" w:lineRule="auto"/>
        <w:rPr>
          <w:color w:val="auto"/>
          <w:sz w:val="18"/>
          <w:szCs w:val="18"/>
        </w:rPr>
      </w:pPr>
      <w:bookmarkStart w:id="17" w:name="CITEREF015"/>
      <w:r>
        <w:rPr>
          <w:rFonts w:ascii="Times New Roman" w:hAnsi="Times New Roman" w:cs="Times New Roman"/>
          <w:color w:val="auto"/>
          <w:sz w:val="18"/>
          <w:szCs w:val="18"/>
        </w:rPr>
        <w:t>PATWARDHAN S, MAHADIK P, SHETTY O, et al. ECM stiffness-tuned exosomes drive breast cancer motility through thrombospondin-1[J]. Biomaterials, 2021, 279:121185.</w:t>
      </w:r>
      <w:bookmarkEnd w:id="17"/>
    </w:p>
    <w:p w14:paraId="07BD8DAC">
      <w:pPr>
        <w:numPr>
          <w:ilvl w:val="0"/>
          <w:numId w:val="1"/>
        </w:numPr>
        <w:spacing w:line="360" w:lineRule="auto"/>
        <w:rPr>
          <w:color w:val="auto"/>
          <w:sz w:val="18"/>
          <w:szCs w:val="18"/>
        </w:rPr>
      </w:pPr>
      <w:bookmarkStart w:id="18" w:name="CITEREF016"/>
      <w:r>
        <w:rPr>
          <w:rFonts w:ascii="Times New Roman" w:hAnsi="Times New Roman" w:cs="Times New Roman"/>
          <w:color w:val="auto"/>
          <w:sz w:val="18"/>
          <w:szCs w:val="18"/>
        </w:rPr>
        <w:t>SAKTHIVEL K, KOTOWSKA A, FAN Z, et al. Integrin-Piezo1 Axis Drives ECM Remodeling and Invasion of 3D Breast Epithelium[J]. Adv Sci (Weinh), 2026, 13(5):e09932.</w:t>
      </w:r>
      <w:bookmarkEnd w:id="18"/>
    </w:p>
    <w:p w14:paraId="0DF0AD58">
      <w:pPr>
        <w:numPr>
          <w:ilvl w:val="0"/>
          <w:numId w:val="1"/>
        </w:numPr>
        <w:spacing w:line="360" w:lineRule="auto"/>
        <w:rPr>
          <w:color w:val="auto"/>
          <w:sz w:val="18"/>
          <w:szCs w:val="18"/>
        </w:rPr>
      </w:pPr>
      <w:bookmarkStart w:id="19" w:name="CITEREF017"/>
      <w:r>
        <w:rPr>
          <w:rFonts w:ascii="Times New Roman" w:hAnsi="Times New Roman" w:cs="Times New Roman"/>
          <w:color w:val="auto"/>
          <w:sz w:val="18"/>
          <w:szCs w:val="18"/>
        </w:rPr>
        <w:t xml:space="preserve">LI C, ZHENG Z, WU X, et al. Stiff matrix induced </w:t>
      </w:r>
      <w:r>
        <w:rPr>
          <w:rFonts w:ascii="Times New Roman" w:hAnsi="Times New Roman" w:cs="Times New Roman"/>
          <w:i/>
          <w:color w:val="auto"/>
          <w:sz w:val="18"/>
          <w:szCs w:val="18"/>
        </w:rPr>
        <w:t>srGAP2</w:t>
      </w:r>
      <w:r>
        <w:rPr>
          <w:rFonts w:ascii="Times New Roman" w:hAnsi="Times New Roman" w:cs="Times New Roman"/>
          <w:color w:val="auto"/>
          <w:sz w:val="18"/>
          <w:szCs w:val="18"/>
        </w:rPr>
        <w:t xml:space="preserve"> tension gradients control migration direction in triple-negative breast cancer[J]. Theranostics, 2023, 13(1):59-76.</w:t>
      </w:r>
      <w:bookmarkEnd w:id="19"/>
    </w:p>
    <w:p w14:paraId="6536C2BD">
      <w:pPr>
        <w:numPr>
          <w:ilvl w:val="0"/>
          <w:numId w:val="1"/>
        </w:numPr>
        <w:spacing w:line="360" w:lineRule="auto"/>
        <w:rPr>
          <w:color w:val="auto"/>
          <w:sz w:val="18"/>
          <w:szCs w:val="18"/>
        </w:rPr>
      </w:pPr>
      <w:bookmarkStart w:id="20" w:name="CITEREF018"/>
      <w:r>
        <w:rPr>
          <w:rFonts w:ascii="Times New Roman" w:hAnsi="Times New Roman" w:cs="Times New Roman"/>
          <w:color w:val="auto"/>
          <w:sz w:val="18"/>
          <w:szCs w:val="18"/>
        </w:rPr>
        <w:t>OSTROWSKI Z, PRICE T, ZHANG J, et al. Leveraging crosslinker diffusion to template stiffness gradients in alginate hydrogels[J]. Biomed Mater, 2025, 20(6):065024. doi:10.1088/1748-605X/ae1ab7.</w:t>
      </w:r>
      <w:bookmarkEnd w:id="20"/>
    </w:p>
    <w:p w14:paraId="00D9A83A">
      <w:pPr>
        <w:numPr>
          <w:ilvl w:val="0"/>
          <w:numId w:val="1"/>
        </w:numPr>
        <w:spacing w:line="360" w:lineRule="auto"/>
        <w:rPr>
          <w:color w:val="auto"/>
          <w:sz w:val="18"/>
          <w:szCs w:val="18"/>
        </w:rPr>
      </w:pPr>
      <w:bookmarkStart w:id="21" w:name="CITEREF019"/>
      <w:r>
        <w:rPr>
          <w:rFonts w:ascii="Times New Roman" w:hAnsi="Times New Roman" w:cs="Times New Roman"/>
          <w:color w:val="auto"/>
          <w:sz w:val="18"/>
          <w:szCs w:val="18"/>
        </w:rPr>
        <w:t>XIAO Y, JIANG Y, BAO T, et al. CAF-Driven Mechanotransduction via Collagen Remodeling Accelerates Tumor Cell Cycle Progression[J]. Gels, 2025, 11(8):642.</w:t>
      </w:r>
      <w:bookmarkEnd w:id="21"/>
    </w:p>
    <w:p w14:paraId="39176B33">
      <w:pPr>
        <w:numPr>
          <w:ilvl w:val="0"/>
          <w:numId w:val="1"/>
        </w:numPr>
        <w:spacing w:line="360" w:lineRule="auto"/>
        <w:rPr>
          <w:color w:val="auto"/>
          <w:sz w:val="18"/>
          <w:szCs w:val="18"/>
        </w:rPr>
      </w:pPr>
      <w:bookmarkStart w:id="22" w:name="CITEREF020"/>
      <w:r>
        <w:rPr>
          <w:rFonts w:ascii="Times New Roman" w:hAnsi="Times New Roman" w:cs="Times New Roman"/>
          <w:color w:val="auto"/>
          <w:sz w:val="18"/>
          <w:szCs w:val="18"/>
        </w:rPr>
        <w:t>CHANG TW, HUANG MW, DONG GC, et al. Construction of a 3D Bioprinted Microfluidic Platform to Study Breast Cancer Bone Metastasis and Tumor Microenvironmental Influences[J]. ACS Appl Mater Interfaces, 2025, 17(45):61718-61730.</w:t>
      </w:r>
      <w:bookmarkEnd w:id="22"/>
    </w:p>
    <w:p w14:paraId="52784ADC">
      <w:pPr>
        <w:numPr>
          <w:ilvl w:val="0"/>
          <w:numId w:val="1"/>
        </w:numPr>
        <w:spacing w:line="360" w:lineRule="auto"/>
        <w:rPr>
          <w:color w:val="auto"/>
          <w:sz w:val="18"/>
          <w:szCs w:val="18"/>
        </w:rPr>
      </w:pPr>
      <w:bookmarkStart w:id="23" w:name="CITEREF021"/>
      <w:r>
        <w:rPr>
          <w:rFonts w:ascii="Times New Roman" w:hAnsi="Times New Roman" w:cs="Times New Roman"/>
          <w:color w:val="auto"/>
          <w:sz w:val="18"/>
          <w:szCs w:val="18"/>
        </w:rPr>
        <w:t>WOLF K, TE LINDERT M, KRAUSE M, et al. Physical limits of cell migration: control by ECM space and nuclear deformation and tuning by proteolysis and traction force[J]. J Cell Biol, 2013, 201(7):1069-1084.</w:t>
      </w:r>
      <w:bookmarkEnd w:id="23"/>
    </w:p>
    <w:p w14:paraId="6BDCBC3A">
      <w:pPr>
        <w:numPr>
          <w:ilvl w:val="0"/>
          <w:numId w:val="1"/>
        </w:numPr>
        <w:spacing w:line="360" w:lineRule="auto"/>
        <w:rPr>
          <w:color w:val="auto"/>
          <w:sz w:val="18"/>
          <w:szCs w:val="18"/>
        </w:rPr>
      </w:pPr>
      <w:bookmarkStart w:id="24" w:name="CITEREF022"/>
      <w:r>
        <w:rPr>
          <w:rFonts w:ascii="Times New Roman" w:hAnsi="Times New Roman" w:cs="Times New Roman"/>
          <w:color w:val="auto"/>
          <w:sz w:val="18"/>
          <w:szCs w:val="18"/>
        </w:rPr>
        <w:t xml:space="preserve">HU Z, MAJESKI HE, MESTRE-FARRERA A, et al. Extracellular matrix rigidity controls breast cancer metastasis via </w:t>
      </w:r>
      <w:r>
        <w:rPr>
          <w:rFonts w:ascii="Times New Roman" w:hAnsi="Times New Roman" w:cs="Times New Roman"/>
          <w:i/>
          <w:color w:val="auto"/>
          <w:sz w:val="18"/>
          <w:szCs w:val="18"/>
        </w:rPr>
        <w:t>TYK2</w:t>
      </w:r>
      <w:r>
        <w:rPr>
          <w:rFonts w:ascii="Times New Roman" w:hAnsi="Times New Roman" w:cs="Times New Roman"/>
          <w:color w:val="auto"/>
          <w:sz w:val="18"/>
          <w:szCs w:val="18"/>
        </w:rPr>
        <w:t>-mediated mechanotransduction[J]. Nat Commun, 2026, 17(1):4392. doi:10.1038/s41467-026-70518-9.</w:t>
      </w:r>
      <w:bookmarkEnd w:id="24"/>
    </w:p>
    <w:p w14:paraId="0E2DE2E7">
      <w:pPr>
        <w:numPr>
          <w:ilvl w:val="0"/>
          <w:numId w:val="1"/>
        </w:numPr>
        <w:spacing w:line="360" w:lineRule="auto"/>
        <w:rPr>
          <w:color w:val="auto"/>
          <w:sz w:val="18"/>
          <w:szCs w:val="18"/>
        </w:rPr>
      </w:pPr>
      <w:bookmarkStart w:id="25" w:name="CITEREF023"/>
      <w:r>
        <w:rPr>
          <w:rFonts w:ascii="Times New Roman" w:hAnsi="Times New Roman" w:cs="Times New Roman"/>
          <w:color w:val="auto"/>
          <w:sz w:val="18"/>
          <w:szCs w:val="18"/>
        </w:rPr>
        <w:t xml:space="preserve">DUPONT S, MORSUT L, ARAGONA M, et al. Role of </w:t>
      </w:r>
      <w:r>
        <w:rPr>
          <w:rFonts w:ascii="Times New Roman" w:hAnsi="Times New Roman" w:cs="Times New Roman"/>
          <w:i/>
          <w:color w:val="auto"/>
          <w:sz w:val="18"/>
          <w:szCs w:val="18"/>
        </w:rPr>
        <w:t>YAP/TAZ</w:t>
      </w:r>
      <w:r>
        <w:rPr>
          <w:rFonts w:ascii="Times New Roman" w:hAnsi="Times New Roman" w:cs="Times New Roman"/>
          <w:color w:val="auto"/>
          <w:sz w:val="18"/>
          <w:szCs w:val="18"/>
        </w:rPr>
        <w:t xml:space="preserve"> in mechanotransduction[J]. Nature, 2011, 474(7350):179-183.</w:t>
      </w:r>
      <w:bookmarkEnd w:id="25"/>
    </w:p>
    <w:p w14:paraId="116665B4">
      <w:pPr>
        <w:numPr>
          <w:ilvl w:val="0"/>
          <w:numId w:val="1"/>
        </w:numPr>
        <w:spacing w:line="360" w:lineRule="auto"/>
        <w:rPr>
          <w:color w:val="auto"/>
          <w:sz w:val="18"/>
          <w:szCs w:val="18"/>
        </w:rPr>
      </w:pPr>
      <w:bookmarkStart w:id="26" w:name="CITEREF024"/>
      <w:r>
        <w:rPr>
          <w:rFonts w:ascii="Times New Roman" w:hAnsi="Times New Roman" w:cs="Times New Roman"/>
          <w:color w:val="auto"/>
          <w:sz w:val="18"/>
          <w:szCs w:val="18"/>
        </w:rPr>
        <w:t>DEL RIO A, PEREZ-JIMENEZ R, LIU R, et al. Stretching single talin rod molecules activates vinculin binding[J]. Science, 2009, 323(5914):638-641.</w:t>
      </w:r>
      <w:bookmarkEnd w:id="26"/>
    </w:p>
    <w:p w14:paraId="20585D32">
      <w:pPr>
        <w:numPr>
          <w:ilvl w:val="0"/>
          <w:numId w:val="1"/>
        </w:numPr>
        <w:spacing w:line="360" w:lineRule="auto"/>
        <w:rPr>
          <w:color w:val="auto"/>
          <w:sz w:val="18"/>
          <w:szCs w:val="18"/>
        </w:rPr>
      </w:pPr>
      <w:bookmarkStart w:id="27" w:name="CITEREF025"/>
      <w:r>
        <w:rPr>
          <w:rFonts w:ascii="Times New Roman" w:hAnsi="Times New Roman" w:cs="Times New Roman"/>
          <w:color w:val="auto"/>
          <w:sz w:val="18"/>
          <w:szCs w:val="18"/>
        </w:rPr>
        <w:t>GOULT BT, BROWN NH, SCHWARTZ MA. Talin in mechanotransduction and mechanomemory at a glance[J]. J Cell Sci, 2021, 134(20):jcs258749.</w:t>
      </w:r>
      <w:bookmarkEnd w:id="27"/>
    </w:p>
    <w:p w14:paraId="78FC007B">
      <w:pPr>
        <w:numPr>
          <w:ilvl w:val="0"/>
          <w:numId w:val="1"/>
        </w:numPr>
        <w:spacing w:line="360" w:lineRule="auto"/>
        <w:rPr>
          <w:color w:val="auto"/>
          <w:sz w:val="18"/>
          <w:szCs w:val="18"/>
        </w:rPr>
      </w:pPr>
      <w:bookmarkStart w:id="28" w:name="CITEREF026"/>
      <w:r>
        <w:rPr>
          <w:rFonts w:ascii="Times New Roman" w:hAnsi="Times New Roman" w:cs="Times New Roman"/>
          <w:color w:val="auto"/>
          <w:sz w:val="18"/>
          <w:szCs w:val="18"/>
        </w:rPr>
        <w:t>CAMBRIA E, COUGHLIN MF, FLORYAN MA, et al. Linking cell mechanical memory and cancer metastasis[J]. Nat Rev Cancer, 2024, 24(3):216-228.</w:t>
      </w:r>
      <w:bookmarkEnd w:id="28"/>
    </w:p>
    <w:p w14:paraId="76AB6D29">
      <w:pPr>
        <w:numPr>
          <w:ilvl w:val="0"/>
          <w:numId w:val="1"/>
        </w:numPr>
        <w:spacing w:line="360" w:lineRule="auto"/>
        <w:rPr>
          <w:color w:val="auto"/>
          <w:sz w:val="18"/>
          <w:szCs w:val="18"/>
        </w:rPr>
      </w:pPr>
      <w:bookmarkStart w:id="29" w:name="CITEREF027"/>
      <w:r>
        <w:rPr>
          <w:rFonts w:ascii="Times New Roman" w:hAnsi="Times New Roman" w:cs="Times New Roman"/>
          <w:color w:val="auto"/>
          <w:sz w:val="18"/>
          <w:szCs w:val="18"/>
        </w:rPr>
        <w:t>PFEIFER CR, IRIANTO J, DISCHER DE. Nuclear mechanics and cancer cell migration[M]//Cell migration: developmental methods and protocols. Adv Exp Med Biol. Cham: Springer, 2019, 1146:117-130.</w:t>
      </w:r>
      <w:bookmarkEnd w:id="29"/>
    </w:p>
    <w:p w14:paraId="2987AF1D">
      <w:pPr>
        <w:numPr>
          <w:ilvl w:val="0"/>
          <w:numId w:val="1"/>
        </w:numPr>
        <w:spacing w:line="360" w:lineRule="auto"/>
        <w:rPr>
          <w:color w:val="auto"/>
          <w:sz w:val="18"/>
          <w:szCs w:val="18"/>
        </w:rPr>
      </w:pPr>
      <w:bookmarkStart w:id="30" w:name="CITEREF028"/>
      <w:r>
        <w:rPr>
          <w:rFonts w:ascii="Times New Roman" w:hAnsi="Times New Roman" w:cs="Times New Roman"/>
          <w:color w:val="auto"/>
          <w:sz w:val="18"/>
          <w:szCs w:val="18"/>
        </w:rPr>
        <w:t>MATSUMOTO A, HIEDA M, YOKOYAMA Y, et al. Global loss of a nuclear lamina component, lamin A/C, and LINC complex components SUN1, SUN2, and nesprin-2 in breast cancer[J]. Cancer Med, 2015, 4(10):1547-1557.</w:t>
      </w:r>
      <w:bookmarkEnd w:id="30"/>
    </w:p>
    <w:p w14:paraId="5555B0B1">
      <w:pPr>
        <w:numPr>
          <w:ilvl w:val="0"/>
          <w:numId w:val="1"/>
        </w:numPr>
        <w:spacing w:line="360" w:lineRule="auto"/>
        <w:rPr>
          <w:color w:val="auto"/>
          <w:sz w:val="18"/>
          <w:szCs w:val="18"/>
        </w:rPr>
      </w:pPr>
      <w:bookmarkStart w:id="31" w:name="CITEREF029"/>
      <w:r>
        <w:rPr>
          <w:rFonts w:ascii="Times New Roman" w:hAnsi="Times New Roman" w:cs="Times New Roman"/>
          <w:color w:val="auto"/>
          <w:sz w:val="18"/>
          <w:szCs w:val="18"/>
        </w:rPr>
        <w:t>AL-SAMMAK BF, YILDIZ OZER L, FAYED HS, et al. The role of nesprin-4 in breast cancer migration and invasion[J]. Cells, 2025, 14(19):1484.</w:t>
      </w:r>
      <w:bookmarkEnd w:id="31"/>
    </w:p>
    <w:p w14:paraId="5368693D">
      <w:pPr>
        <w:numPr>
          <w:ilvl w:val="0"/>
          <w:numId w:val="1"/>
        </w:numPr>
        <w:spacing w:line="360" w:lineRule="auto"/>
        <w:rPr>
          <w:color w:val="auto"/>
          <w:sz w:val="18"/>
          <w:szCs w:val="18"/>
        </w:rPr>
      </w:pPr>
      <w:bookmarkStart w:id="32" w:name="CITEREF030"/>
      <w:r>
        <w:rPr>
          <w:rFonts w:ascii="Times New Roman" w:hAnsi="Times New Roman" w:cs="Times New Roman"/>
          <w:color w:val="auto"/>
          <w:sz w:val="18"/>
          <w:szCs w:val="18"/>
        </w:rPr>
        <w:t>DENAIS CM, GILBERT RM, ISERMANN P, et al. Nuclear envelope rupture and repair during cancer cell migration[J]. Science, 2016, 352(6283):353-358.</w:t>
      </w:r>
      <w:bookmarkEnd w:id="32"/>
    </w:p>
    <w:p w14:paraId="045BE03C">
      <w:pPr>
        <w:numPr>
          <w:ilvl w:val="0"/>
          <w:numId w:val="1"/>
        </w:numPr>
        <w:spacing w:line="360" w:lineRule="auto"/>
        <w:rPr>
          <w:color w:val="auto"/>
          <w:sz w:val="18"/>
          <w:szCs w:val="18"/>
        </w:rPr>
      </w:pPr>
      <w:bookmarkStart w:id="33" w:name="CITEREF033"/>
      <w:r>
        <w:rPr>
          <w:rFonts w:ascii="Times New Roman" w:hAnsi="Times New Roman" w:cs="Times New Roman"/>
          <w:color w:val="auto"/>
          <w:sz w:val="18"/>
          <w:szCs w:val="18"/>
        </w:rPr>
        <w:t>KOVACS MT, VALLETTE M, WIERTSEMA P, et al. DNA damage induces nuclear envelope rupture through ATR-mediated phosphorylation of lamin A/C[J]. Mol Cell, 2023, 83(20):3659-3668.e10.</w:t>
      </w:r>
      <w:bookmarkEnd w:id="33"/>
    </w:p>
    <w:p w14:paraId="53B60CB3">
      <w:pPr>
        <w:numPr>
          <w:ilvl w:val="0"/>
          <w:numId w:val="1"/>
        </w:numPr>
        <w:spacing w:line="360" w:lineRule="auto"/>
        <w:rPr>
          <w:color w:val="auto"/>
          <w:sz w:val="18"/>
          <w:szCs w:val="18"/>
        </w:rPr>
      </w:pPr>
      <w:bookmarkStart w:id="34" w:name="CITEREF034"/>
      <w:r>
        <w:rPr>
          <w:rFonts w:ascii="Times New Roman" w:hAnsi="Times New Roman" w:cs="Times New Roman"/>
          <w:color w:val="auto"/>
          <w:sz w:val="18"/>
          <w:szCs w:val="18"/>
        </w:rPr>
        <w:t>IRIANTO J, XIA Y, PFEIFER CR, et al. DNA Damage Follows Repair Factor Depletion and Portends Genome Variation in Cancer Cells after Pore Migration[J]. Curr Biol, 2017, 27(2):210-223.</w:t>
      </w:r>
      <w:bookmarkEnd w:id="34"/>
    </w:p>
    <w:p w14:paraId="679A3B6C">
      <w:pPr>
        <w:numPr>
          <w:ilvl w:val="0"/>
          <w:numId w:val="1"/>
        </w:numPr>
        <w:spacing w:line="360" w:lineRule="auto"/>
        <w:rPr>
          <w:color w:val="auto"/>
          <w:sz w:val="18"/>
          <w:szCs w:val="18"/>
        </w:rPr>
      </w:pPr>
      <w:bookmarkStart w:id="35" w:name="CITEREF031"/>
      <w:r>
        <w:rPr>
          <w:rFonts w:ascii="Times New Roman" w:hAnsi="Times New Roman" w:cs="Times New Roman"/>
          <w:color w:val="auto"/>
          <w:sz w:val="18"/>
          <w:szCs w:val="18"/>
        </w:rPr>
        <w:t>RAAB M, GENTILI M, DE BELLY H, et al. ESCRT III repairs nuclear envelope ruptures during cell migration to limit DNA damage and cell death[J]. Science, 2016, 352(6283):359-362.</w:t>
      </w:r>
      <w:bookmarkEnd w:id="35"/>
    </w:p>
    <w:p w14:paraId="22E69E84">
      <w:pPr>
        <w:numPr>
          <w:ilvl w:val="0"/>
          <w:numId w:val="1"/>
        </w:numPr>
        <w:spacing w:line="360" w:lineRule="auto"/>
        <w:rPr>
          <w:color w:val="auto"/>
          <w:sz w:val="18"/>
          <w:szCs w:val="18"/>
        </w:rPr>
      </w:pPr>
      <w:bookmarkStart w:id="36" w:name="CITEREF032"/>
      <w:r>
        <w:rPr>
          <w:rFonts w:ascii="Times New Roman" w:hAnsi="Times New Roman" w:cs="Times New Roman"/>
          <w:color w:val="auto"/>
          <w:sz w:val="18"/>
          <w:szCs w:val="18"/>
        </w:rPr>
        <w:t>PATTESON AE, VAHABIKASHI A, POGODA K, et al. Vimentin protects cells against nuclear rupture and DNA damage during migration[J]. J Cell Biol, 2019, 218(12):4079-4092.</w:t>
      </w:r>
      <w:bookmarkEnd w:id="36"/>
    </w:p>
    <w:p w14:paraId="0A1223FE">
      <w:pPr>
        <w:numPr>
          <w:ilvl w:val="0"/>
          <w:numId w:val="1"/>
        </w:numPr>
        <w:spacing w:line="360" w:lineRule="auto"/>
        <w:rPr>
          <w:color w:val="auto"/>
          <w:sz w:val="18"/>
          <w:szCs w:val="18"/>
        </w:rPr>
      </w:pPr>
      <w:bookmarkStart w:id="37" w:name="CITEREF035"/>
      <w:r>
        <w:rPr>
          <w:rFonts w:ascii="Times New Roman" w:hAnsi="Times New Roman" w:cs="Times New Roman"/>
          <w:color w:val="auto"/>
          <w:sz w:val="18"/>
          <w:szCs w:val="18"/>
        </w:rPr>
        <w:t>SHAH P, MCGUIGAN CW, CHENG S, et al. ATM Modulates Nuclear Mechanics by Regulating Lamin A Levels[J]. Front Cell Dev Biol, 2022, 10:875132.</w:t>
      </w:r>
      <w:bookmarkEnd w:id="37"/>
    </w:p>
    <w:p w14:paraId="74FB8F80">
      <w:pPr>
        <w:numPr>
          <w:ilvl w:val="0"/>
          <w:numId w:val="1"/>
        </w:numPr>
        <w:spacing w:line="360" w:lineRule="auto"/>
        <w:rPr>
          <w:color w:val="auto"/>
          <w:sz w:val="18"/>
          <w:szCs w:val="18"/>
        </w:rPr>
      </w:pPr>
      <w:bookmarkStart w:id="38" w:name="CITEREF036"/>
      <w:r>
        <w:rPr>
          <w:rFonts w:ascii="Times New Roman" w:hAnsi="Times New Roman" w:cs="Times New Roman"/>
          <w:color w:val="auto"/>
          <w:sz w:val="18"/>
          <w:szCs w:val="18"/>
        </w:rPr>
        <w:t>WANG YJ, LIANG H, LIU Y, et al. Lamin A/C and vimentin as a coordinated regulator during amoeboid migration in microscale confined microenvironments[J]. Nano Lett, 2023, 23(14):6727-6735.</w:t>
      </w:r>
      <w:bookmarkEnd w:id="38"/>
    </w:p>
    <w:p w14:paraId="71BD2599">
      <w:pPr>
        <w:numPr>
          <w:ilvl w:val="0"/>
          <w:numId w:val="1"/>
        </w:numPr>
        <w:spacing w:line="360" w:lineRule="auto"/>
        <w:rPr>
          <w:color w:val="auto"/>
          <w:sz w:val="18"/>
          <w:szCs w:val="18"/>
        </w:rPr>
      </w:pPr>
      <w:bookmarkStart w:id="39" w:name="CITEREF037"/>
      <w:r>
        <w:rPr>
          <w:rFonts w:ascii="Times New Roman" w:hAnsi="Times New Roman" w:cs="Times New Roman"/>
          <w:color w:val="auto"/>
          <w:sz w:val="18"/>
          <w:szCs w:val="18"/>
        </w:rPr>
        <w:t>LIU Y, WANG YJ, DU Y, et al. DNA nanomachines reveal an adaptive energy mode in confinement-induced amoeboid migration powered by polarized mitochondrial distribution[J]. Proc Natl Acad Sci U S A, 2024, 121(14):e2317492121.</w:t>
      </w:r>
      <w:bookmarkEnd w:id="39"/>
    </w:p>
    <w:p w14:paraId="0058416B">
      <w:pPr>
        <w:numPr>
          <w:ilvl w:val="0"/>
          <w:numId w:val="1"/>
        </w:numPr>
        <w:spacing w:line="360" w:lineRule="auto"/>
        <w:rPr>
          <w:color w:val="auto"/>
          <w:sz w:val="18"/>
          <w:szCs w:val="18"/>
        </w:rPr>
      </w:pPr>
      <w:bookmarkStart w:id="40" w:name="CITEREF038"/>
      <w:r>
        <w:rPr>
          <w:rFonts w:ascii="Times New Roman" w:hAnsi="Times New Roman" w:cs="Times New Roman"/>
          <w:color w:val="auto"/>
          <w:sz w:val="18"/>
          <w:szCs w:val="18"/>
        </w:rPr>
        <w:t>CROSAS-MOLIST E, GRAZIANI V, MAIQUES O, et al. AMPK is a mechano-metabolic sensor linking cell adhesion and mitochondrial dynamics to Myosin-dependent cell migration[J]. Nat Commun, 2023, 14(1):2740.</w:t>
      </w:r>
      <w:bookmarkEnd w:id="40"/>
    </w:p>
    <w:p w14:paraId="54D24976">
      <w:pPr>
        <w:numPr>
          <w:ilvl w:val="0"/>
          <w:numId w:val="1"/>
        </w:numPr>
        <w:spacing w:line="360" w:lineRule="auto"/>
        <w:rPr>
          <w:color w:val="auto"/>
          <w:sz w:val="18"/>
          <w:szCs w:val="18"/>
        </w:rPr>
      </w:pPr>
      <w:bookmarkStart w:id="41" w:name="CITEREF039"/>
      <w:r>
        <w:rPr>
          <w:rFonts w:ascii="Times New Roman" w:hAnsi="Times New Roman" w:cs="Times New Roman"/>
          <w:color w:val="auto"/>
          <w:sz w:val="18"/>
          <w:szCs w:val="18"/>
        </w:rPr>
        <w:t>AMITRANO A, CHOUDHURY D, KONSTANTOPOULOS K. Navigating confinement: Mechanotransduction and metabolic adaptation[J]. Curr Opin Cell Biol, 2025, 94:102487.</w:t>
      </w:r>
      <w:bookmarkEnd w:id="41"/>
    </w:p>
    <w:p w14:paraId="2259186D">
      <w:pPr>
        <w:numPr>
          <w:ilvl w:val="0"/>
          <w:numId w:val="1"/>
        </w:numPr>
        <w:spacing w:line="360" w:lineRule="auto"/>
        <w:rPr>
          <w:color w:val="auto"/>
          <w:sz w:val="18"/>
          <w:szCs w:val="18"/>
        </w:rPr>
      </w:pPr>
      <w:bookmarkStart w:id="42" w:name="CITEREF040"/>
      <w:r>
        <w:rPr>
          <w:rFonts w:ascii="Times New Roman" w:hAnsi="Times New Roman" w:cs="Times New Roman"/>
          <w:color w:val="auto"/>
          <w:sz w:val="18"/>
          <w:szCs w:val="18"/>
        </w:rPr>
        <w:t>ZHENG D, ZHOU J, QIAN L, et al. Biomimetic nanoparticles drive the mechanism understanding of shear-wave elasticity stiffness in triple negative breast cancers to predict clinical treatment[J]. Bioact Mater, 2023, 22:567-587.</w:t>
      </w:r>
      <w:bookmarkEnd w:id="42"/>
    </w:p>
    <w:p w14:paraId="4F0AC651">
      <w:pPr>
        <w:numPr>
          <w:ilvl w:val="0"/>
          <w:numId w:val="1"/>
        </w:numPr>
        <w:spacing w:line="360" w:lineRule="auto"/>
        <w:rPr>
          <w:color w:val="auto"/>
          <w:sz w:val="18"/>
          <w:szCs w:val="18"/>
        </w:rPr>
      </w:pPr>
      <w:bookmarkStart w:id="43" w:name="CITEREF041"/>
      <w:r>
        <w:rPr>
          <w:rFonts w:ascii="Times New Roman" w:hAnsi="Times New Roman" w:cs="Times New Roman"/>
          <w:color w:val="auto"/>
          <w:sz w:val="18"/>
          <w:szCs w:val="18"/>
        </w:rPr>
        <w:t>EUN NL, BAE SJ, YOUK JH, et al. Tumor-Infiltrating Lymphocyte Level Consistently Correlates with Lower Stiffness Measured by Shear-Wave Elastography: Subtype-Specific Analysis of Its Implication in Breast Cancer[J]. Cancers (Basel), 2024, 16(7):1254.</w:t>
      </w:r>
      <w:bookmarkEnd w:id="43"/>
    </w:p>
    <w:p w14:paraId="693F2023">
      <w:pPr>
        <w:numPr>
          <w:ilvl w:val="0"/>
          <w:numId w:val="1"/>
        </w:numPr>
        <w:spacing w:line="360" w:lineRule="auto"/>
        <w:rPr>
          <w:color w:val="auto"/>
          <w:sz w:val="18"/>
          <w:szCs w:val="18"/>
        </w:rPr>
      </w:pPr>
      <w:bookmarkStart w:id="44" w:name="CITEREF043"/>
      <w:r>
        <w:rPr>
          <w:rFonts w:ascii="Times New Roman" w:hAnsi="Times New Roman" w:cs="Times New Roman"/>
          <w:color w:val="auto"/>
          <w:sz w:val="18"/>
          <w:szCs w:val="18"/>
        </w:rPr>
        <w:t xml:space="preserve">DINCA SC, GREINER D, WEIDENFELD K, et al. Novel mechanism for OSM-promoted extracellular matrix remodeling in breast cancer: </w:t>
      </w:r>
      <w:r>
        <w:rPr>
          <w:rFonts w:ascii="Times New Roman" w:hAnsi="Times New Roman" w:cs="Times New Roman"/>
          <w:i/>
          <w:color w:val="auto"/>
          <w:sz w:val="18"/>
          <w:szCs w:val="18"/>
        </w:rPr>
        <w:t>LOXL2</w:t>
      </w:r>
      <w:r>
        <w:rPr>
          <w:rFonts w:ascii="Times New Roman" w:hAnsi="Times New Roman" w:cs="Times New Roman"/>
          <w:color w:val="auto"/>
          <w:sz w:val="18"/>
          <w:szCs w:val="18"/>
        </w:rPr>
        <w:t xml:space="preserve"> upregulation and subsequent ECM alignment[J]. Breast Cancer Res, 2021, 23(1):56.</w:t>
      </w:r>
      <w:bookmarkEnd w:id="44"/>
    </w:p>
    <w:p w14:paraId="35C0C73E">
      <w:pPr>
        <w:numPr>
          <w:ilvl w:val="0"/>
          <w:numId w:val="1"/>
        </w:numPr>
        <w:spacing w:line="360" w:lineRule="auto"/>
        <w:rPr>
          <w:color w:val="auto"/>
          <w:sz w:val="18"/>
          <w:szCs w:val="18"/>
        </w:rPr>
      </w:pPr>
      <w:bookmarkStart w:id="45" w:name="CITEREF044"/>
      <w:r>
        <w:rPr>
          <w:rFonts w:ascii="Times New Roman" w:hAnsi="Times New Roman" w:cs="Times New Roman"/>
          <w:color w:val="auto"/>
          <w:sz w:val="18"/>
          <w:szCs w:val="18"/>
        </w:rPr>
        <w:t>CONKLIN MW, EICKHOFF JC, RICHING KM, et al. Aligned Collagen Is a Prognostic Signature for Survival in Human Breast Carcinoma[J]. Am J Pathol, 2011, 178(3):1221-1232.</w:t>
      </w:r>
      <w:bookmarkEnd w:id="45"/>
    </w:p>
    <w:p w14:paraId="6B66FE85">
      <w:pPr>
        <w:numPr>
          <w:ilvl w:val="0"/>
          <w:numId w:val="1"/>
        </w:numPr>
        <w:spacing w:line="360" w:lineRule="auto"/>
        <w:rPr>
          <w:color w:val="auto"/>
          <w:sz w:val="18"/>
          <w:szCs w:val="18"/>
        </w:rPr>
      </w:pPr>
      <w:bookmarkStart w:id="46" w:name="CITEREF042"/>
      <w:r>
        <w:rPr>
          <w:rFonts w:ascii="Times New Roman" w:hAnsi="Times New Roman" w:cs="Times New Roman"/>
          <w:color w:val="auto"/>
          <w:sz w:val="18"/>
          <w:szCs w:val="18"/>
        </w:rPr>
        <w:t>SEO J, PARK M, KO D, et al. Ebastine impairs metastatic spread in triple-negative breast cancer by targeting focal adhesion kinase[J]. Cell Mol Life Sci, 2023, 80(5):132.</w:t>
      </w:r>
      <w:bookmarkEnd w:id="46"/>
    </w:p>
    <w:p w14:paraId="3FA857E9">
      <w:pPr>
        <w:numPr>
          <w:ilvl w:val="0"/>
          <w:numId w:val="1"/>
        </w:numPr>
        <w:spacing w:line="360" w:lineRule="auto"/>
        <w:rPr>
          <w:color w:val="auto"/>
          <w:sz w:val="18"/>
          <w:szCs w:val="18"/>
        </w:rPr>
      </w:pPr>
      <w:bookmarkStart w:id="47" w:name="CITEREF045"/>
      <w:r>
        <w:rPr>
          <w:rFonts w:ascii="Times New Roman" w:hAnsi="Times New Roman" w:cs="Times New Roman"/>
          <w:color w:val="auto"/>
          <w:sz w:val="18"/>
          <w:szCs w:val="18"/>
        </w:rPr>
        <w:t>CASTRO-GUIJARRO AC, VANDERHOEVEN F, MONDACA JM, et al. Combination Treatment of Retinoic Acid Plus Focal Adhesion Kinase Inhibitor Prevents Tumor Growth and Breast Cancer Cell Metastasis[J]. Cells, 2022, 11(19):2988.</w:t>
      </w:r>
      <w:bookmarkEnd w:id="47"/>
    </w:p>
    <w:p w14:paraId="38415CF0">
      <w:pPr>
        <w:numPr>
          <w:ilvl w:val="0"/>
          <w:numId w:val="1"/>
        </w:numPr>
        <w:spacing w:line="360" w:lineRule="auto"/>
        <w:rPr>
          <w:color w:val="auto"/>
          <w:sz w:val="18"/>
          <w:szCs w:val="18"/>
        </w:rPr>
      </w:pPr>
      <w:bookmarkStart w:id="48" w:name="CITEREF046"/>
      <w:r>
        <w:rPr>
          <w:rFonts w:ascii="Times New Roman" w:hAnsi="Times New Roman" w:cs="Times New Roman"/>
          <w:color w:val="auto"/>
          <w:sz w:val="18"/>
          <w:szCs w:val="18"/>
        </w:rPr>
        <w:t>BOYD AL, KHANAL P, KELLY T, et al. Kinome-Wide Screening Identifies FAK as a Novel Post-Translational Regulator of PD-L1 Stability and Immune Evasion in Triple-Negative Breast Cancer[J]. Int J Mol Sci, 2025, 26(20):10108.</w:t>
      </w:r>
      <w:bookmarkEnd w:id="48"/>
    </w:p>
    <w:p w14:paraId="3E972E1E">
      <w:pPr>
        <w:numPr>
          <w:ilvl w:val="0"/>
          <w:numId w:val="1"/>
        </w:numPr>
        <w:spacing w:line="360" w:lineRule="auto"/>
        <w:rPr>
          <w:color w:val="auto"/>
          <w:sz w:val="18"/>
          <w:szCs w:val="18"/>
        </w:rPr>
      </w:pPr>
      <w:bookmarkStart w:id="49" w:name="CITEREF047"/>
      <w:r>
        <w:rPr>
          <w:rFonts w:ascii="Times New Roman" w:hAnsi="Times New Roman" w:cs="Times New Roman"/>
          <w:color w:val="auto"/>
          <w:sz w:val="18"/>
          <w:szCs w:val="18"/>
        </w:rPr>
        <w:t xml:space="preserve">LI T, LI Y, WU H, et al. Extracellular cell matrix stiffness-driven drug resistance of breast cancer cells via </w:t>
      </w:r>
      <w:r>
        <w:rPr>
          <w:rFonts w:ascii="Times New Roman" w:hAnsi="Times New Roman" w:cs="Times New Roman"/>
          <w:i/>
          <w:color w:val="auto"/>
          <w:sz w:val="18"/>
          <w:szCs w:val="18"/>
        </w:rPr>
        <w:t>EGFR</w:t>
      </w:r>
      <w:r>
        <w:rPr>
          <w:rFonts w:ascii="Times New Roman" w:hAnsi="Times New Roman" w:cs="Times New Roman"/>
          <w:color w:val="auto"/>
          <w:sz w:val="18"/>
          <w:szCs w:val="18"/>
        </w:rPr>
        <w:t xml:space="preserve"> activation[J]. Mechanobiol Med, 2023, 1(2):100023.</w:t>
      </w:r>
      <w:bookmarkEnd w:id="49"/>
    </w:p>
    <w:p w14:paraId="48D100F3">
      <w:pPr>
        <w:numPr>
          <w:ilvl w:val="0"/>
          <w:numId w:val="1"/>
        </w:numPr>
        <w:spacing w:line="360" w:lineRule="auto"/>
        <w:rPr>
          <w:color w:val="auto"/>
          <w:sz w:val="18"/>
          <w:szCs w:val="18"/>
        </w:rPr>
      </w:pPr>
      <w:bookmarkStart w:id="50" w:name="CITEREF048"/>
      <w:r>
        <w:rPr>
          <w:rFonts w:ascii="Times New Roman" w:hAnsi="Times New Roman" w:cs="Times New Roman"/>
          <w:color w:val="auto"/>
          <w:sz w:val="18"/>
          <w:szCs w:val="18"/>
        </w:rPr>
        <w:t xml:space="preserve">CHEN H, ZHANG LF, MIAO Y, et al. Verteporfin Suppresses </w:t>
      </w:r>
      <w:r>
        <w:rPr>
          <w:rFonts w:ascii="Times New Roman" w:hAnsi="Times New Roman" w:cs="Times New Roman"/>
          <w:i/>
          <w:color w:val="auto"/>
          <w:sz w:val="18"/>
          <w:szCs w:val="18"/>
        </w:rPr>
        <w:t>YAP</w:t>
      </w:r>
      <w:r>
        <w:rPr>
          <w:rFonts w:ascii="Times New Roman" w:hAnsi="Times New Roman" w:cs="Times New Roman"/>
          <w:color w:val="auto"/>
          <w:sz w:val="18"/>
          <w:szCs w:val="18"/>
        </w:rPr>
        <w:t>-Induced Glycolysis in Breast Cancer Cells[J]. J Invest Surg, 2023, 36(1):2266732.</w:t>
      </w:r>
      <w:bookmarkEnd w:id="50"/>
    </w:p>
    <w:p w14:paraId="151E5222">
      <w:pPr>
        <w:numPr>
          <w:ilvl w:val="0"/>
          <w:numId w:val="1"/>
        </w:numPr>
        <w:spacing w:line="360" w:lineRule="auto"/>
        <w:rPr>
          <w:color w:val="auto"/>
          <w:sz w:val="18"/>
          <w:szCs w:val="18"/>
        </w:rPr>
      </w:pPr>
      <w:bookmarkStart w:id="51" w:name="CITEREF049"/>
      <w:r>
        <w:rPr>
          <w:rFonts w:ascii="Times New Roman" w:hAnsi="Times New Roman" w:cs="Times New Roman"/>
          <w:color w:val="auto"/>
          <w:sz w:val="18"/>
          <w:szCs w:val="18"/>
        </w:rPr>
        <w:t>GUIMEI M, ALROUH S, SABER-AYAD M, et al. Inhibition of Yes-Associated Protein-1 (</w:t>
      </w:r>
      <w:r>
        <w:rPr>
          <w:rFonts w:ascii="Times New Roman" w:hAnsi="Times New Roman" w:cs="Times New Roman"/>
          <w:i/>
          <w:color w:val="auto"/>
          <w:sz w:val="18"/>
          <w:szCs w:val="18"/>
        </w:rPr>
        <w:t>YAP1</w:t>
      </w:r>
      <w:r>
        <w:rPr>
          <w:rFonts w:ascii="Times New Roman" w:hAnsi="Times New Roman" w:cs="Times New Roman"/>
          <w:color w:val="auto"/>
          <w:sz w:val="18"/>
          <w:szCs w:val="18"/>
        </w:rPr>
        <w:t>) Enhances the Response of Invasive Breast Cancer Cells to the Standard Therapy[J]. Breast Cancer (Dove Med Press), 2020, 12:189-199.</w:t>
      </w:r>
      <w:bookmarkEnd w:id="51"/>
    </w:p>
    <w:p w14:paraId="47418C63">
      <w:pPr>
        <w:numPr>
          <w:ilvl w:val="0"/>
          <w:numId w:val="1"/>
        </w:numPr>
        <w:spacing w:line="360" w:lineRule="auto"/>
        <w:rPr>
          <w:color w:val="auto"/>
          <w:sz w:val="18"/>
          <w:szCs w:val="18"/>
        </w:rPr>
      </w:pPr>
      <w:bookmarkStart w:id="52" w:name="CITEREF050"/>
      <w:r>
        <w:rPr>
          <w:rFonts w:ascii="Times New Roman" w:hAnsi="Times New Roman" w:cs="Times New Roman"/>
          <w:color w:val="auto"/>
          <w:sz w:val="18"/>
          <w:szCs w:val="18"/>
        </w:rPr>
        <w:t>ERINC O, GOKTAS AYDIN S, ERKINURESIN T, et al. The Impact of Yes-Associated Protein 1 (</w:t>
      </w:r>
      <w:r>
        <w:rPr>
          <w:rFonts w:ascii="Times New Roman" w:hAnsi="Times New Roman" w:cs="Times New Roman"/>
          <w:i/>
          <w:color w:val="auto"/>
          <w:sz w:val="18"/>
          <w:szCs w:val="18"/>
        </w:rPr>
        <w:t>YAP1</w:t>
      </w:r>
      <w:r>
        <w:rPr>
          <w:rFonts w:ascii="Times New Roman" w:hAnsi="Times New Roman" w:cs="Times New Roman"/>
          <w:color w:val="auto"/>
          <w:sz w:val="18"/>
          <w:szCs w:val="18"/>
        </w:rPr>
        <w:t>) Expression Patterns in Locally Advanced Breast Cancer: Associations with Pathological Response and Tumor Features[J]. Medicina (Kaunas), 2025, 61(7):1297.</w:t>
      </w:r>
      <w:bookmarkEnd w:id="52"/>
    </w:p>
    <w:p w14:paraId="38B387FC">
      <w:pPr>
        <w:numPr>
          <w:ilvl w:val="0"/>
          <w:numId w:val="1"/>
        </w:numPr>
        <w:spacing w:line="360" w:lineRule="auto"/>
        <w:rPr>
          <w:color w:val="auto"/>
          <w:sz w:val="18"/>
          <w:szCs w:val="18"/>
        </w:rPr>
      </w:pPr>
      <w:bookmarkStart w:id="53" w:name="CITEREF051"/>
      <w:r>
        <w:rPr>
          <w:rFonts w:ascii="Times New Roman" w:hAnsi="Times New Roman" w:cs="Times New Roman"/>
          <w:color w:val="auto"/>
          <w:sz w:val="18"/>
          <w:szCs w:val="18"/>
        </w:rPr>
        <w:t>SNEIDER A, LIU Y, STARICH B, et al. Small Extracellular Vesicles Promote Stiffness-mediated Metastasis[J]. Cancer Res Commun, 2024, 4(5):1240-1252.</w:t>
      </w:r>
      <w:bookmarkEnd w:id="53"/>
    </w:p>
    <w:p w14:paraId="5A74961A">
      <w:pPr>
        <w:numPr>
          <w:ilvl w:val="0"/>
          <w:numId w:val="1"/>
        </w:numPr>
        <w:spacing w:line="360" w:lineRule="auto"/>
        <w:rPr>
          <w:color w:val="auto"/>
          <w:sz w:val="18"/>
          <w:szCs w:val="18"/>
        </w:rPr>
      </w:pPr>
      <w:bookmarkStart w:id="54" w:name="CITEREF052"/>
      <w:r>
        <w:rPr>
          <w:rFonts w:ascii="Times New Roman" w:hAnsi="Times New Roman" w:cs="Times New Roman"/>
          <w:color w:val="auto"/>
          <w:sz w:val="18"/>
          <w:szCs w:val="18"/>
        </w:rPr>
        <w:t>TIAN J, LIU X, CHAI CY, et al. Three-dimensional and Two-dimensional Shear Wave Elastography: Associations of Quantitative Elasticity Values with Prognostic Factors of Breast Cancer[J]. J Med Ultrasound, 2025, 33(4):371-380.</w:t>
      </w:r>
      <w:bookmarkEnd w:id="54"/>
    </w:p>
    <w:p w14:paraId="45AF4F31">
      <w:pPr>
        <w:numPr>
          <w:ilvl w:val="0"/>
          <w:numId w:val="1"/>
        </w:numPr>
        <w:spacing w:line="360" w:lineRule="auto"/>
        <w:rPr>
          <w:color w:val="auto"/>
          <w:sz w:val="18"/>
          <w:szCs w:val="18"/>
        </w:rPr>
      </w:pPr>
      <w:bookmarkStart w:id="55" w:name="CITEREF053"/>
      <w:r>
        <w:rPr>
          <w:rFonts w:ascii="Times New Roman" w:hAnsi="Times New Roman" w:cs="Times New Roman"/>
          <w:color w:val="auto"/>
          <w:sz w:val="18"/>
          <w:szCs w:val="18"/>
        </w:rPr>
        <w:t>LI B, DAI S, WANG Q, et al. Investigation of correlation between shear wave elastography and lymphangiogenesis in invasive breast cancer and diagnosis of axillary lymph node metastasis[J]. BMC Cancer, 2024, 24(1):409.</w:t>
      </w:r>
      <w:bookmarkEnd w:id="55"/>
    </w:p>
    <w:p w14:paraId="717DEC48">
      <w:pPr>
        <w:numPr>
          <w:ilvl w:val="0"/>
          <w:numId w:val="1"/>
        </w:numPr>
        <w:spacing w:line="360" w:lineRule="auto"/>
        <w:rPr>
          <w:color w:val="auto"/>
          <w:sz w:val="18"/>
          <w:szCs w:val="18"/>
        </w:rPr>
      </w:pPr>
      <w:bookmarkStart w:id="56" w:name="CITEREF054"/>
      <w:r>
        <w:rPr>
          <w:rFonts w:ascii="Times New Roman" w:hAnsi="Times New Roman" w:cs="Times New Roman"/>
          <w:color w:val="auto"/>
          <w:sz w:val="18"/>
          <w:szCs w:val="18"/>
        </w:rPr>
        <w:t>TOGAWA R, RIEDEL F, FEISST M, et al. Shear-wave elastography as a supplementary tool for axillary staging in patients undergoing breast cancer diagnosis[J]. Insights Imaging, 2024, 15(1):196.</w:t>
      </w:r>
      <w:bookmarkEnd w:id="56"/>
    </w:p>
    <w:p w14:paraId="06DE6C10">
      <w:pPr>
        <w:numPr>
          <w:ilvl w:val="0"/>
          <w:numId w:val="1"/>
        </w:numPr>
        <w:spacing w:line="360" w:lineRule="auto"/>
        <w:rPr>
          <w:color w:val="auto"/>
          <w:sz w:val="18"/>
          <w:szCs w:val="18"/>
        </w:rPr>
      </w:pPr>
      <w:bookmarkStart w:id="57" w:name="CITEREF055"/>
      <w:r>
        <w:rPr>
          <w:rFonts w:ascii="Times New Roman" w:hAnsi="Times New Roman" w:cs="Times New Roman"/>
          <w:color w:val="auto"/>
          <w:sz w:val="18"/>
          <w:szCs w:val="18"/>
        </w:rPr>
        <w:t>王莉，胡兵，任亮，等. 多种超声影像技术在乳腺癌诊断中的研究进展[J]. 中国医学影像学杂志，2024，32(6):635-640.</w:t>
      </w:r>
      <w:bookmarkEnd w:id="57"/>
    </w:p>
    <w:p w14:paraId="1DE4567D">
      <w:pPr>
        <w:spacing w:line="360" w:lineRule="auto"/>
        <w:rPr>
          <w:color w:val="auto"/>
          <w:sz w:val="18"/>
          <w:szCs w:val="18"/>
        </w:rPr>
      </w:pPr>
      <w:r>
        <w:rPr>
          <w:rFonts w:ascii="Times New Roman" w:hAnsi="Times New Roman" w:cs="Times New Roman"/>
          <w:color w:val="auto"/>
          <w:sz w:val="18"/>
          <w:szCs w:val="18"/>
        </w:rPr>
        <w:t>WANG L，HU B，REN L，et al. Advances in multiple ultrasound imaging techniques in the diagnosis of breast cancer[J]. Chinese Journal of Medical Imaging，2024，32(6):635-640.</w:t>
      </w:r>
    </w:p>
    <w:p w14:paraId="5BD6C77C">
      <w:pPr>
        <w:numPr>
          <w:ilvl w:val="0"/>
          <w:numId w:val="1"/>
        </w:numPr>
        <w:spacing w:line="360" w:lineRule="auto"/>
        <w:rPr>
          <w:color w:val="auto"/>
          <w:sz w:val="18"/>
          <w:szCs w:val="18"/>
        </w:rPr>
      </w:pPr>
      <w:bookmarkStart w:id="58" w:name="CITEREF056"/>
      <w:r>
        <w:rPr>
          <w:rFonts w:ascii="Times New Roman" w:hAnsi="Times New Roman" w:cs="Times New Roman"/>
          <w:color w:val="auto"/>
          <w:sz w:val="18"/>
          <w:szCs w:val="18"/>
        </w:rPr>
        <w:t>JANSSON M, LINDBERG J, RASK G, et al. Stromal Type I Collagen in Breast Cancer: Correlation to Prognostic Biomarkers and Prediction of Chemotherapy Response[J]. Clin Breast Cancer, 2024, 24(5):e360-e369.e4.</w:t>
      </w:r>
      <w:bookmarkEnd w:id="58"/>
    </w:p>
    <w:p w14:paraId="59AFC43A">
      <w:pPr>
        <w:numPr>
          <w:ilvl w:val="0"/>
          <w:numId w:val="1"/>
        </w:numPr>
        <w:spacing w:line="360" w:lineRule="auto"/>
        <w:rPr>
          <w:color w:val="auto"/>
          <w:sz w:val="18"/>
          <w:szCs w:val="18"/>
        </w:rPr>
      </w:pPr>
      <w:bookmarkStart w:id="59" w:name="CITEREF057"/>
      <w:r>
        <w:rPr>
          <w:rFonts w:ascii="Times New Roman" w:hAnsi="Times New Roman" w:cs="Times New Roman"/>
          <w:color w:val="auto"/>
          <w:sz w:val="18"/>
          <w:szCs w:val="18"/>
        </w:rPr>
        <w:t>LIN M, JIANG Y, CHEN Y, et al. Multidimensional Regulatory Mechanisms of Extracellular Matrix Stiffness in Breast Cancer and Its Prospects for Clinical Translation[J]. Clin Breast Cancer, 2026, 26(4):85-97. doi:10.1016/j.clbc.2026.02.017.</w:t>
      </w:r>
      <w:bookmarkEnd w:id="59"/>
    </w:p>
    <w:p w14:paraId="4707B94A">
      <w:pPr>
        <w:numPr>
          <w:ilvl w:val="0"/>
          <w:numId w:val="1"/>
        </w:numPr>
        <w:spacing w:line="360" w:lineRule="auto"/>
        <w:rPr>
          <w:color w:val="auto"/>
          <w:sz w:val="18"/>
          <w:szCs w:val="18"/>
        </w:rPr>
      </w:pPr>
      <w:bookmarkStart w:id="60" w:name="CITEREF058"/>
      <w:r>
        <w:rPr>
          <w:rFonts w:ascii="Times New Roman" w:hAnsi="Times New Roman" w:cs="Times New Roman"/>
          <w:color w:val="auto"/>
          <w:sz w:val="18"/>
          <w:szCs w:val="18"/>
        </w:rPr>
        <w:t>LI C, QIU S, LIU X, et al. Extracellular matrix-derived mechanical force governs breast cancer cell stemness and quiescence transition through integrin-DDR signaling[J]. Signal Transduct Target Ther, 2023, 8(1):247.</w:t>
      </w:r>
      <w:bookmarkEnd w:id="60"/>
    </w:p>
    <w:p w14:paraId="0E5C2C05">
      <w:pPr>
        <w:numPr>
          <w:ilvl w:val="0"/>
          <w:numId w:val="1"/>
        </w:numPr>
        <w:spacing w:line="360" w:lineRule="auto"/>
        <w:rPr>
          <w:color w:val="auto"/>
          <w:sz w:val="18"/>
          <w:szCs w:val="18"/>
        </w:rPr>
      </w:pPr>
      <w:bookmarkStart w:id="61" w:name="CITEREF059"/>
      <w:r>
        <w:rPr>
          <w:rFonts w:ascii="Times New Roman" w:hAnsi="Times New Roman" w:cs="Times New Roman"/>
          <w:color w:val="auto"/>
          <w:sz w:val="18"/>
          <w:szCs w:val="18"/>
        </w:rPr>
        <w:t>TRIULZI T, GIUSSANI M, MAFFIOLI E, et al. Proteomic landscape of decellularized breast carcinomas identifies C-type lectin domain family 3 member A as a driver of cancer aggressiveness[J]. npj Breast Cancer, 2025, 11(1):51.</w:t>
      </w:r>
      <w:bookmarkEnd w:id="61"/>
    </w:p>
    <w:p w14:paraId="01117105">
      <w:pPr>
        <w:numPr>
          <w:ilvl w:val="0"/>
          <w:numId w:val="1"/>
        </w:numPr>
        <w:spacing w:line="360" w:lineRule="auto"/>
        <w:rPr>
          <w:color w:val="auto"/>
          <w:sz w:val="18"/>
          <w:szCs w:val="18"/>
        </w:rPr>
      </w:pPr>
      <w:bookmarkStart w:id="62" w:name="CITEREF060"/>
      <w:r>
        <w:rPr>
          <w:rFonts w:ascii="Times New Roman" w:hAnsi="Times New Roman" w:cs="Times New Roman"/>
          <w:color w:val="auto"/>
          <w:sz w:val="18"/>
          <w:szCs w:val="18"/>
        </w:rPr>
        <w:t>WANG DD, LI L, FU YQ, et al. Systematic characterization of the expression, prognosis and immune characteristics of PLOD family genes in breast cancer[J]. Aging (Albany NY), 2024, 16(14):11434-11445.</w:t>
      </w:r>
      <w:bookmarkEnd w:id="62"/>
    </w:p>
    <w:p w14:paraId="15297EF2">
      <w:pPr>
        <w:numPr>
          <w:ilvl w:val="0"/>
          <w:numId w:val="1"/>
        </w:numPr>
        <w:spacing w:line="360" w:lineRule="auto"/>
        <w:rPr>
          <w:color w:val="auto"/>
          <w:sz w:val="18"/>
          <w:szCs w:val="18"/>
        </w:rPr>
      </w:pPr>
      <w:bookmarkStart w:id="63" w:name="CITEREF061"/>
      <w:r>
        <w:rPr>
          <w:rFonts w:ascii="Times New Roman" w:hAnsi="Times New Roman" w:cs="Times New Roman"/>
          <w:color w:val="auto"/>
          <w:sz w:val="18"/>
          <w:szCs w:val="18"/>
        </w:rPr>
        <w:t>LINDGREN M, JANSSON M, TAVELIN B, et al. Type IV collagen as a potential biomarker of metastatic breast cancer[J]. Clin Exp Metastasis, 2021, 38(2):175-185.</w:t>
      </w:r>
      <w:bookmarkEnd w:id="63"/>
    </w:p>
    <w:p w14:paraId="73F7D13E">
      <w:pPr>
        <w:numPr>
          <w:ilvl w:val="0"/>
          <w:numId w:val="1"/>
        </w:numPr>
        <w:spacing w:line="360" w:lineRule="auto"/>
        <w:rPr>
          <w:color w:val="auto"/>
          <w:sz w:val="18"/>
          <w:szCs w:val="18"/>
        </w:rPr>
      </w:pPr>
      <w:bookmarkStart w:id="64" w:name="CITEREF062"/>
      <w:r>
        <w:rPr>
          <w:rFonts w:ascii="Times New Roman" w:hAnsi="Times New Roman" w:cs="Times New Roman"/>
          <w:color w:val="auto"/>
          <w:sz w:val="18"/>
          <w:szCs w:val="18"/>
        </w:rPr>
        <w:t>黄仪妮，周建华. 基于人工智能的超声影像组学在乳腺癌诊疗中的研究进展[J]. 肿瘤影像学，2024，33(1):6-12.</w:t>
      </w:r>
      <w:bookmarkEnd w:id="64"/>
    </w:p>
    <w:p w14:paraId="0523403C">
      <w:pPr>
        <w:spacing w:line="360" w:lineRule="auto"/>
        <w:rPr>
          <w:color w:val="auto"/>
          <w:sz w:val="18"/>
          <w:szCs w:val="18"/>
        </w:rPr>
      </w:pPr>
      <w:r>
        <w:rPr>
          <w:rFonts w:ascii="Times New Roman" w:hAnsi="Times New Roman" w:cs="Times New Roman"/>
          <w:color w:val="auto"/>
          <w:sz w:val="18"/>
          <w:szCs w:val="18"/>
        </w:rPr>
        <w:t>HUANG YN，ZHOU JH. Research progress of artificial intelligence-based ultrasound radiomics in the diagnosis and treatment of breast cancer[J]. Oncoradiology，2024，33(1):6-12.</w:t>
      </w:r>
    </w:p>
    <w:p w14:paraId="3463EDAD">
      <w:pPr>
        <w:numPr>
          <w:ilvl w:val="0"/>
          <w:numId w:val="1"/>
        </w:numPr>
        <w:spacing w:line="360" w:lineRule="auto"/>
        <w:rPr>
          <w:color w:val="auto"/>
          <w:sz w:val="18"/>
          <w:szCs w:val="18"/>
        </w:rPr>
      </w:pPr>
      <w:bookmarkStart w:id="65" w:name="CITEREF063"/>
      <w:r>
        <w:rPr>
          <w:rFonts w:ascii="Times New Roman" w:hAnsi="Times New Roman" w:cs="Times New Roman"/>
          <w:color w:val="auto"/>
          <w:sz w:val="18"/>
          <w:szCs w:val="18"/>
        </w:rPr>
        <w:t>SELIM YAY, SABIT H, ARNETH B, SHAABAN MA. Diagnostic Accuracy of Sonoelastography for Breast Lesions: A Meta-Analysis Comparing Strain and Shear Wave Elastography[J]. J Imaging, 2025, 11(7):221.</w:t>
      </w:r>
      <w:bookmarkEnd w:id="65"/>
    </w:p>
    <w:p w14:paraId="26671C21">
      <w:pPr>
        <w:numPr>
          <w:ilvl w:val="0"/>
          <w:numId w:val="1"/>
        </w:numPr>
        <w:spacing w:line="360" w:lineRule="auto"/>
        <w:rPr>
          <w:color w:val="auto"/>
          <w:sz w:val="18"/>
          <w:szCs w:val="18"/>
        </w:rPr>
      </w:pPr>
      <w:bookmarkStart w:id="66" w:name="CITEREF073"/>
      <w:r>
        <w:rPr>
          <w:rFonts w:ascii="Times New Roman" w:hAnsi="Times New Roman" w:cs="Times New Roman"/>
          <w:color w:val="auto"/>
          <w:sz w:val="18"/>
          <w:szCs w:val="18"/>
        </w:rPr>
        <w:t>陈修婷，李杰，高之振. 瘤周影像组学在乳腺癌研究中的应用进展[J]. 分子影像学杂志，2024，47(10):1124-1130.</w:t>
      </w:r>
      <w:bookmarkEnd w:id="66"/>
    </w:p>
    <w:p w14:paraId="5CAEE851">
      <w:pPr>
        <w:spacing w:line="360" w:lineRule="auto"/>
        <w:rPr>
          <w:color w:val="auto"/>
          <w:sz w:val="18"/>
          <w:szCs w:val="18"/>
        </w:rPr>
      </w:pPr>
      <w:r>
        <w:rPr>
          <w:rFonts w:ascii="Times New Roman" w:hAnsi="Times New Roman" w:cs="Times New Roman"/>
          <w:color w:val="auto"/>
          <w:sz w:val="18"/>
          <w:szCs w:val="18"/>
        </w:rPr>
        <w:t>CHEN XT，LI J，GAO ZZ. Application progress of peritumoral radiomics in breast cancer research[J]. Journal of Molecular Imaging，2024，47(10):1124-1130.</w:t>
      </w:r>
    </w:p>
    <w:p w14:paraId="3D134C75">
      <w:pPr>
        <w:spacing w:line="360" w:lineRule="auto"/>
        <w:rPr>
          <w:color w:val="auto"/>
        </w:rPr>
      </w:pPr>
    </w:p>
    <w:p w14:paraId="7573D014">
      <w:pPr>
        <w:numPr>
          <w:ilvl w:val="0"/>
          <w:numId w:val="1"/>
        </w:numPr>
        <w:spacing w:line="360" w:lineRule="auto"/>
        <w:rPr>
          <w:color w:val="auto"/>
          <w:sz w:val="18"/>
          <w:szCs w:val="18"/>
        </w:rPr>
      </w:pPr>
      <w:bookmarkStart w:id="67" w:name="CITEREF065"/>
      <w:r>
        <w:rPr>
          <w:rFonts w:ascii="Times New Roman" w:hAnsi="Times New Roman" w:cs="Times New Roman"/>
          <w:color w:val="auto"/>
          <w:sz w:val="18"/>
          <w:szCs w:val="18"/>
        </w:rPr>
        <w:t>NAJERA J, ROSENBERGER MR, DATTA M. Atomic Force Microscopy Methods to Measure Tumor Mechanical Properties[J]. Cancers (Basel), 2023, 15(13):3285.</w:t>
      </w:r>
      <w:bookmarkEnd w:id="67"/>
    </w:p>
    <w:p w14:paraId="7702984E">
      <w:pPr>
        <w:numPr>
          <w:ilvl w:val="0"/>
          <w:numId w:val="1"/>
        </w:numPr>
        <w:spacing w:line="360" w:lineRule="auto"/>
        <w:rPr>
          <w:color w:val="auto"/>
          <w:sz w:val="18"/>
          <w:szCs w:val="18"/>
        </w:rPr>
      </w:pPr>
      <w:bookmarkStart w:id="68" w:name="CITEREF066"/>
      <w:r>
        <w:rPr>
          <w:rFonts w:ascii="Times New Roman" w:hAnsi="Times New Roman" w:cs="Times New Roman"/>
          <w:color w:val="auto"/>
          <w:sz w:val="18"/>
          <w:szCs w:val="18"/>
        </w:rPr>
        <w:t>KONTOMARIS SV, MALAMOU A, STYLIANOU A. The Young's Modulus as a Mechanical Biomarker in AFM Experiments: A Tool for Cancer Diagnosis and Treatment Monitoring[J]. Sensors (Basel), 2025, 25(11):3510.</w:t>
      </w:r>
      <w:bookmarkEnd w:id="68"/>
    </w:p>
    <w:p w14:paraId="3999F115">
      <w:pPr>
        <w:numPr>
          <w:ilvl w:val="0"/>
          <w:numId w:val="1"/>
        </w:numPr>
        <w:spacing w:line="360" w:lineRule="auto"/>
        <w:rPr>
          <w:color w:val="auto"/>
          <w:sz w:val="18"/>
          <w:szCs w:val="18"/>
        </w:rPr>
      </w:pPr>
      <w:bookmarkStart w:id="69" w:name="CITEREF067"/>
      <w:r>
        <w:rPr>
          <w:rFonts w:ascii="Times New Roman" w:hAnsi="Times New Roman" w:cs="Times New Roman"/>
          <w:color w:val="auto"/>
          <w:sz w:val="18"/>
          <w:szCs w:val="18"/>
        </w:rPr>
        <w:t>CHAUDHARY P, YADAV K, LEE HJ, et al. siRNA treatment targeting integrin α11 overexpressed via EZH2-driven axis inhibits drug-resistant breast cancer progression[J]. Breast Cancer Res, 2024, 26(1):72.</w:t>
      </w:r>
      <w:bookmarkEnd w:id="69"/>
    </w:p>
    <w:p w14:paraId="61C27922">
      <w:pPr>
        <w:numPr>
          <w:ilvl w:val="0"/>
          <w:numId w:val="1"/>
        </w:numPr>
        <w:spacing w:line="360" w:lineRule="auto"/>
        <w:rPr>
          <w:color w:val="auto"/>
          <w:sz w:val="18"/>
          <w:szCs w:val="18"/>
        </w:rPr>
      </w:pPr>
      <w:bookmarkStart w:id="70" w:name="CITEREF068"/>
      <w:r>
        <w:rPr>
          <w:rFonts w:ascii="Times New Roman" w:hAnsi="Times New Roman" w:cs="Times New Roman"/>
          <w:color w:val="auto"/>
          <w:sz w:val="18"/>
          <w:szCs w:val="18"/>
        </w:rPr>
        <w:t xml:space="preserve">LI Z, PELUFFO G, STEVENS LE, et al. </w:t>
      </w:r>
      <w:r>
        <w:rPr>
          <w:rFonts w:ascii="Times New Roman" w:hAnsi="Times New Roman" w:cs="Times New Roman"/>
          <w:i/>
          <w:color w:val="auto"/>
          <w:sz w:val="18"/>
          <w:szCs w:val="18"/>
        </w:rPr>
        <w:t>KDM4C</w:t>
      </w:r>
      <w:r>
        <w:rPr>
          <w:rFonts w:ascii="Times New Roman" w:hAnsi="Times New Roman" w:cs="Times New Roman"/>
          <w:color w:val="auto"/>
          <w:sz w:val="18"/>
          <w:szCs w:val="18"/>
        </w:rPr>
        <w:t xml:space="preserve"> inhibition blocks tumor growth in basal breast cancer by promoting cathepsin L-mediated histone H3 cleavage[J]. Nat Genet, 2025, 57(6):1463-1477.</w:t>
      </w:r>
      <w:bookmarkEnd w:id="70"/>
    </w:p>
    <w:p w14:paraId="7CAE0AA1">
      <w:pPr>
        <w:numPr>
          <w:ilvl w:val="0"/>
          <w:numId w:val="1"/>
        </w:numPr>
        <w:spacing w:line="360" w:lineRule="auto"/>
        <w:rPr>
          <w:color w:val="auto"/>
          <w:sz w:val="18"/>
          <w:szCs w:val="18"/>
        </w:rPr>
      </w:pPr>
      <w:bookmarkStart w:id="71" w:name="CITEREF069"/>
      <w:r>
        <w:rPr>
          <w:rFonts w:ascii="Times New Roman" w:hAnsi="Times New Roman" w:cs="Times New Roman"/>
          <w:color w:val="auto"/>
          <w:sz w:val="18"/>
          <w:szCs w:val="18"/>
        </w:rPr>
        <w:t xml:space="preserve">ZHANG J, CAO Z, MA J, et al. Design and synthesis of </w:t>
      </w:r>
      <w:r>
        <w:rPr>
          <w:rFonts w:ascii="Times New Roman" w:hAnsi="Times New Roman" w:cs="Times New Roman"/>
          <w:i/>
          <w:color w:val="auto"/>
          <w:sz w:val="18"/>
          <w:szCs w:val="18"/>
        </w:rPr>
        <w:t>ROCK2</w:t>
      </w:r>
      <w:r>
        <w:rPr>
          <w:rFonts w:ascii="Times New Roman" w:hAnsi="Times New Roman" w:cs="Times New Roman"/>
          <w:color w:val="auto"/>
          <w:sz w:val="18"/>
          <w:szCs w:val="18"/>
        </w:rPr>
        <w:t>-selective inhibitors bearing 6-indazolamino-2-pyrrolidinylpyridine for the treatment of breast cancer metastasis[J]. Bioorg Chem, 2025, 164:108862.</w:t>
      </w:r>
      <w:bookmarkEnd w:id="71"/>
    </w:p>
    <w:p w14:paraId="3BDAB74D">
      <w:pPr>
        <w:numPr>
          <w:ilvl w:val="0"/>
          <w:numId w:val="1"/>
        </w:numPr>
        <w:spacing w:line="360" w:lineRule="auto"/>
        <w:rPr>
          <w:color w:val="auto"/>
          <w:sz w:val="18"/>
          <w:szCs w:val="18"/>
        </w:rPr>
      </w:pPr>
      <w:bookmarkStart w:id="72" w:name="CITEREF070"/>
      <w:r>
        <w:rPr>
          <w:rFonts w:ascii="Times New Roman" w:hAnsi="Times New Roman" w:cs="Times New Roman"/>
          <w:color w:val="auto"/>
          <w:sz w:val="18"/>
          <w:szCs w:val="18"/>
        </w:rPr>
        <w:t>GAJDA AM, RODRIGUEZ-LOPEZ R, ER EE. Targeting cancer cell stiffness and metastasis with clinical therapeutics[J]. Clin Exp Metastasis, 2025, 42(4):34.</w:t>
      </w:r>
      <w:bookmarkEnd w:id="72"/>
    </w:p>
    <w:p w14:paraId="50B6E5B4">
      <w:pPr>
        <w:numPr>
          <w:ilvl w:val="0"/>
          <w:numId w:val="1"/>
        </w:numPr>
        <w:spacing w:line="360" w:lineRule="auto"/>
        <w:rPr>
          <w:color w:val="auto"/>
          <w:sz w:val="18"/>
          <w:szCs w:val="18"/>
        </w:rPr>
      </w:pPr>
      <w:bookmarkStart w:id="73" w:name="CITEREF071"/>
      <w:r>
        <w:rPr>
          <w:rFonts w:ascii="Times New Roman" w:hAnsi="Times New Roman" w:cs="Times New Roman"/>
          <w:color w:val="auto"/>
          <w:sz w:val="18"/>
          <w:szCs w:val="18"/>
        </w:rPr>
        <w:t>LEE JH, YUN YG, KIM HW. Matrix-induced nuclear remodeling and mechano-therapeutics[J]. Cell Rep, 2025, 44(9):116176.</w:t>
      </w:r>
      <w:bookmarkEnd w:id="73"/>
    </w:p>
    <w:p w14:paraId="13971757">
      <w:pPr>
        <w:numPr>
          <w:ilvl w:val="0"/>
          <w:numId w:val="1"/>
        </w:numPr>
        <w:spacing w:line="360" w:lineRule="auto"/>
        <w:rPr>
          <w:color w:val="auto"/>
          <w:sz w:val="18"/>
          <w:szCs w:val="18"/>
        </w:rPr>
      </w:pPr>
      <w:bookmarkStart w:id="74" w:name="CITEREF072"/>
      <w:r>
        <w:rPr>
          <w:rFonts w:ascii="Times New Roman" w:hAnsi="Times New Roman" w:cs="Times New Roman"/>
          <w:color w:val="auto"/>
          <w:sz w:val="18"/>
          <w:szCs w:val="18"/>
        </w:rPr>
        <w:t>NEOPHYTOU C, STYLIANOPOULOS T, MPEKRIS F. The synergistic potential of mechanotherapy and sonopermeation to enhance cancer treatment effectiveness[J]. NPJ Biol Phys Mech, 2025, 2(1):13.</w:t>
      </w:r>
      <w:bookmarkEnd w:id="74"/>
    </w:p>
    <w:p w14:paraId="78A1E24E">
      <w:pPr>
        <w:numPr>
          <w:ilvl w:val="0"/>
          <w:numId w:val="1"/>
        </w:numPr>
        <w:spacing w:line="360" w:lineRule="auto"/>
        <w:rPr>
          <w:color w:val="auto"/>
          <w:sz w:val="18"/>
          <w:szCs w:val="18"/>
        </w:rPr>
      </w:pPr>
      <w:bookmarkStart w:id="75" w:name="CITEREF064"/>
      <w:r>
        <w:rPr>
          <w:rFonts w:ascii="Times New Roman" w:hAnsi="Times New Roman" w:cs="Times New Roman"/>
          <w:color w:val="auto"/>
          <w:sz w:val="18"/>
          <w:szCs w:val="18"/>
        </w:rPr>
        <w:t>MIERKE CT. Softness or Stiffness What Contributes to Cancer and Cancer Metastasis?[J]. Cells, 2025, 14(8):584.</w:t>
      </w:r>
      <w:bookmarkEnd w:id="75"/>
    </w:p>
    <w:sectPr>
      <w:footerReference r:id="rId4" w:type="default"/>
      <w:footnotePr>
        <w:numRestart w:val="eachSect"/>
      </w:footnotePr>
      <w:pgSz w:w="11907" w:h="16839"/>
      <w:pgMar w:top="1440" w:right="1474" w:bottom="1440" w:left="1588" w:header="851" w:footer="851" w:gutter="0"/>
      <w:lnNumType w:countBy="1" w:restart="continuou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egoe UI"/>
    <w:panose1 w:val="00000000000000000000"/>
    <w:charset w:val="00"/>
    <w:family w:val="swiss"/>
    <w:pitch w:val="default"/>
    <w:sig w:usb0="00000000" w:usb1="00000000" w:usb2="00000000" w:usb3="00000000" w:csb0="0000019F" w:csb1="00000000"/>
  </w:font>
  <w:font w:name="Segoe UI">
    <w:panose1 w:val="020B0502040204020203"/>
    <w:charset w:val="00"/>
    <w:family w:val="auto"/>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 w:name="Aptos Display">
    <w:altName w:val="Segoe Print"/>
    <w:panose1 w:val="00000000000000000000"/>
    <w:charset w:val="00"/>
    <w:family w:val="swiss"/>
    <w:pitch w:val="default"/>
    <w:sig w:usb0="00000000" w:usb1="00000000" w:usb2="00000000" w:usb3="00000000" w:csb0="0000019F" w:csb1="00000000"/>
  </w:font>
  <w:font w:name="Segoe Print">
    <w:panose1 w:val="02000600000000000000"/>
    <w:charset w:val="00"/>
    <w:family w:val="auto"/>
    <w:pitch w:val="default"/>
    <w:sig w:usb0="0000028F" w:usb1="00000000" w:usb2="00000000" w:usb3="00000000" w:csb0="2000009F" w:csb1="47010000"/>
  </w:font>
  <w:font w:name="等线 Light">
    <w:panose1 w:val="02010600030101010101"/>
    <w:charset w:val="86"/>
    <w:family w:val="auto"/>
    <w:pitch w:val="default"/>
    <w:sig w:usb0="A00002BF" w:usb1="38CF7CFA" w:usb2="00000016" w:usb3="00000000" w:csb0="0004000F" w:csb1="00000000"/>
  </w:font>
  <w:font w:name="Consolas">
    <w:panose1 w:val="020B0609020204030204"/>
    <w:charset w:val="00"/>
    <w:family w:val="modern"/>
    <w:pitch w:val="default"/>
    <w:sig w:usb0="E00006FF" w:usb1="0000FCFF" w:usb2="00000001" w:usb3="00000000" w:csb0="6000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CF580">
    <w:pPr>
      <w:pStyle w:val="16"/>
      <w:framePr w:wrap="around" w:vAnchor="text" w:hAnchor="margin" w:y="1"/>
      <w:spacing w:after="0"/>
      <w:rPr>
        <w:rFonts w:ascii="Times New Roman" w:eastAsia="宋体"/>
      </w:rPr>
    </w:pPr>
    <w:r>
      <w:rPr>
        <w:rStyle w:val="22"/>
        <w:rFonts w:hint="eastAsia" w:ascii="Times New Roman" w:eastAsia="宋体"/>
      </w:rPr>
      <w:fldChar w:fldCharType="begin"/>
    </w:r>
    <w:r>
      <w:rPr>
        <w:rStyle w:val="22"/>
        <w:rFonts w:hint="eastAsia" w:ascii="Times New Roman" w:eastAsia="宋体"/>
      </w:rPr>
      <w:instrText xml:space="preserve"> PAGE </w:instrText>
    </w:r>
    <w:r>
      <w:rPr>
        <w:rStyle w:val="22"/>
        <w:rFonts w:hint="eastAsia" w:ascii="Times New Roman" w:eastAsia="宋体"/>
      </w:rPr>
      <w:fldChar w:fldCharType="separate"/>
    </w:r>
    <w:r>
      <w:rPr>
        <w:rStyle w:val="22"/>
        <w:rFonts w:hint="eastAsia" w:ascii="Times New Roman" w:eastAsia="宋体"/>
      </w:rPr>
      <w:t>1</w:t>
    </w:r>
    <w:r>
      <w:rPr>
        <w:rStyle w:val="22"/>
        <w:rFonts w:hint="eastAsia" w:ascii="Times New Roman" w:eastAsia="宋体"/>
      </w:rPr>
      <w:fldChar w:fldCharType="end"/>
    </w:r>
  </w:p>
  <w:p w14:paraId="4753037F">
    <w:pPr>
      <w:pStyle w:val="16"/>
      <w:jc w:val="center"/>
      <w:rPr>
        <w:rFonts w:ascii="Times New Roman" w:eastAsia="宋体"/>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733714"/>
    <w:multiLevelType w:val="singleLevel"/>
    <w:tmpl w:val="35733714"/>
    <w:lvl w:ilvl="0" w:tentative="0">
      <w:start w:val="1"/>
      <w:numFmt w:val="decimal"/>
      <w:suff w:val="space"/>
      <w:lvlText w:val="[%1]"/>
      <w:lvlJc w:val="left"/>
      <w:pPr>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720"/>
  <w:drawingGridHorizontalSpacing w:val="360"/>
  <w:drawingGridVerticalSpacing w:val="360"/>
  <w:displayHorizontalDrawingGridEvery w:val="1"/>
  <w:displayVerticalDrawingGridEvery w:val="1"/>
  <w:noPunctuationKerning w:val="1"/>
  <w:characterSpacingControl w:val="doNotCompress"/>
  <w:footnotePr>
    <w:numRestart w:val="eachSect"/>
    <w:footnote w:id="0"/>
    <w:footnote w:id="1"/>
  </w:footnotePr>
  <w:compat>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969"/>
    <w:rsid w:val="00025C16"/>
    <w:rsid w:val="000575AD"/>
    <w:rsid w:val="000D47CF"/>
    <w:rsid w:val="000E58F5"/>
    <w:rsid w:val="001154D0"/>
    <w:rsid w:val="00187907"/>
    <w:rsid w:val="001B7F09"/>
    <w:rsid w:val="002124B8"/>
    <w:rsid w:val="00230EB4"/>
    <w:rsid w:val="002330C7"/>
    <w:rsid w:val="0024749C"/>
    <w:rsid w:val="0027622D"/>
    <w:rsid w:val="002B5EDF"/>
    <w:rsid w:val="00303A7E"/>
    <w:rsid w:val="003537C7"/>
    <w:rsid w:val="00365E3E"/>
    <w:rsid w:val="003F7E2D"/>
    <w:rsid w:val="004054F7"/>
    <w:rsid w:val="004166D1"/>
    <w:rsid w:val="00423BAB"/>
    <w:rsid w:val="00427755"/>
    <w:rsid w:val="004341A9"/>
    <w:rsid w:val="00443627"/>
    <w:rsid w:val="0047764A"/>
    <w:rsid w:val="00482C28"/>
    <w:rsid w:val="00492424"/>
    <w:rsid w:val="00497340"/>
    <w:rsid w:val="004B015D"/>
    <w:rsid w:val="004E1584"/>
    <w:rsid w:val="004F0A9B"/>
    <w:rsid w:val="004F4A5A"/>
    <w:rsid w:val="00534650"/>
    <w:rsid w:val="005638E5"/>
    <w:rsid w:val="005A4731"/>
    <w:rsid w:val="005D41BD"/>
    <w:rsid w:val="005D55D7"/>
    <w:rsid w:val="005F338B"/>
    <w:rsid w:val="005F34FF"/>
    <w:rsid w:val="00606E14"/>
    <w:rsid w:val="006214C0"/>
    <w:rsid w:val="00677002"/>
    <w:rsid w:val="00682FA1"/>
    <w:rsid w:val="00696543"/>
    <w:rsid w:val="00702AA5"/>
    <w:rsid w:val="00707D37"/>
    <w:rsid w:val="007136AD"/>
    <w:rsid w:val="007245C2"/>
    <w:rsid w:val="007361F0"/>
    <w:rsid w:val="007515FA"/>
    <w:rsid w:val="00767BEA"/>
    <w:rsid w:val="00792CB9"/>
    <w:rsid w:val="00794C77"/>
    <w:rsid w:val="007A350D"/>
    <w:rsid w:val="007A3F00"/>
    <w:rsid w:val="007B202E"/>
    <w:rsid w:val="007C4750"/>
    <w:rsid w:val="007C72B4"/>
    <w:rsid w:val="007D39E5"/>
    <w:rsid w:val="007F3DC3"/>
    <w:rsid w:val="0080112F"/>
    <w:rsid w:val="00803A9E"/>
    <w:rsid w:val="00837D5A"/>
    <w:rsid w:val="0085177B"/>
    <w:rsid w:val="008844B9"/>
    <w:rsid w:val="009267BC"/>
    <w:rsid w:val="00932C5F"/>
    <w:rsid w:val="00962EA1"/>
    <w:rsid w:val="00980ABC"/>
    <w:rsid w:val="00997871"/>
    <w:rsid w:val="009F05D5"/>
    <w:rsid w:val="00A52777"/>
    <w:rsid w:val="00A54FD8"/>
    <w:rsid w:val="00A930EA"/>
    <w:rsid w:val="00AA6810"/>
    <w:rsid w:val="00AA7970"/>
    <w:rsid w:val="00AC1E36"/>
    <w:rsid w:val="00AE0FAC"/>
    <w:rsid w:val="00B047D6"/>
    <w:rsid w:val="00B1349F"/>
    <w:rsid w:val="00B25E83"/>
    <w:rsid w:val="00B348E5"/>
    <w:rsid w:val="00B77B57"/>
    <w:rsid w:val="00B87681"/>
    <w:rsid w:val="00BC0DAA"/>
    <w:rsid w:val="00BF09D4"/>
    <w:rsid w:val="00BF2407"/>
    <w:rsid w:val="00C13122"/>
    <w:rsid w:val="00C219BC"/>
    <w:rsid w:val="00C91914"/>
    <w:rsid w:val="00CB688E"/>
    <w:rsid w:val="00CD1D06"/>
    <w:rsid w:val="00D021CB"/>
    <w:rsid w:val="00D07023"/>
    <w:rsid w:val="00D26E19"/>
    <w:rsid w:val="00D46EEF"/>
    <w:rsid w:val="00D53CEB"/>
    <w:rsid w:val="00D84D2F"/>
    <w:rsid w:val="00D928C7"/>
    <w:rsid w:val="00DB2200"/>
    <w:rsid w:val="00DB4D3F"/>
    <w:rsid w:val="00E02C2A"/>
    <w:rsid w:val="00E20969"/>
    <w:rsid w:val="00E72127"/>
    <w:rsid w:val="00E94763"/>
    <w:rsid w:val="00EA3AD4"/>
    <w:rsid w:val="00EB5038"/>
    <w:rsid w:val="00EC028F"/>
    <w:rsid w:val="00F01606"/>
    <w:rsid w:val="00F030E2"/>
    <w:rsid w:val="00F2474F"/>
    <w:rsid w:val="00FD3A7E"/>
    <w:rsid w:val="00FE23C9"/>
    <w:rsid w:val="00FE4A04"/>
    <w:rsid w:val="024F2A66"/>
    <w:rsid w:val="049B69AA"/>
    <w:rsid w:val="04D97DDC"/>
    <w:rsid w:val="065B5C18"/>
    <w:rsid w:val="0A103ADD"/>
    <w:rsid w:val="0E9F153E"/>
    <w:rsid w:val="0EBC6C61"/>
    <w:rsid w:val="10640EB3"/>
    <w:rsid w:val="113D64B6"/>
    <w:rsid w:val="11A82C84"/>
    <w:rsid w:val="12D44661"/>
    <w:rsid w:val="14DE1D5E"/>
    <w:rsid w:val="15AA1C40"/>
    <w:rsid w:val="1AEB3DDA"/>
    <w:rsid w:val="1E7273AA"/>
    <w:rsid w:val="27C61D28"/>
    <w:rsid w:val="32920373"/>
    <w:rsid w:val="382E6DB6"/>
    <w:rsid w:val="3D9A1A65"/>
    <w:rsid w:val="41624C7E"/>
    <w:rsid w:val="42167A80"/>
    <w:rsid w:val="517254C6"/>
    <w:rsid w:val="51B92C33"/>
    <w:rsid w:val="51C051B4"/>
    <w:rsid w:val="53B4266F"/>
    <w:rsid w:val="59DE68F6"/>
    <w:rsid w:val="5FB26D33"/>
    <w:rsid w:val="6193774E"/>
    <w:rsid w:val="643A2519"/>
    <w:rsid w:val="6515681C"/>
    <w:rsid w:val="671E06B1"/>
    <w:rsid w:val="696B7E49"/>
    <w:rsid w:val="6B5240DA"/>
    <w:rsid w:val="6C522C99"/>
    <w:rsid w:val="6D634DD6"/>
    <w:rsid w:val="6E9906A6"/>
    <w:rsid w:val="76B700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 w:semiHidden="0" w:name="Block Text"/>
    <w:lsdException w:qFormat="1"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pPr>
    <w:rPr>
      <w:rFonts w:asciiTheme="minorHAnsi" w:hAnsiTheme="minorHAnsi" w:eastAsiaTheme="minorEastAsia" w:cstheme="minorBidi"/>
      <w:sz w:val="24"/>
      <w:szCs w:val="24"/>
      <w:lang w:val="en-US" w:eastAsia="zh-CN" w:bidi="ar-SA"/>
    </w:rPr>
  </w:style>
  <w:style w:type="paragraph" w:styleId="2">
    <w:name w:val="heading 1"/>
    <w:basedOn w:val="1"/>
    <w:next w:val="3"/>
    <w:link w:val="35"/>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4">
    <w:name w:val="heading 2"/>
    <w:basedOn w:val="1"/>
    <w:next w:val="3"/>
    <w:link w:val="3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5">
    <w:name w:val="heading 3"/>
    <w:basedOn w:val="1"/>
    <w:next w:val="3"/>
    <w:link w:val="37"/>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6">
    <w:name w:val="heading 4"/>
    <w:basedOn w:val="1"/>
    <w:next w:val="3"/>
    <w:link w:val="38"/>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7">
    <w:name w:val="heading 5"/>
    <w:basedOn w:val="1"/>
    <w:next w:val="3"/>
    <w:link w:val="39"/>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8">
    <w:name w:val="heading 6"/>
    <w:basedOn w:val="1"/>
    <w:next w:val="3"/>
    <w:link w:val="40"/>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9">
    <w:name w:val="heading 7"/>
    <w:basedOn w:val="1"/>
    <w:next w:val="3"/>
    <w:link w:val="41"/>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10">
    <w:name w:val="heading 8"/>
    <w:basedOn w:val="1"/>
    <w:next w:val="3"/>
    <w:link w:val="42"/>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1">
    <w:name w:val="heading 9"/>
    <w:basedOn w:val="1"/>
    <w:next w:val="3"/>
    <w:link w:val="43"/>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25"/>
    <w:qFormat/>
    <w:uiPriority w:val="0"/>
    <w:pPr>
      <w:spacing w:before="180" w:after="180"/>
    </w:pPr>
  </w:style>
  <w:style w:type="paragraph" w:styleId="12">
    <w:name w:val="caption"/>
    <w:basedOn w:val="1"/>
    <w:qFormat/>
    <w:uiPriority w:val="0"/>
    <w:pPr>
      <w:spacing w:after="120"/>
    </w:pPr>
    <w:rPr>
      <w:i/>
    </w:rPr>
  </w:style>
  <w:style w:type="paragraph" w:styleId="13">
    <w:name w:val="Block Text"/>
    <w:basedOn w:val="3"/>
    <w:next w:val="3"/>
    <w:unhideWhenUsed/>
    <w:qFormat/>
    <w:uiPriority w:val="9"/>
    <w:pPr>
      <w:spacing w:before="100" w:after="100"/>
      <w:ind w:left="480" w:right="480"/>
    </w:pPr>
  </w:style>
  <w:style w:type="paragraph" w:styleId="14">
    <w:name w:val="Date"/>
    <w:basedOn w:val="15"/>
    <w:next w:val="3"/>
    <w:qFormat/>
    <w:uiPriority w:val="0"/>
    <w:pPr>
      <w:keepNext/>
      <w:keepLines/>
    </w:pPr>
    <w:rPr>
      <w:sz w:val="24"/>
      <w:szCs w:val="24"/>
    </w:rPr>
  </w:style>
  <w:style w:type="paragraph" w:styleId="15">
    <w:name w:val="Title"/>
    <w:basedOn w:val="1"/>
    <w:next w:val="3"/>
    <w:link w:val="29"/>
    <w:qFormat/>
    <w:uiPriority w:val="10"/>
    <w:pPr>
      <w:spacing w:after="80"/>
      <w:contextualSpacing/>
      <w:jc w:val="center"/>
    </w:pPr>
    <w:rPr>
      <w:rFonts w:asciiTheme="majorHAnsi" w:hAnsiTheme="majorHAnsi" w:eastAsiaTheme="majorEastAsia" w:cstheme="majorBidi"/>
      <w:sz w:val="56"/>
      <w:szCs w:val="56"/>
    </w:rPr>
  </w:style>
  <w:style w:type="paragraph" w:styleId="16">
    <w:name w:val="footer"/>
    <w:basedOn w:val="1"/>
    <w:qFormat/>
    <w:uiPriority w:val="0"/>
    <w:pPr>
      <w:tabs>
        <w:tab w:val="center" w:pos="4153"/>
        <w:tab w:val="right" w:pos="8306"/>
      </w:tabs>
      <w:snapToGrid w:val="0"/>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8">
    <w:name w:val="Subtitle"/>
    <w:basedOn w:val="15"/>
    <w:next w:val="3"/>
    <w:link w:val="30"/>
    <w:qFormat/>
    <w:uiPriority w:val="11"/>
    <w:rPr>
      <w:spacing w:val="15"/>
      <w:sz w:val="28"/>
      <w:szCs w:val="28"/>
    </w:rPr>
  </w:style>
  <w:style w:type="paragraph" w:styleId="19">
    <w:name w:val="footnote text"/>
    <w:basedOn w:val="1"/>
    <w:unhideWhenUsed/>
    <w:qFormat/>
    <w:uiPriority w:val="9"/>
  </w:style>
  <w:style w:type="character" w:styleId="22">
    <w:name w:val="page number"/>
    <w:basedOn w:val="21"/>
    <w:qFormat/>
    <w:uiPriority w:val="0"/>
  </w:style>
  <w:style w:type="character" w:styleId="23">
    <w:name w:val="line number"/>
    <w:basedOn w:val="21"/>
    <w:qFormat/>
    <w:uiPriority w:val="0"/>
  </w:style>
  <w:style w:type="character" w:styleId="24">
    <w:name w:val="Hyperlink"/>
    <w:basedOn w:val="25"/>
    <w:qFormat/>
    <w:uiPriority w:val="0"/>
    <w:rPr>
      <w:color w:val="156082" w:themeColor="accent1"/>
      <w14:textFill>
        <w14:solidFill>
          <w14:schemeClr w14:val="accent1"/>
        </w14:solidFill>
      </w14:textFill>
    </w:rPr>
  </w:style>
  <w:style w:type="character" w:customStyle="1" w:styleId="25">
    <w:name w:val="正文文本 字符"/>
    <w:basedOn w:val="21"/>
    <w:link w:val="3"/>
    <w:qFormat/>
    <w:uiPriority w:val="0"/>
  </w:style>
  <w:style w:type="character" w:styleId="26">
    <w:name w:val="footnote reference"/>
    <w:basedOn w:val="25"/>
    <w:qFormat/>
    <w:uiPriority w:val="0"/>
    <w:rPr>
      <w:vertAlign w:val="superscript"/>
    </w:rPr>
  </w:style>
  <w:style w:type="paragraph" w:customStyle="1" w:styleId="27">
    <w:name w:val="First Paragraph"/>
    <w:basedOn w:val="3"/>
    <w:next w:val="3"/>
    <w:qFormat/>
    <w:uiPriority w:val="0"/>
  </w:style>
  <w:style w:type="paragraph" w:customStyle="1" w:styleId="28">
    <w:name w:val="Compact"/>
    <w:basedOn w:val="3"/>
    <w:qFormat/>
    <w:uiPriority w:val="0"/>
    <w:pPr>
      <w:spacing w:before="36" w:after="36"/>
    </w:pPr>
  </w:style>
  <w:style w:type="character" w:customStyle="1" w:styleId="29">
    <w:name w:val="标题 字符"/>
    <w:basedOn w:val="21"/>
    <w:link w:val="15"/>
    <w:qFormat/>
    <w:uiPriority w:val="10"/>
    <w:rPr>
      <w:rFonts w:asciiTheme="majorHAnsi" w:hAnsiTheme="majorHAnsi" w:eastAsiaTheme="majorEastAsia" w:cstheme="majorBidi"/>
      <w:sz w:val="56"/>
      <w:szCs w:val="56"/>
    </w:rPr>
  </w:style>
  <w:style w:type="character" w:customStyle="1" w:styleId="30">
    <w:name w:val="副标题 字符"/>
    <w:basedOn w:val="21"/>
    <w:link w:val="1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customStyle="1" w:styleId="31">
    <w:name w:val="Author"/>
    <w:basedOn w:val="15"/>
    <w:next w:val="3"/>
    <w:qFormat/>
    <w:uiPriority w:val="0"/>
    <w:pPr>
      <w:keepNext/>
      <w:keepLines/>
    </w:pPr>
    <w:rPr>
      <w:sz w:val="24"/>
      <w:szCs w:val="24"/>
    </w:rPr>
  </w:style>
  <w:style w:type="paragraph" w:customStyle="1" w:styleId="32">
    <w:name w:val="Abstract Title"/>
    <w:basedOn w:val="1"/>
    <w:next w:val="33"/>
    <w:qFormat/>
    <w:uiPriority w:val="0"/>
    <w:pPr>
      <w:keepNext/>
      <w:keepLines/>
      <w:spacing w:before="300" w:after="0"/>
      <w:jc w:val="center"/>
    </w:pPr>
    <w:rPr>
      <w:b/>
      <w:sz w:val="20"/>
      <w:szCs w:val="20"/>
    </w:rPr>
  </w:style>
  <w:style w:type="paragraph" w:customStyle="1" w:styleId="33">
    <w:name w:val="Abstract"/>
    <w:basedOn w:val="1"/>
    <w:next w:val="3"/>
    <w:qFormat/>
    <w:uiPriority w:val="0"/>
    <w:pPr>
      <w:keepNext/>
      <w:keepLines/>
      <w:spacing w:before="100" w:after="300"/>
    </w:pPr>
    <w:rPr>
      <w:sz w:val="20"/>
      <w:szCs w:val="20"/>
    </w:rPr>
  </w:style>
  <w:style w:type="paragraph" w:customStyle="1" w:styleId="34">
    <w:name w:val="书目1"/>
    <w:basedOn w:val="1"/>
    <w:qFormat/>
    <w:uiPriority w:val="0"/>
  </w:style>
  <w:style w:type="character" w:customStyle="1" w:styleId="35">
    <w:name w:val="标题 1 字符"/>
    <w:basedOn w:val="21"/>
    <w:link w:val="2"/>
    <w:qFormat/>
    <w:uiPriority w:val="9"/>
    <w:rPr>
      <w:rFonts w:asciiTheme="majorHAnsi" w:hAnsiTheme="majorHAnsi" w:eastAsiaTheme="majorEastAsia" w:cstheme="majorBidi"/>
      <w:color w:val="104862" w:themeColor="accent1" w:themeShade="BF"/>
      <w:sz w:val="40"/>
      <w:szCs w:val="40"/>
    </w:rPr>
  </w:style>
  <w:style w:type="character" w:customStyle="1" w:styleId="36">
    <w:name w:val="标题 2 字符"/>
    <w:basedOn w:val="21"/>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37">
    <w:name w:val="标题 3 字符"/>
    <w:basedOn w:val="21"/>
    <w:link w:val="5"/>
    <w:semiHidden/>
    <w:qFormat/>
    <w:uiPriority w:val="9"/>
    <w:rPr>
      <w:rFonts w:eastAsiaTheme="majorEastAsia" w:cstheme="majorBidi"/>
      <w:color w:val="104862" w:themeColor="accent1" w:themeShade="BF"/>
      <w:sz w:val="28"/>
      <w:szCs w:val="28"/>
    </w:rPr>
  </w:style>
  <w:style w:type="character" w:customStyle="1" w:styleId="38">
    <w:name w:val="标题 4 字符"/>
    <w:basedOn w:val="21"/>
    <w:link w:val="6"/>
    <w:semiHidden/>
    <w:qFormat/>
    <w:uiPriority w:val="9"/>
    <w:rPr>
      <w:rFonts w:eastAsiaTheme="majorEastAsia" w:cstheme="majorBidi"/>
      <w:i/>
      <w:iCs/>
      <w:color w:val="104862" w:themeColor="accent1" w:themeShade="BF"/>
    </w:rPr>
  </w:style>
  <w:style w:type="character" w:customStyle="1" w:styleId="39">
    <w:name w:val="标题 5 字符"/>
    <w:basedOn w:val="21"/>
    <w:link w:val="7"/>
    <w:semiHidden/>
    <w:qFormat/>
    <w:uiPriority w:val="9"/>
    <w:rPr>
      <w:rFonts w:eastAsiaTheme="majorEastAsia" w:cstheme="majorBidi"/>
      <w:color w:val="104862" w:themeColor="accent1" w:themeShade="BF"/>
    </w:rPr>
  </w:style>
  <w:style w:type="character" w:customStyle="1" w:styleId="40">
    <w:name w:val="标题 6 字符"/>
    <w:basedOn w:val="21"/>
    <w:link w:val="8"/>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41">
    <w:name w:val="标题 7 字符"/>
    <w:basedOn w:val="21"/>
    <w:link w:val="9"/>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42">
    <w:name w:val="标题 8 字符"/>
    <w:basedOn w:val="21"/>
    <w:link w:val="10"/>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43">
    <w:name w:val="标题 9 字符"/>
    <w:basedOn w:val="21"/>
    <w:link w:val="11"/>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paragraph" w:customStyle="1" w:styleId="44">
    <w:name w:val="Footnote Block Text"/>
    <w:basedOn w:val="19"/>
    <w:next w:val="19"/>
    <w:unhideWhenUsed/>
    <w:qFormat/>
    <w:uiPriority w:val="9"/>
    <w:pPr>
      <w:spacing w:before="100" w:after="100"/>
      <w:ind w:left="480" w:right="480"/>
    </w:pPr>
  </w:style>
  <w:style w:type="table" w:customStyle="1" w:styleId="45">
    <w:name w:val="Table"/>
    <w:semiHidden/>
    <w:unhideWhenUsed/>
    <w:qFormat/>
    <w:uiPriority w:val="0"/>
    <w:tblPr>
      <w:tblCellMar>
        <w:top w:w="0" w:type="dxa"/>
        <w:left w:w="108" w:type="dxa"/>
        <w:bottom w:w="0" w:type="dxa"/>
        <w:right w:w="108" w:type="dxa"/>
      </w:tblCellMar>
    </w:tblPr>
    <w:tblStylePr w:type="firstRow">
      <w:tcPr>
        <w:tcBorders>
          <w:bottom w:val="single" w:color="auto" w:sz="0" w:space="0"/>
        </w:tcBorders>
        <w:vAlign w:val="bottom"/>
      </w:tcPr>
    </w:tblStylePr>
  </w:style>
  <w:style w:type="paragraph" w:customStyle="1" w:styleId="46">
    <w:name w:val="Definition Term"/>
    <w:basedOn w:val="1"/>
    <w:next w:val="47"/>
    <w:qFormat/>
    <w:uiPriority w:val="0"/>
    <w:pPr>
      <w:keepNext/>
      <w:keepLines/>
      <w:spacing w:after="0"/>
    </w:pPr>
    <w:rPr>
      <w:b/>
    </w:rPr>
  </w:style>
  <w:style w:type="paragraph" w:customStyle="1" w:styleId="47">
    <w:name w:val="Definition"/>
    <w:basedOn w:val="1"/>
    <w:qFormat/>
    <w:uiPriority w:val="0"/>
  </w:style>
  <w:style w:type="paragraph" w:customStyle="1" w:styleId="48">
    <w:name w:val="Table Caption"/>
    <w:basedOn w:val="12"/>
    <w:qFormat/>
    <w:uiPriority w:val="0"/>
    <w:pPr>
      <w:keepNext/>
    </w:pPr>
  </w:style>
  <w:style w:type="paragraph" w:customStyle="1" w:styleId="49">
    <w:name w:val="Image Caption"/>
    <w:basedOn w:val="12"/>
    <w:qFormat/>
    <w:uiPriority w:val="0"/>
  </w:style>
  <w:style w:type="paragraph" w:customStyle="1" w:styleId="50">
    <w:name w:val="Figure"/>
    <w:basedOn w:val="1"/>
    <w:qFormat/>
    <w:uiPriority w:val="0"/>
  </w:style>
  <w:style w:type="paragraph" w:customStyle="1" w:styleId="51">
    <w:name w:val="Captioned Figure"/>
    <w:basedOn w:val="50"/>
    <w:qFormat/>
    <w:uiPriority w:val="0"/>
    <w:pPr>
      <w:keepNext/>
    </w:pPr>
  </w:style>
  <w:style w:type="character" w:customStyle="1" w:styleId="52">
    <w:name w:val="Verbatim Char"/>
    <w:basedOn w:val="25"/>
    <w:link w:val="53"/>
    <w:qFormat/>
    <w:uiPriority w:val="0"/>
    <w:rPr>
      <w:rFonts w:ascii="Consolas" w:hAnsi="Consolas"/>
      <w:sz w:val="22"/>
    </w:rPr>
  </w:style>
  <w:style w:type="paragraph" w:customStyle="1" w:styleId="53">
    <w:name w:val="Source Code"/>
    <w:basedOn w:val="1"/>
    <w:link w:val="52"/>
    <w:qFormat/>
    <w:uiPriority w:val="0"/>
    <w:pPr>
      <w:wordWrap w:val="0"/>
    </w:pPr>
  </w:style>
  <w:style w:type="character" w:customStyle="1" w:styleId="54">
    <w:name w:val="Section Number"/>
    <w:basedOn w:val="25"/>
    <w:qFormat/>
    <w:uiPriority w:val="0"/>
  </w:style>
  <w:style w:type="paragraph" w:customStyle="1" w:styleId="55">
    <w:name w:val="TOC 标题1"/>
    <w:basedOn w:val="2"/>
    <w:next w:val="3"/>
    <w:unhideWhenUsed/>
    <w:qFormat/>
    <w:uiPriority w:val="39"/>
    <w:pPr>
      <w:spacing w:before="240" w:line="259" w:lineRule="auto"/>
      <w:outlineLvl w:val="9"/>
    </w:pPr>
  </w:style>
  <w:style w:type="character" w:customStyle="1" w:styleId="56">
    <w:name w:val="KeywordTok"/>
    <w:basedOn w:val="52"/>
    <w:qFormat/>
    <w:uiPriority w:val="0"/>
    <w:rPr>
      <w:rFonts w:ascii="Consolas" w:hAnsi="Consolas"/>
      <w:b/>
      <w:color w:val="007020"/>
      <w:sz w:val="22"/>
    </w:rPr>
  </w:style>
  <w:style w:type="character" w:customStyle="1" w:styleId="57">
    <w:name w:val="DataTypeTok"/>
    <w:basedOn w:val="52"/>
    <w:qFormat/>
    <w:uiPriority w:val="0"/>
    <w:rPr>
      <w:rFonts w:ascii="Consolas" w:hAnsi="Consolas"/>
      <w:color w:val="902000"/>
      <w:sz w:val="22"/>
    </w:rPr>
  </w:style>
  <w:style w:type="character" w:customStyle="1" w:styleId="58">
    <w:name w:val="DecValTok"/>
    <w:basedOn w:val="52"/>
    <w:qFormat/>
    <w:uiPriority w:val="0"/>
    <w:rPr>
      <w:rFonts w:ascii="Consolas" w:hAnsi="Consolas"/>
      <w:color w:val="40A070"/>
      <w:sz w:val="22"/>
    </w:rPr>
  </w:style>
  <w:style w:type="character" w:customStyle="1" w:styleId="59">
    <w:name w:val="BaseNTok"/>
    <w:basedOn w:val="52"/>
    <w:qFormat/>
    <w:uiPriority w:val="0"/>
    <w:rPr>
      <w:rFonts w:ascii="Consolas" w:hAnsi="Consolas"/>
      <w:color w:val="40A070"/>
      <w:sz w:val="22"/>
    </w:rPr>
  </w:style>
  <w:style w:type="character" w:customStyle="1" w:styleId="60">
    <w:name w:val="FloatTok"/>
    <w:basedOn w:val="52"/>
    <w:qFormat/>
    <w:uiPriority w:val="0"/>
    <w:rPr>
      <w:rFonts w:ascii="Consolas" w:hAnsi="Consolas"/>
      <w:color w:val="40A070"/>
      <w:sz w:val="22"/>
    </w:rPr>
  </w:style>
  <w:style w:type="character" w:customStyle="1" w:styleId="61">
    <w:name w:val="ConstantTok"/>
    <w:basedOn w:val="52"/>
    <w:qFormat/>
    <w:uiPriority w:val="0"/>
    <w:rPr>
      <w:rFonts w:ascii="Consolas" w:hAnsi="Consolas"/>
      <w:color w:val="880000"/>
      <w:sz w:val="22"/>
    </w:rPr>
  </w:style>
  <w:style w:type="character" w:customStyle="1" w:styleId="62">
    <w:name w:val="CharTok"/>
    <w:basedOn w:val="52"/>
    <w:qFormat/>
    <w:uiPriority w:val="0"/>
    <w:rPr>
      <w:rFonts w:ascii="Consolas" w:hAnsi="Consolas"/>
      <w:color w:val="4070A0"/>
      <w:sz w:val="22"/>
    </w:rPr>
  </w:style>
  <w:style w:type="character" w:customStyle="1" w:styleId="63">
    <w:name w:val="SpecialCharTok"/>
    <w:basedOn w:val="52"/>
    <w:qFormat/>
    <w:uiPriority w:val="0"/>
    <w:rPr>
      <w:rFonts w:ascii="Consolas" w:hAnsi="Consolas"/>
      <w:color w:val="4070A0"/>
      <w:sz w:val="22"/>
    </w:rPr>
  </w:style>
  <w:style w:type="character" w:customStyle="1" w:styleId="64">
    <w:name w:val="StringTok"/>
    <w:basedOn w:val="52"/>
    <w:qFormat/>
    <w:uiPriority w:val="0"/>
    <w:rPr>
      <w:rFonts w:ascii="Consolas" w:hAnsi="Consolas"/>
      <w:color w:val="4070A0"/>
      <w:sz w:val="22"/>
    </w:rPr>
  </w:style>
  <w:style w:type="character" w:customStyle="1" w:styleId="65">
    <w:name w:val="VerbatimStringTok"/>
    <w:basedOn w:val="52"/>
    <w:qFormat/>
    <w:uiPriority w:val="0"/>
    <w:rPr>
      <w:rFonts w:ascii="Consolas" w:hAnsi="Consolas"/>
      <w:color w:val="4070A0"/>
      <w:sz w:val="22"/>
    </w:rPr>
  </w:style>
  <w:style w:type="character" w:customStyle="1" w:styleId="66">
    <w:name w:val="SpecialStringTok"/>
    <w:basedOn w:val="52"/>
    <w:qFormat/>
    <w:uiPriority w:val="0"/>
    <w:rPr>
      <w:rFonts w:ascii="Consolas" w:hAnsi="Consolas"/>
      <w:color w:val="BB6688"/>
      <w:sz w:val="22"/>
    </w:rPr>
  </w:style>
  <w:style w:type="character" w:customStyle="1" w:styleId="67">
    <w:name w:val="ImportTok"/>
    <w:basedOn w:val="52"/>
    <w:qFormat/>
    <w:uiPriority w:val="0"/>
    <w:rPr>
      <w:rFonts w:ascii="Consolas" w:hAnsi="Consolas"/>
      <w:b/>
      <w:color w:val="008000"/>
      <w:sz w:val="22"/>
    </w:rPr>
  </w:style>
  <w:style w:type="character" w:customStyle="1" w:styleId="68">
    <w:name w:val="CommentTok"/>
    <w:basedOn w:val="52"/>
    <w:qFormat/>
    <w:uiPriority w:val="0"/>
    <w:rPr>
      <w:rFonts w:ascii="Consolas" w:hAnsi="Consolas"/>
      <w:i/>
      <w:color w:val="60A0B0"/>
      <w:sz w:val="22"/>
    </w:rPr>
  </w:style>
  <w:style w:type="character" w:customStyle="1" w:styleId="69">
    <w:name w:val="DocumentationTok"/>
    <w:basedOn w:val="52"/>
    <w:qFormat/>
    <w:uiPriority w:val="0"/>
    <w:rPr>
      <w:rFonts w:ascii="Consolas" w:hAnsi="Consolas"/>
      <w:i/>
      <w:color w:val="BA2121"/>
      <w:sz w:val="22"/>
    </w:rPr>
  </w:style>
  <w:style w:type="character" w:customStyle="1" w:styleId="70">
    <w:name w:val="AnnotationTok"/>
    <w:basedOn w:val="52"/>
    <w:qFormat/>
    <w:uiPriority w:val="0"/>
    <w:rPr>
      <w:rFonts w:ascii="Consolas" w:hAnsi="Consolas"/>
      <w:b/>
      <w:i/>
      <w:color w:val="60A0B0"/>
      <w:sz w:val="22"/>
    </w:rPr>
  </w:style>
  <w:style w:type="character" w:customStyle="1" w:styleId="71">
    <w:name w:val="CommentVarTok"/>
    <w:basedOn w:val="52"/>
    <w:qFormat/>
    <w:uiPriority w:val="0"/>
    <w:rPr>
      <w:rFonts w:ascii="Consolas" w:hAnsi="Consolas"/>
      <w:b/>
      <w:i/>
      <w:color w:val="60A0B0"/>
      <w:sz w:val="22"/>
    </w:rPr>
  </w:style>
  <w:style w:type="character" w:customStyle="1" w:styleId="72">
    <w:name w:val="OtherTok"/>
    <w:basedOn w:val="52"/>
    <w:qFormat/>
    <w:uiPriority w:val="0"/>
    <w:rPr>
      <w:rFonts w:ascii="Consolas" w:hAnsi="Consolas"/>
      <w:color w:val="007020"/>
      <w:sz w:val="22"/>
    </w:rPr>
  </w:style>
  <w:style w:type="character" w:customStyle="1" w:styleId="73">
    <w:name w:val="FunctionTok"/>
    <w:basedOn w:val="52"/>
    <w:qFormat/>
    <w:uiPriority w:val="0"/>
    <w:rPr>
      <w:rFonts w:ascii="Consolas" w:hAnsi="Consolas"/>
      <w:color w:val="06287E"/>
      <w:sz w:val="22"/>
    </w:rPr>
  </w:style>
  <w:style w:type="character" w:customStyle="1" w:styleId="74">
    <w:name w:val="VariableTok"/>
    <w:basedOn w:val="52"/>
    <w:qFormat/>
    <w:uiPriority w:val="0"/>
    <w:rPr>
      <w:rFonts w:ascii="Consolas" w:hAnsi="Consolas"/>
      <w:color w:val="19177C"/>
      <w:sz w:val="22"/>
    </w:rPr>
  </w:style>
  <w:style w:type="character" w:customStyle="1" w:styleId="75">
    <w:name w:val="ControlFlowTok"/>
    <w:basedOn w:val="52"/>
    <w:qFormat/>
    <w:uiPriority w:val="0"/>
    <w:rPr>
      <w:rFonts w:ascii="Consolas" w:hAnsi="Consolas"/>
      <w:b/>
      <w:color w:val="007020"/>
      <w:sz w:val="22"/>
    </w:rPr>
  </w:style>
  <w:style w:type="character" w:customStyle="1" w:styleId="76">
    <w:name w:val="OperatorTok"/>
    <w:basedOn w:val="52"/>
    <w:qFormat/>
    <w:uiPriority w:val="0"/>
    <w:rPr>
      <w:rFonts w:ascii="Consolas" w:hAnsi="Consolas"/>
      <w:color w:val="666666"/>
      <w:sz w:val="22"/>
    </w:rPr>
  </w:style>
  <w:style w:type="character" w:customStyle="1" w:styleId="77">
    <w:name w:val="BuiltInTok"/>
    <w:basedOn w:val="52"/>
    <w:qFormat/>
    <w:uiPriority w:val="0"/>
    <w:rPr>
      <w:rFonts w:ascii="Consolas" w:hAnsi="Consolas"/>
      <w:color w:val="008000"/>
      <w:sz w:val="22"/>
    </w:rPr>
  </w:style>
  <w:style w:type="character" w:customStyle="1" w:styleId="78">
    <w:name w:val="ExtensionTok"/>
    <w:basedOn w:val="52"/>
    <w:qFormat/>
    <w:uiPriority w:val="0"/>
    <w:rPr>
      <w:rFonts w:ascii="Consolas" w:hAnsi="Consolas"/>
      <w:sz w:val="22"/>
    </w:rPr>
  </w:style>
  <w:style w:type="character" w:customStyle="1" w:styleId="79">
    <w:name w:val="PreprocessorTok"/>
    <w:basedOn w:val="52"/>
    <w:qFormat/>
    <w:uiPriority w:val="0"/>
    <w:rPr>
      <w:rFonts w:ascii="Consolas" w:hAnsi="Consolas"/>
      <w:color w:val="BC7A00"/>
      <w:sz w:val="22"/>
    </w:rPr>
  </w:style>
  <w:style w:type="character" w:customStyle="1" w:styleId="80">
    <w:name w:val="AttributeTok"/>
    <w:basedOn w:val="52"/>
    <w:qFormat/>
    <w:uiPriority w:val="0"/>
    <w:rPr>
      <w:rFonts w:ascii="Consolas" w:hAnsi="Consolas"/>
      <w:color w:val="7D9029"/>
      <w:sz w:val="22"/>
    </w:rPr>
  </w:style>
  <w:style w:type="character" w:customStyle="1" w:styleId="81">
    <w:name w:val="RegionMarkerTok"/>
    <w:basedOn w:val="52"/>
    <w:qFormat/>
    <w:uiPriority w:val="0"/>
    <w:rPr>
      <w:rFonts w:ascii="Consolas" w:hAnsi="Consolas"/>
      <w:sz w:val="22"/>
    </w:rPr>
  </w:style>
  <w:style w:type="character" w:customStyle="1" w:styleId="82">
    <w:name w:val="InformationTok"/>
    <w:basedOn w:val="52"/>
    <w:qFormat/>
    <w:uiPriority w:val="0"/>
    <w:rPr>
      <w:rFonts w:ascii="Consolas" w:hAnsi="Consolas"/>
      <w:b/>
      <w:i/>
      <w:color w:val="60A0B0"/>
      <w:sz w:val="22"/>
    </w:rPr>
  </w:style>
  <w:style w:type="character" w:customStyle="1" w:styleId="83">
    <w:name w:val="WarningTok"/>
    <w:basedOn w:val="52"/>
    <w:qFormat/>
    <w:uiPriority w:val="0"/>
    <w:rPr>
      <w:rFonts w:ascii="Consolas" w:hAnsi="Consolas"/>
      <w:b/>
      <w:i/>
      <w:color w:val="60A0B0"/>
      <w:sz w:val="22"/>
    </w:rPr>
  </w:style>
  <w:style w:type="character" w:customStyle="1" w:styleId="84">
    <w:name w:val="AlertTok"/>
    <w:basedOn w:val="52"/>
    <w:qFormat/>
    <w:uiPriority w:val="0"/>
    <w:rPr>
      <w:rFonts w:ascii="Consolas" w:hAnsi="Consolas"/>
      <w:b/>
      <w:color w:val="FF0000"/>
      <w:sz w:val="22"/>
    </w:rPr>
  </w:style>
  <w:style w:type="character" w:customStyle="1" w:styleId="85">
    <w:name w:val="ErrorTok"/>
    <w:basedOn w:val="52"/>
    <w:qFormat/>
    <w:uiPriority w:val="0"/>
    <w:rPr>
      <w:rFonts w:ascii="Consolas" w:hAnsi="Consolas"/>
      <w:b/>
      <w:color w:val="FF0000"/>
      <w:sz w:val="22"/>
    </w:rPr>
  </w:style>
  <w:style w:type="character" w:customStyle="1" w:styleId="86">
    <w:name w:val="NormalTok"/>
    <w:basedOn w:val="52"/>
    <w:qFormat/>
    <w:uiPriority w:val="0"/>
    <w:rPr>
      <w:rFonts w:ascii="Consolas" w:hAnsi="Consolas"/>
      <w:sz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8114</Words>
  <Characters>15692</Characters>
  <Lines>320</Lines>
  <Paragraphs>90</Paragraphs>
  <TotalTime>192</TotalTime>
  <ScaleCrop>false</ScaleCrop>
  <LinksUpToDate>false</LinksUpToDate>
  <CharactersWithSpaces>16712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2026-04-16T03:19:00Z</dcterms:created>
  <dc:creator>WPS_139244595</dc:creator>
  <cp:lastModifiedBy>Chester  Chester</cp:lastModifiedBy>
  <dcterms:modified xsi:type="dcterms:W3CDTF">2026-07-23T16:08:59Z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AA13D6F0B60544ADBEB983A2CA23551A_13</vt:lpwstr>
  </property>
  <property fmtid="{D5CDD505-2E9C-101B-9397-08002B2CF9AE}" pid="4" name="KSOTemplateDocerSaveRecord">
    <vt:lpwstr>eyJoZGlkIjoiOTA1OWEwNzgwOWNlYWQyNzlmNjYxZDZlZGQ1NDg0NDciLCJ1c2VySWQiOiI1ODk5MDg3NTcifQ==</vt:lpwstr>
  </property>
</Properties>
</file>