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A1CED">
      <w:pPr>
        <w:spacing w:line="240" w:lineRule="auto"/>
        <w:jc w:val="left"/>
        <w:rPr>
          <w:rFonts w:hint="default" w:ascii="Times New Roman" w:hAnsi="Times New Roman" w:eastAsia="黑体" w:cs="Times New Roman"/>
          <w:color w:val="auto"/>
          <w:kern w:val="0"/>
          <w:sz w:val="44"/>
          <w:szCs w:val="44"/>
          <w:lang w:val="en-US" w:eastAsia="zh-CN" w:bidi="ar"/>
        </w:rPr>
      </w:pPr>
      <w:r>
        <w:rPr>
          <w:rFonts w:hint="default" w:ascii="Times New Roman" w:hAnsi="Times New Roman" w:eastAsia="黑体" w:cs="Times New Roman"/>
          <w:color w:val="auto"/>
          <w:kern w:val="0"/>
          <w:sz w:val="44"/>
          <w:szCs w:val="44"/>
          <w:lang w:val="en-US" w:eastAsia="zh-CN" w:bidi="ar"/>
        </w:rPr>
        <w:t>基于扬中市胃镜筛查人群的新型肥胖相关指标与胃部疾病的关联性分析</w:t>
      </w:r>
      <w:r>
        <w:rPr>
          <w:rStyle w:val="6"/>
          <w:rFonts w:hint="default" w:ascii="Times New Roman" w:hAnsi="Times New Roman" w:eastAsia="黑体" w:cs="Times New Roman"/>
          <w:color w:val="auto"/>
          <w:kern w:val="0"/>
          <w:sz w:val="44"/>
          <w:szCs w:val="44"/>
          <w:lang w:val="en-US" w:eastAsia="zh-CN" w:bidi="ar"/>
        </w:rPr>
        <w:footnoteReference w:id="0" w:customMarkFollows="1"/>
        <w:t xml:space="preserve"> </w:t>
      </w:r>
    </w:p>
    <w:p w14:paraId="6EE75D93">
      <w:pPr>
        <w:spacing w:line="240" w:lineRule="auto"/>
        <w:jc w:val="left"/>
        <w:rPr>
          <w:rFonts w:hint="default" w:ascii="Times New Roman" w:hAnsi="Times New Roman" w:eastAsia="黑体" w:cs="Times New Roman"/>
          <w:color w:val="auto"/>
          <w:kern w:val="0"/>
          <w:sz w:val="44"/>
          <w:szCs w:val="44"/>
          <w:highlight w:val="none"/>
          <w:lang w:val="en-US" w:eastAsia="zh-CN" w:bidi="ar"/>
        </w:rPr>
      </w:pPr>
    </w:p>
    <w:p w14:paraId="35C31C75">
      <w:pPr>
        <w:spacing w:line="240" w:lineRule="auto"/>
        <w:jc w:val="center"/>
        <w:rPr>
          <w:rFonts w:hint="default" w:ascii="Times New Roman" w:hAnsi="Times New Roman" w:eastAsia="楷体" w:cs="Times New Roman"/>
          <w:color w:val="auto"/>
          <w:szCs w:val="21"/>
          <w:highlight w:val="none"/>
          <w:vertAlign w:val="superscript"/>
          <w:lang w:val="en-US" w:eastAsia="zh-CN"/>
        </w:rPr>
      </w:pPr>
      <w:r>
        <w:rPr>
          <w:rFonts w:hint="default" w:ascii="Times New Roman" w:hAnsi="Times New Roman" w:eastAsia="楷体" w:cs="Times New Roman"/>
          <w:color w:val="auto"/>
          <w:szCs w:val="21"/>
          <w:highlight w:val="none"/>
          <w:vertAlign w:val="baseline"/>
          <w:lang w:val="en-US" w:eastAsia="zh-CN"/>
        </w:rPr>
        <w:t>姚磊</w:t>
      </w:r>
      <w:r>
        <w:rPr>
          <w:rFonts w:hint="default" w:ascii="Times New Roman" w:hAnsi="Times New Roman" w:eastAsia="楷体" w:cs="Times New Roman"/>
          <w:color w:val="auto"/>
          <w:szCs w:val="21"/>
          <w:highlight w:val="none"/>
          <w:vertAlign w:val="superscript"/>
        </w:rPr>
        <w:t>1</w:t>
      </w:r>
      <w:r>
        <w:rPr>
          <w:rFonts w:hint="default" w:ascii="Times New Roman" w:hAnsi="Times New Roman" w:eastAsia="楷体" w:cs="Times New Roman"/>
          <w:color w:val="auto"/>
          <w:szCs w:val="21"/>
          <w:highlight w:val="none"/>
          <w:vertAlign w:val="superscript"/>
          <w:lang w:val="en-US" w:eastAsia="zh-CN"/>
        </w:rPr>
        <w:t>,2</w:t>
      </w:r>
      <w:r>
        <w:rPr>
          <w:rFonts w:hint="default" w:ascii="Times New Roman" w:hAnsi="Times New Roman" w:eastAsia="楷体" w:cs="Times New Roman"/>
          <w:color w:val="auto"/>
          <w:szCs w:val="21"/>
          <w:highlight w:val="none"/>
        </w:rPr>
        <w:t>，</w:t>
      </w:r>
      <w:r>
        <w:rPr>
          <w:rFonts w:hint="default" w:ascii="Times New Roman" w:hAnsi="Times New Roman" w:eastAsia="楷体" w:cs="Times New Roman"/>
          <w:color w:val="auto"/>
          <w:szCs w:val="21"/>
          <w:highlight w:val="none"/>
          <w:lang w:val="en-US" w:eastAsia="zh-CN"/>
        </w:rPr>
        <w:t>张也</w:t>
      </w:r>
      <w:r>
        <w:rPr>
          <w:rFonts w:hint="eastAsia" w:ascii="Times New Roman" w:hAnsi="Times New Roman" w:eastAsia="楷体" w:cs="Times New Roman"/>
          <w:color w:val="auto"/>
          <w:szCs w:val="21"/>
          <w:highlight w:val="none"/>
          <w:vertAlign w:val="superscript"/>
          <w:lang w:val="en-US" w:eastAsia="zh-CN"/>
        </w:rPr>
        <w:t>1,</w:t>
      </w:r>
      <w:r>
        <w:rPr>
          <w:rFonts w:hint="default" w:ascii="Times New Roman" w:hAnsi="Times New Roman" w:eastAsia="楷体" w:cs="Times New Roman"/>
          <w:color w:val="auto"/>
          <w:szCs w:val="21"/>
          <w:highlight w:val="none"/>
          <w:vertAlign w:val="superscript"/>
          <w:lang w:val="en-US" w:eastAsia="zh-CN"/>
        </w:rPr>
        <w:t>3</w:t>
      </w:r>
      <w:r>
        <w:rPr>
          <w:rFonts w:hint="default" w:ascii="Times New Roman" w:hAnsi="Times New Roman" w:eastAsia="楷体" w:cs="Times New Roman"/>
          <w:color w:val="auto"/>
          <w:szCs w:val="21"/>
          <w:highlight w:val="none"/>
          <w:lang w:val="en-US" w:eastAsia="zh-CN"/>
        </w:rPr>
        <w:t>，冯祥</w:t>
      </w:r>
      <w:r>
        <w:rPr>
          <w:rFonts w:hint="eastAsia" w:ascii="Times New Roman" w:hAnsi="Times New Roman" w:eastAsia="楷体" w:cs="Times New Roman"/>
          <w:color w:val="auto"/>
          <w:szCs w:val="21"/>
          <w:highlight w:val="none"/>
          <w:vertAlign w:val="superscript"/>
          <w:lang w:val="en-US" w:eastAsia="zh-CN"/>
        </w:rPr>
        <w:t>1,</w:t>
      </w:r>
      <w:r>
        <w:rPr>
          <w:rFonts w:hint="default" w:ascii="Times New Roman" w:hAnsi="Times New Roman" w:eastAsia="楷体" w:cs="Times New Roman"/>
          <w:color w:val="auto"/>
          <w:szCs w:val="21"/>
          <w:highlight w:val="none"/>
          <w:vertAlign w:val="superscript"/>
          <w:lang w:val="en-US" w:eastAsia="zh-CN"/>
        </w:rPr>
        <w:t>3</w:t>
      </w:r>
      <w:r>
        <w:rPr>
          <w:rFonts w:hint="default" w:ascii="Times New Roman" w:hAnsi="Times New Roman" w:eastAsia="楷体" w:cs="Times New Roman"/>
          <w:color w:val="auto"/>
          <w:szCs w:val="21"/>
          <w:highlight w:val="none"/>
          <w:lang w:val="en-US" w:eastAsia="zh-CN"/>
        </w:rPr>
        <w:t>，</w:t>
      </w:r>
      <w:r>
        <w:rPr>
          <w:rFonts w:hint="default" w:ascii="Times New Roman" w:hAnsi="Times New Roman" w:eastAsia="楷体" w:cs="Times New Roman"/>
          <w:color w:val="auto"/>
          <w:szCs w:val="21"/>
          <w:highlight w:val="none"/>
        </w:rPr>
        <w:t>朱进华</w:t>
      </w:r>
      <w:r>
        <w:rPr>
          <w:rFonts w:hint="default" w:ascii="Times New Roman" w:hAnsi="Times New Roman" w:eastAsia="楷体" w:cs="Times New Roman"/>
          <w:color w:val="auto"/>
          <w:szCs w:val="21"/>
          <w:highlight w:val="none"/>
          <w:vertAlign w:val="superscript"/>
          <w:lang w:val="en-US" w:eastAsia="zh-CN"/>
        </w:rPr>
        <w:t>1,2,3</w:t>
      </w:r>
      <w:r>
        <w:rPr>
          <w:rFonts w:hint="default" w:ascii="Times New Roman" w:hAnsi="Times New Roman" w:eastAsia="楷体" w:cs="Times New Roman"/>
          <w:color w:val="auto"/>
          <w:szCs w:val="21"/>
          <w:highlight w:val="none"/>
        </w:rPr>
        <w:t>，华召来</w:t>
      </w:r>
      <w:r>
        <w:rPr>
          <w:rFonts w:hint="eastAsia" w:ascii="Times New Roman" w:hAnsi="Times New Roman" w:eastAsia="楷体" w:cs="Times New Roman"/>
          <w:color w:val="auto"/>
          <w:szCs w:val="21"/>
          <w:highlight w:val="none"/>
          <w:vertAlign w:val="superscript"/>
          <w:lang w:val="en-US" w:eastAsia="zh-CN"/>
        </w:rPr>
        <w:t>1,</w:t>
      </w:r>
      <w:r>
        <w:rPr>
          <w:rFonts w:hint="default" w:ascii="Times New Roman" w:hAnsi="Times New Roman" w:eastAsia="楷体" w:cs="Times New Roman"/>
          <w:color w:val="auto"/>
          <w:szCs w:val="21"/>
          <w:highlight w:val="none"/>
          <w:vertAlign w:val="superscript"/>
          <w:lang w:val="en-US" w:eastAsia="zh-CN"/>
        </w:rPr>
        <w:t>2,3</w:t>
      </w:r>
      <w:r>
        <w:rPr>
          <w:rFonts w:hint="default" w:ascii="Times New Roman" w:hAnsi="Times New Roman" w:eastAsia="楷体" w:cs="Times New Roman"/>
          <w:color w:val="auto"/>
          <w:szCs w:val="21"/>
          <w:highlight w:val="none"/>
        </w:rPr>
        <w:t>，</w:t>
      </w:r>
      <w:r>
        <w:rPr>
          <w:rFonts w:hint="default" w:ascii="Times New Roman" w:hAnsi="Times New Roman" w:eastAsia="楷体" w:cs="Times New Roman"/>
          <w:color w:val="auto"/>
          <w:szCs w:val="21"/>
          <w:highlight w:val="none"/>
          <w:lang w:val="en-US" w:eastAsia="zh-CN"/>
        </w:rPr>
        <w:t>戴春</w:t>
      </w:r>
      <w:r>
        <w:rPr>
          <w:rFonts w:hint="eastAsia" w:ascii="Times New Roman" w:hAnsi="Times New Roman" w:eastAsia="楷体" w:cs="Times New Roman"/>
          <w:color w:val="auto"/>
          <w:szCs w:val="21"/>
          <w:highlight w:val="none"/>
          <w:vertAlign w:val="superscript"/>
          <w:lang w:val="en-US" w:eastAsia="zh-CN"/>
        </w:rPr>
        <w:t>1,</w:t>
      </w:r>
      <w:r>
        <w:rPr>
          <w:rFonts w:hint="default" w:ascii="Times New Roman" w:hAnsi="Times New Roman" w:eastAsia="楷体" w:cs="Times New Roman"/>
          <w:color w:val="auto"/>
          <w:szCs w:val="21"/>
          <w:highlight w:val="none"/>
          <w:vertAlign w:val="superscript"/>
          <w:lang w:val="en-US" w:eastAsia="zh-CN"/>
        </w:rPr>
        <w:t>3</w:t>
      </w:r>
    </w:p>
    <w:p w14:paraId="007967F9">
      <w:pPr>
        <w:spacing w:line="240" w:lineRule="auto"/>
        <w:jc w:val="center"/>
        <w:rPr>
          <w:rFonts w:hint="default" w:ascii="Times New Roman" w:hAnsi="Times New Roman" w:eastAsia="楷体" w:cs="Times New Roman"/>
          <w:color w:val="auto"/>
          <w:szCs w:val="21"/>
          <w:vertAlign w:val="superscript"/>
          <w:lang w:val="en-US" w:eastAsia="zh-CN"/>
        </w:rPr>
      </w:pPr>
    </w:p>
    <w:p w14:paraId="45096419">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left"/>
        <w:textAlignment w:val="auto"/>
        <w:rPr>
          <w:rFonts w:hint="default" w:ascii="Times New Roman" w:hAnsi="Times New Roman" w:eastAsia="楷体" w:cs="Times New Roman"/>
          <w:color w:val="auto"/>
          <w:szCs w:val="21"/>
          <w:lang w:val="en-US" w:eastAsia="zh-CN"/>
        </w:rPr>
      </w:pPr>
      <w:r>
        <w:rPr>
          <w:rFonts w:hint="default" w:ascii="Times New Roman" w:hAnsi="Times New Roman" w:eastAsia="宋体" w:cs="Times New Roman"/>
          <w:color w:val="auto"/>
          <w:szCs w:val="21"/>
          <w:lang w:val="en-US" w:eastAsia="zh-CN"/>
        </w:rPr>
        <w:t>扬中市人民医院</w:t>
      </w:r>
      <w:r>
        <w:rPr>
          <w:rFonts w:hint="default" w:ascii="Times New Roman" w:hAnsi="Times New Roman" w:eastAsia="宋体" w:cs="Times New Roman"/>
          <w:color w:val="auto"/>
          <w:szCs w:val="21"/>
        </w:rPr>
        <w:t>，江苏 扬中 212200；2.</w:t>
      </w:r>
      <w:r>
        <w:rPr>
          <w:rFonts w:hint="default" w:ascii="Times New Roman" w:hAnsi="Times New Roman" w:eastAsia="宋体" w:cs="Times New Roman"/>
          <w:color w:val="auto"/>
          <w:szCs w:val="21"/>
          <w:lang w:val="en-US" w:eastAsia="zh-CN"/>
        </w:rPr>
        <w:t xml:space="preserve"> 扬州大学医学</w:t>
      </w:r>
      <w:r>
        <w:rPr>
          <w:rFonts w:hint="eastAsia" w:ascii="Times New Roman" w:hAnsi="Times New Roman" w:eastAsia="宋体" w:cs="Times New Roman"/>
          <w:color w:val="auto"/>
          <w:szCs w:val="21"/>
          <w:lang w:val="en-US" w:eastAsia="zh-CN"/>
        </w:rPr>
        <w:t>部</w:t>
      </w:r>
      <w:r>
        <w:rPr>
          <w:rFonts w:hint="default" w:ascii="Times New Roman" w:hAnsi="Times New Roman" w:eastAsia="宋体" w:cs="Times New Roman"/>
          <w:color w:val="auto"/>
          <w:szCs w:val="21"/>
        </w:rPr>
        <w:t xml:space="preserve">，江苏 </w:t>
      </w:r>
      <w:r>
        <w:rPr>
          <w:rFonts w:hint="default" w:ascii="Times New Roman" w:hAnsi="Times New Roman" w:eastAsia="宋体" w:cs="Times New Roman"/>
          <w:color w:val="auto"/>
          <w:szCs w:val="21"/>
          <w:lang w:val="en-US" w:eastAsia="zh-CN"/>
        </w:rPr>
        <w:t>扬州</w:t>
      </w:r>
      <w:r>
        <w:rPr>
          <w:rFonts w:hint="default" w:ascii="Times New Roman" w:hAnsi="Times New Roman" w:eastAsia="宋体" w:cs="Times New Roman"/>
          <w:color w:val="auto"/>
          <w:szCs w:val="21"/>
        </w:rPr>
        <w:t xml:space="preserve"> </w:t>
      </w:r>
      <w:r>
        <w:rPr>
          <w:rFonts w:hint="default" w:ascii="Times New Roman" w:hAnsi="Times New Roman" w:eastAsia="宋体" w:cs="Times New Roman"/>
          <w:color w:val="auto"/>
          <w:szCs w:val="21"/>
          <w:lang w:val="en-US" w:eastAsia="zh-CN"/>
        </w:rPr>
        <w:t xml:space="preserve">225009；3. </w:t>
      </w:r>
      <w:r>
        <w:rPr>
          <w:rFonts w:hint="default" w:ascii="Times New Roman" w:hAnsi="Times New Roman" w:eastAsia="宋体" w:cs="Times New Roman"/>
          <w:color w:val="auto"/>
          <w:szCs w:val="21"/>
        </w:rPr>
        <w:t>扬中市肿瘤防治研究所，江苏 扬中 212200</w:t>
      </w:r>
      <w:r>
        <w:rPr>
          <w:rFonts w:hint="default" w:ascii="Times New Roman" w:hAnsi="Times New Roman" w:eastAsia="楷体" w:cs="Times New Roman"/>
          <w:color w:val="auto"/>
          <w:szCs w:val="21"/>
          <w:lang w:val="en-US" w:eastAsia="zh-CN"/>
        </w:rPr>
        <w:t>）</w:t>
      </w:r>
    </w:p>
    <w:p w14:paraId="5E655CD1">
      <w:pPr>
        <w:numPr>
          <w:ilvl w:val="0"/>
          <w:numId w:val="0"/>
        </w:numPr>
        <w:spacing w:line="240" w:lineRule="auto"/>
        <w:jc w:val="left"/>
        <w:rPr>
          <w:rFonts w:hint="default" w:ascii="Times New Roman" w:hAnsi="Times New Roman" w:cs="Times New Roman"/>
          <w:color w:val="auto"/>
          <w:szCs w:val="21"/>
        </w:rPr>
      </w:pPr>
    </w:p>
    <w:p w14:paraId="474030B9">
      <w:pPr>
        <w:keepNext w:val="0"/>
        <w:keepLines w:val="0"/>
        <w:pageBreakBefore w:val="0"/>
        <w:widowControl w:val="0"/>
        <w:kinsoku/>
        <w:wordWrap/>
        <w:overflowPunct/>
        <w:topLinePunct w:val="0"/>
        <w:autoSpaceDE/>
        <w:autoSpaceDN/>
        <w:bidi w:val="0"/>
        <w:adjustRightInd/>
        <w:snapToGrid/>
        <w:spacing w:line="360" w:lineRule="auto"/>
        <w:textAlignment w:val="auto"/>
        <w:rPr>
          <w:rStyle w:val="16"/>
          <w:rFonts w:hint="default" w:ascii="Times New Roman" w:hAnsi="Times New Roman" w:cs="Times New Roman"/>
          <w:color w:val="auto"/>
          <w:sz w:val="21"/>
          <w:szCs w:val="21"/>
          <w:vertAlign w:val="baseline"/>
          <w:lang w:bidi="ar"/>
        </w:rPr>
      </w:pPr>
      <w:r>
        <w:rPr>
          <w:rFonts w:hint="default" w:ascii="Times New Roman" w:hAnsi="Times New Roman" w:cs="Times New Roman"/>
          <w:b/>
          <w:bCs/>
          <w:color w:val="auto"/>
          <w:szCs w:val="21"/>
        </w:rPr>
        <w:t xml:space="preserve">摘要：目的 </w:t>
      </w:r>
      <w:r>
        <w:rPr>
          <w:rFonts w:hint="default" w:ascii="Times New Roman" w:hAnsi="Times New Roman" w:cs="Times New Roman"/>
          <w:color w:val="auto"/>
          <w:szCs w:val="21"/>
        </w:rPr>
        <w:t xml:space="preserve"> 分析</w:t>
      </w:r>
      <w:r>
        <w:rPr>
          <w:rFonts w:hint="default" w:ascii="Times New Roman" w:hAnsi="Times New Roman" w:cs="Times New Roman"/>
          <w:color w:val="auto"/>
          <w:szCs w:val="21"/>
          <w:lang w:val="en-US" w:eastAsia="zh-CN"/>
        </w:rPr>
        <w:t>5种新型肥胖相关指标（</w:t>
      </w:r>
      <w:r>
        <w:rPr>
          <w:rFonts w:hint="eastAsia" w:ascii="Times New Roman" w:hAnsi="Times New Roman" w:cs="Times New Roman"/>
          <w:color w:val="auto"/>
          <w:szCs w:val="21"/>
          <w:lang w:val="en-US" w:eastAsia="zh-CN"/>
        </w:rPr>
        <w:t>n</w:t>
      </w:r>
      <w:r>
        <w:rPr>
          <w:rFonts w:hint="default" w:ascii="Times New Roman" w:hAnsi="Times New Roman" w:cs="Times New Roman"/>
          <w:color w:val="auto"/>
          <w:szCs w:val="21"/>
          <w:lang w:val="en-US" w:eastAsia="zh-CN"/>
        </w:rPr>
        <w:t xml:space="preserve">ovel </w:t>
      </w:r>
      <w:r>
        <w:rPr>
          <w:rFonts w:hint="eastAsia" w:ascii="Times New Roman" w:hAnsi="Times New Roman" w:cs="Times New Roman"/>
          <w:color w:val="auto"/>
          <w:szCs w:val="21"/>
          <w:lang w:val="en-US" w:eastAsia="zh-CN"/>
        </w:rPr>
        <w:t>o</w:t>
      </w:r>
      <w:r>
        <w:rPr>
          <w:rFonts w:hint="default" w:ascii="Times New Roman" w:hAnsi="Times New Roman" w:cs="Times New Roman"/>
          <w:color w:val="auto"/>
          <w:szCs w:val="21"/>
          <w:lang w:val="en-US" w:eastAsia="zh-CN"/>
        </w:rPr>
        <w:t>besity-</w:t>
      </w:r>
      <w:r>
        <w:rPr>
          <w:rFonts w:hint="eastAsia" w:ascii="Times New Roman" w:hAnsi="Times New Roman" w:cs="Times New Roman"/>
          <w:color w:val="auto"/>
          <w:szCs w:val="21"/>
          <w:lang w:val="en-US" w:eastAsia="zh-CN"/>
        </w:rPr>
        <w:t>r</w:t>
      </w:r>
      <w:r>
        <w:rPr>
          <w:rFonts w:hint="default" w:ascii="Times New Roman" w:hAnsi="Times New Roman" w:cs="Times New Roman"/>
          <w:color w:val="auto"/>
          <w:szCs w:val="21"/>
          <w:lang w:val="en-US" w:eastAsia="zh-CN"/>
        </w:rPr>
        <w:t xml:space="preserve">elated </w:t>
      </w:r>
      <w:r>
        <w:rPr>
          <w:rFonts w:hint="eastAsia" w:ascii="Times New Roman" w:hAnsi="Times New Roman" w:cs="Times New Roman"/>
          <w:color w:val="auto"/>
          <w:szCs w:val="21"/>
          <w:lang w:val="en-US" w:eastAsia="zh-CN"/>
        </w:rPr>
        <w:t>i</w:t>
      </w:r>
      <w:r>
        <w:rPr>
          <w:rFonts w:hint="default" w:ascii="Times New Roman" w:hAnsi="Times New Roman" w:cs="Times New Roman"/>
          <w:color w:val="auto"/>
          <w:szCs w:val="21"/>
          <w:lang w:val="en-US" w:eastAsia="zh-CN"/>
        </w:rPr>
        <w:t>ndices, NORI）</w:t>
      </w:r>
      <w:r>
        <w:rPr>
          <w:rFonts w:hint="default" w:ascii="Times New Roman" w:hAnsi="Times New Roman" w:cs="Times New Roman"/>
          <w:color w:val="auto"/>
          <w:szCs w:val="21"/>
        </w:rPr>
        <w:t>与</w:t>
      </w:r>
      <w:r>
        <w:rPr>
          <w:rFonts w:hint="default" w:ascii="Times New Roman" w:hAnsi="Times New Roman" w:cs="Times New Roman"/>
          <w:color w:val="auto"/>
          <w:szCs w:val="21"/>
          <w:lang w:val="en-US" w:eastAsia="zh-CN"/>
        </w:rPr>
        <w:t>胃部疾病的关联</w:t>
      </w:r>
      <w:r>
        <w:rPr>
          <w:rFonts w:hint="default" w:ascii="Times New Roman" w:hAnsi="Times New Roman" w:cs="Times New Roman"/>
          <w:color w:val="auto"/>
          <w:szCs w:val="21"/>
        </w:rPr>
        <w:t>。</w:t>
      </w:r>
      <w:r>
        <w:rPr>
          <w:rFonts w:hint="default" w:ascii="Times New Roman" w:hAnsi="Times New Roman" w:cs="Times New Roman"/>
          <w:b/>
          <w:bCs/>
          <w:color w:val="auto"/>
          <w:szCs w:val="21"/>
        </w:rPr>
        <w:t>方法</w:t>
      </w:r>
      <w:r>
        <w:rPr>
          <w:rFonts w:hint="default" w:ascii="Times New Roman" w:hAnsi="Times New Roman" w:cs="Times New Roman"/>
          <w:color w:val="auto"/>
          <w:szCs w:val="21"/>
        </w:rPr>
        <w:t xml:space="preserve">  </w:t>
      </w:r>
      <w:r>
        <w:rPr>
          <w:rFonts w:hint="eastAsia" w:ascii="Times New Roman" w:hAnsi="Times New Roman" w:cs="Times New Roman"/>
          <w:color w:val="auto"/>
          <w:szCs w:val="21"/>
          <w:lang w:val="en-US" w:eastAsia="zh-CN"/>
        </w:rPr>
        <w:t>基于</w:t>
      </w:r>
      <w:r>
        <w:rPr>
          <w:rFonts w:hint="default" w:ascii="Times New Roman" w:hAnsi="Times New Roman" w:cs="Times New Roman"/>
          <w:color w:val="auto"/>
          <w:szCs w:val="21"/>
          <w:lang w:val="en-US" w:eastAsia="zh-CN"/>
        </w:rPr>
        <w:t>上消化道癌人群筛查及食管癌专病队列基线数据，采用无序多分类</w:t>
      </w:r>
      <w:r>
        <w:rPr>
          <w:rStyle w:val="16"/>
          <w:rFonts w:hint="eastAsia" w:ascii="Times New Roman" w:hAnsi="Times New Roman" w:cs="Times New Roman"/>
          <w:color w:val="auto"/>
          <w:sz w:val="21"/>
          <w:szCs w:val="21"/>
          <w:vertAlign w:val="baseline"/>
          <w:lang w:val="en-US" w:eastAsia="zh-CN" w:bidi="ar"/>
        </w:rPr>
        <w:t>l</w:t>
      </w:r>
      <w:r>
        <w:rPr>
          <w:rStyle w:val="16"/>
          <w:rFonts w:hint="default" w:ascii="Times New Roman" w:hAnsi="Times New Roman" w:cs="Times New Roman"/>
          <w:color w:val="auto"/>
          <w:sz w:val="21"/>
          <w:szCs w:val="21"/>
          <w:vertAlign w:val="baseline"/>
          <w:lang w:val="en-US" w:eastAsia="zh-CN" w:bidi="ar"/>
        </w:rPr>
        <w:t>ogistic回归模型，</w:t>
      </w:r>
      <w:r>
        <w:rPr>
          <w:rStyle w:val="16"/>
          <w:rFonts w:hint="eastAsia" w:ascii="Times New Roman" w:hAnsi="Times New Roman" w:cs="Times New Roman"/>
          <w:color w:val="auto"/>
          <w:sz w:val="21"/>
          <w:szCs w:val="21"/>
          <w:vertAlign w:val="baseline"/>
          <w:lang w:val="en-US" w:eastAsia="zh-CN" w:bidi="ar"/>
        </w:rPr>
        <w:t>分别</w:t>
      </w:r>
      <w:r>
        <w:rPr>
          <w:rStyle w:val="16"/>
          <w:rFonts w:hint="default" w:ascii="Times New Roman" w:hAnsi="Times New Roman" w:cs="Times New Roman"/>
          <w:color w:val="auto"/>
          <w:sz w:val="21"/>
          <w:szCs w:val="21"/>
          <w:vertAlign w:val="baseline"/>
          <w:lang w:val="en-US" w:eastAsia="zh-CN" w:bidi="ar"/>
        </w:rPr>
        <w:t>探讨</w:t>
      </w:r>
      <w:r>
        <w:rPr>
          <w:rFonts w:hint="default" w:ascii="Times New Roman" w:hAnsi="Times New Roman" w:cs="Times New Roman"/>
          <w:b w:val="0"/>
          <w:i w:val="0"/>
          <w:strike w:val="0"/>
          <w:color w:val="auto"/>
          <w:kern w:val="2"/>
          <w:sz w:val="21"/>
          <w:szCs w:val="21"/>
          <w:u w:val="none"/>
          <w:lang w:val="en-US" w:eastAsia="zh-CN" w:bidi="ar-SA"/>
        </w:rPr>
        <w:t>脂质蓄积指数（lipid accumulation product</w:t>
      </w:r>
      <w:r>
        <w:rPr>
          <w:rFonts w:hint="eastAsia" w:ascii="Times New Roman" w:hAnsi="Times New Roman" w:cs="Times New Roman"/>
          <w:b w:val="0"/>
          <w:i w:val="0"/>
          <w:strike w:val="0"/>
          <w:color w:val="auto"/>
          <w:kern w:val="2"/>
          <w:sz w:val="21"/>
          <w:szCs w:val="21"/>
          <w:u w:val="none"/>
          <w:lang w:val="en-US" w:eastAsia="zh-CN" w:bidi="ar-SA"/>
        </w:rPr>
        <w:t xml:space="preserve">, </w:t>
      </w:r>
      <w:r>
        <w:rPr>
          <w:rFonts w:hint="default" w:ascii="Times New Roman" w:hAnsi="Times New Roman" w:cs="Times New Roman"/>
          <w:b w:val="0"/>
          <w:i w:val="0"/>
          <w:strike w:val="0"/>
          <w:color w:val="auto"/>
          <w:kern w:val="2"/>
          <w:sz w:val="21"/>
          <w:szCs w:val="21"/>
          <w:u w:val="none"/>
          <w:lang w:val="en-US" w:eastAsia="zh-CN" w:bidi="ar-SA"/>
        </w:rPr>
        <w:t>LAP）、内脏脂肪指数（visceral adiposity index</w:t>
      </w:r>
      <w:r>
        <w:rPr>
          <w:rFonts w:hint="eastAsia" w:ascii="Times New Roman" w:hAnsi="Times New Roman" w:cs="Times New Roman"/>
          <w:b w:val="0"/>
          <w:i w:val="0"/>
          <w:strike w:val="0"/>
          <w:color w:val="auto"/>
          <w:kern w:val="2"/>
          <w:sz w:val="21"/>
          <w:szCs w:val="21"/>
          <w:u w:val="none"/>
          <w:lang w:val="en-US" w:eastAsia="zh-CN" w:bidi="ar-SA"/>
        </w:rPr>
        <w:t xml:space="preserve">, </w:t>
      </w:r>
      <w:r>
        <w:rPr>
          <w:rFonts w:hint="default" w:ascii="Times New Roman" w:hAnsi="Times New Roman" w:cs="Times New Roman"/>
          <w:b w:val="0"/>
          <w:i w:val="0"/>
          <w:strike w:val="0"/>
          <w:color w:val="auto"/>
          <w:kern w:val="2"/>
          <w:sz w:val="21"/>
          <w:szCs w:val="21"/>
          <w:u w:val="none"/>
          <w:lang w:val="en-US" w:eastAsia="zh-CN" w:bidi="ar-SA"/>
        </w:rPr>
        <w:t>VAI）、中国内脏脂肪指数（</w:t>
      </w:r>
      <w:r>
        <w:rPr>
          <w:rFonts w:hint="eastAsia" w:ascii="Times New Roman" w:hAnsi="Times New Roman" w:cs="Times New Roman"/>
          <w:b w:val="0"/>
          <w:i w:val="0"/>
          <w:strike w:val="0"/>
          <w:color w:val="auto"/>
          <w:kern w:val="2"/>
          <w:sz w:val="21"/>
          <w:szCs w:val="21"/>
          <w:u w:val="none"/>
          <w:lang w:val="en-US" w:eastAsia="zh-CN" w:bidi="ar-SA"/>
        </w:rPr>
        <w:t>C</w:t>
      </w:r>
      <w:r>
        <w:rPr>
          <w:rFonts w:hint="default" w:ascii="Times New Roman" w:hAnsi="Times New Roman" w:cs="Times New Roman"/>
          <w:b w:val="0"/>
          <w:i w:val="0"/>
          <w:strike w:val="0"/>
          <w:color w:val="auto"/>
          <w:kern w:val="2"/>
          <w:sz w:val="21"/>
          <w:szCs w:val="21"/>
          <w:u w:val="none"/>
          <w:lang w:val="en-US" w:eastAsia="zh-CN" w:bidi="ar-SA"/>
        </w:rPr>
        <w:t>hinese visceral adiposity index</w:t>
      </w:r>
      <w:r>
        <w:rPr>
          <w:rFonts w:hint="eastAsia" w:ascii="Times New Roman" w:hAnsi="Times New Roman" w:cs="Times New Roman"/>
          <w:b w:val="0"/>
          <w:i w:val="0"/>
          <w:strike w:val="0"/>
          <w:color w:val="auto"/>
          <w:kern w:val="2"/>
          <w:sz w:val="21"/>
          <w:szCs w:val="21"/>
          <w:u w:val="none"/>
          <w:lang w:val="en-US" w:eastAsia="zh-CN" w:bidi="ar-SA"/>
        </w:rPr>
        <w:t xml:space="preserve">, </w:t>
      </w:r>
      <w:r>
        <w:rPr>
          <w:rFonts w:hint="default" w:ascii="Times New Roman" w:hAnsi="Times New Roman" w:cs="Times New Roman"/>
          <w:b w:val="0"/>
          <w:i w:val="0"/>
          <w:strike w:val="0"/>
          <w:color w:val="auto"/>
          <w:kern w:val="2"/>
          <w:sz w:val="21"/>
          <w:szCs w:val="21"/>
          <w:u w:val="none"/>
          <w:lang w:val="en-US" w:eastAsia="zh-CN" w:bidi="ar-SA"/>
        </w:rPr>
        <w:t>CVAI）、腰部甘油三酯指数（waist triglyceride index</w:t>
      </w:r>
      <w:r>
        <w:rPr>
          <w:rFonts w:hint="eastAsia" w:ascii="Times New Roman" w:hAnsi="Times New Roman" w:cs="Times New Roman"/>
          <w:b w:val="0"/>
          <w:i w:val="0"/>
          <w:strike w:val="0"/>
          <w:color w:val="auto"/>
          <w:kern w:val="2"/>
          <w:sz w:val="21"/>
          <w:szCs w:val="21"/>
          <w:u w:val="none"/>
          <w:lang w:val="en-US" w:eastAsia="zh-CN" w:bidi="ar-SA"/>
        </w:rPr>
        <w:t xml:space="preserve">, </w:t>
      </w:r>
      <w:r>
        <w:rPr>
          <w:rFonts w:hint="default" w:ascii="Times New Roman" w:hAnsi="Times New Roman" w:cs="Times New Roman"/>
          <w:b w:val="0"/>
          <w:i w:val="0"/>
          <w:strike w:val="0"/>
          <w:color w:val="auto"/>
          <w:kern w:val="2"/>
          <w:sz w:val="21"/>
          <w:szCs w:val="21"/>
          <w:u w:val="none"/>
          <w:lang w:val="en-US" w:eastAsia="zh-CN" w:bidi="ar-SA"/>
        </w:rPr>
        <w:t>WTI）和心脏代谢指数（cardiometabolic index</w:t>
      </w:r>
      <w:r>
        <w:rPr>
          <w:rFonts w:hint="eastAsia" w:ascii="Times New Roman" w:hAnsi="Times New Roman" w:cs="Times New Roman"/>
          <w:b w:val="0"/>
          <w:i w:val="0"/>
          <w:strike w:val="0"/>
          <w:color w:val="auto"/>
          <w:kern w:val="2"/>
          <w:sz w:val="21"/>
          <w:szCs w:val="21"/>
          <w:u w:val="none"/>
          <w:lang w:val="en-US" w:eastAsia="zh-CN" w:bidi="ar-SA"/>
        </w:rPr>
        <w:t xml:space="preserve">, </w:t>
      </w:r>
      <w:r>
        <w:rPr>
          <w:rFonts w:hint="default" w:ascii="Times New Roman" w:hAnsi="Times New Roman" w:cs="Times New Roman"/>
          <w:b w:val="0"/>
          <w:i w:val="0"/>
          <w:strike w:val="0"/>
          <w:color w:val="auto"/>
          <w:kern w:val="2"/>
          <w:sz w:val="21"/>
          <w:szCs w:val="21"/>
          <w:u w:val="none"/>
          <w:lang w:val="en-US" w:eastAsia="zh-CN" w:bidi="ar-SA"/>
        </w:rPr>
        <w:t>CMI）</w:t>
      </w:r>
      <w:r>
        <w:rPr>
          <w:rStyle w:val="16"/>
          <w:rFonts w:hint="default" w:ascii="Times New Roman" w:hAnsi="Times New Roman" w:eastAsia="宋体" w:cs="Times New Roman"/>
          <w:color w:val="auto"/>
          <w:sz w:val="21"/>
          <w:szCs w:val="21"/>
          <w:vertAlign w:val="baseline"/>
          <w:lang w:val="en-US" w:eastAsia="zh-CN" w:bidi="ar"/>
        </w:rPr>
        <w:t>与胃癌、癌前病变</w:t>
      </w:r>
      <w:r>
        <w:rPr>
          <w:rStyle w:val="16"/>
          <w:rFonts w:hint="eastAsia" w:ascii="Times New Roman" w:hAnsi="Times New Roman" w:eastAsia="宋体" w:cs="Times New Roman"/>
          <w:color w:val="auto"/>
          <w:sz w:val="21"/>
          <w:szCs w:val="21"/>
          <w:vertAlign w:val="baseline"/>
          <w:lang w:val="en-US" w:eastAsia="zh-CN" w:bidi="ar"/>
        </w:rPr>
        <w:t>（高级别/低级别上皮内瘤变）</w:t>
      </w:r>
      <w:r>
        <w:rPr>
          <w:rStyle w:val="16"/>
          <w:rFonts w:hint="default" w:ascii="Times New Roman" w:hAnsi="Times New Roman" w:eastAsia="宋体" w:cs="Times New Roman"/>
          <w:color w:val="auto"/>
          <w:sz w:val="21"/>
          <w:szCs w:val="21"/>
          <w:vertAlign w:val="baseline"/>
          <w:lang w:val="en-US" w:eastAsia="zh-CN" w:bidi="ar"/>
        </w:rPr>
        <w:t>及癌前疾病</w:t>
      </w:r>
      <w:r>
        <w:rPr>
          <w:rStyle w:val="16"/>
          <w:rFonts w:hint="eastAsia" w:ascii="Times New Roman" w:hAnsi="Times New Roman" w:eastAsia="宋体" w:cs="Times New Roman"/>
          <w:color w:val="auto"/>
          <w:sz w:val="21"/>
          <w:szCs w:val="21"/>
          <w:vertAlign w:val="baseline"/>
          <w:lang w:val="en-US" w:eastAsia="zh-CN" w:bidi="ar"/>
        </w:rPr>
        <w:t>（萎缩性胃炎/肠上皮化生）</w:t>
      </w:r>
      <w:r>
        <w:rPr>
          <w:rStyle w:val="16"/>
          <w:rFonts w:hint="default" w:ascii="Times New Roman" w:hAnsi="Times New Roman" w:eastAsia="宋体" w:cs="Times New Roman"/>
          <w:color w:val="auto"/>
          <w:sz w:val="21"/>
          <w:szCs w:val="21"/>
          <w:vertAlign w:val="baseline"/>
          <w:lang w:val="en-US" w:eastAsia="zh-CN" w:bidi="ar"/>
        </w:rPr>
        <w:t>的独立关联</w:t>
      </w:r>
      <w:r>
        <w:rPr>
          <w:rStyle w:val="16"/>
          <w:rFonts w:hint="default" w:ascii="Times New Roman" w:hAnsi="Times New Roman" w:cs="Times New Roman"/>
          <w:color w:val="auto"/>
          <w:sz w:val="21"/>
          <w:szCs w:val="21"/>
          <w:vertAlign w:val="baseline"/>
          <w:lang w:val="en-US" w:eastAsia="zh-CN" w:bidi="ar"/>
        </w:rPr>
        <w:t>。</w:t>
      </w:r>
      <w:r>
        <w:rPr>
          <w:rStyle w:val="16"/>
          <w:rFonts w:hint="default" w:ascii="Times New Roman" w:hAnsi="Times New Roman" w:cs="Times New Roman"/>
          <w:b/>
          <w:bCs/>
          <w:color w:val="auto"/>
          <w:sz w:val="21"/>
          <w:szCs w:val="21"/>
          <w:vertAlign w:val="baseline"/>
          <w:lang w:bidi="ar"/>
        </w:rPr>
        <w:t>结果</w:t>
      </w:r>
      <w:r>
        <w:rPr>
          <w:rStyle w:val="16"/>
          <w:rFonts w:hint="default" w:ascii="Times New Roman" w:hAnsi="Times New Roman" w:cs="Times New Roman"/>
          <w:color w:val="auto"/>
          <w:sz w:val="21"/>
          <w:szCs w:val="21"/>
          <w:vertAlign w:val="baseline"/>
          <w:lang w:bidi="ar"/>
        </w:rPr>
        <w:t xml:space="preserve">  9243名研究对象中，</w:t>
      </w:r>
      <w:r>
        <w:rPr>
          <w:rStyle w:val="16"/>
          <w:rFonts w:hint="eastAsia" w:ascii="Times New Roman" w:hAnsi="Times New Roman" w:eastAsia="宋体" w:cs="Times New Roman"/>
          <w:color w:val="auto"/>
          <w:sz w:val="21"/>
          <w:szCs w:val="21"/>
          <w:vertAlign w:val="baseline"/>
          <w:lang w:val="en-US" w:eastAsia="zh-CN" w:bidi="ar"/>
        </w:rPr>
        <w:t>经病理确诊的</w:t>
      </w:r>
      <w:r>
        <w:rPr>
          <w:rStyle w:val="16"/>
          <w:rFonts w:hint="default" w:ascii="Times New Roman" w:hAnsi="Times New Roman" w:eastAsia="宋体" w:cs="Times New Roman"/>
          <w:color w:val="auto"/>
          <w:sz w:val="21"/>
          <w:szCs w:val="21"/>
          <w:vertAlign w:val="baseline"/>
          <w:lang w:val="en-US" w:eastAsia="zh-CN" w:bidi="ar"/>
        </w:rPr>
        <w:t>胃癌、癌前病变、癌前疾病患病率分别为</w:t>
      </w:r>
      <w:r>
        <w:rPr>
          <w:rFonts w:hint="default" w:ascii="Times New Roman" w:hAnsi="Times New Roman" w:eastAsia="宋体" w:cs="Times New Roman"/>
          <w:b w:val="0"/>
          <w:bCs w:val="0"/>
          <w:i w:val="0"/>
          <w:iCs w:val="0"/>
          <w:color w:val="auto"/>
          <w:kern w:val="0"/>
          <w:sz w:val="21"/>
          <w:szCs w:val="21"/>
          <w:u w:val="none"/>
          <w:lang w:val="en-US" w:eastAsia="zh-CN" w:bidi="ar"/>
        </w:rPr>
        <w:t>0.48%、1.95%和</w:t>
      </w:r>
      <w:r>
        <w:rPr>
          <w:rFonts w:hint="default" w:ascii="Times New Roman" w:hAnsi="Times New Roman" w:cs="Times New Roman"/>
          <w:color w:val="auto"/>
          <w:sz w:val="21"/>
          <w:szCs w:val="21"/>
          <w:vertAlign w:val="baseline"/>
          <w:lang w:val="en-US" w:eastAsia="zh-CN"/>
        </w:rPr>
        <w:t>36.59%。</w:t>
      </w:r>
      <w:r>
        <w:rPr>
          <w:rStyle w:val="16"/>
          <w:rFonts w:hint="default" w:ascii="Times New Roman" w:hAnsi="Times New Roman" w:cs="Times New Roman"/>
          <w:color w:val="auto"/>
          <w:sz w:val="21"/>
          <w:szCs w:val="21"/>
          <w:vertAlign w:val="baseline"/>
          <w:lang w:bidi="ar"/>
        </w:rPr>
        <w:t>无序多分类logistic回归分析</w:t>
      </w:r>
      <w:r>
        <w:rPr>
          <w:rStyle w:val="16"/>
          <w:rFonts w:hint="default" w:ascii="Times New Roman" w:hAnsi="Times New Roman" w:cs="Times New Roman"/>
          <w:i w:val="0"/>
          <w:iCs w:val="0"/>
          <w:color w:val="auto"/>
          <w:sz w:val="21"/>
          <w:szCs w:val="21"/>
          <w:vertAlign w:val="baseline"/>
          <w:lang w:bidi="ar"/>
        </w:rPr>
        <w:t>结果显示，</w:t>
      </w:r>
      <w:r>
        <w:rPr>
          <w:rStyle w:val="16"/>
          <w:rFonts w:hint="eastAsia" w:ascii="Times New Roman" w:hAnsi="Times New Roman" w:eastAsia="宋体" w:cs="Times New Roman"/>
          <w:i w:val="0"/>
          <w:iCs w:val="0"/>
          <w:color w:val="auto"/>
          <w:sz w:val="21"/>
          <w:szCs w:val="21"/>
          <w:vertAlign w:val="baseline"/>
          <w:lang w:val="en-US" w:eastAsia="zh-CN" w:bidi="ar"/>
        </w:rPr>
        <w:t>在整体人群中，</w:t>
      </w:r>
      <w:r>
        <w:rPr>
          <w:rStyle w:val="16"/>
          <w:rFonts w:hint="default" w:ascii="Times New Roman" w:hAnsi="Times New Roman" w:eastAsia="宋体" w:cs="Times New Roman"/>
          <w:i w:val="0"/>
          <w:iCs w:val="0"/>
          <w:color w:val="auto"/>
          <w:sz w:val="21"/>
          <w:szCs w:val="21"/>
          <w:vertAlign w:val="baseline"/>
          <w:lang w:val="en-US" w:eastAsia="zh-CN" w:bidi="ar"/>
        </w:rPr>
        <w:t>与第一分位数（quartile 1</w:t>
      </w:r>
      <w:r>
        <w:rPr>
          <w:rStyle w:val="16"/>
          <w:rFonts w:hint="eastAsia" w:ascii="Times New Roman" w:hAnsi="Times New Roman" w:eastAsia="宋体" w:cs="Times New Roman"/>
          <w:i w:val="0"/>
          <w:iCs w:val="0"/>
          <w:color w:val="auto"/>
          <w:sz w:val="21"/>
          <w:szCs w:val="21"/>
          <w:vertAlign w:val="baseline"/>
          <w:lang w:val="en-US" w:eastAsia="zh-CN" w:bidi="ar"/>
        </w:rPr>
        <w:t xml:space="preserve">, </w:t>
      </w:r>
      <w:r>
        <w:rPr>
          <w:rStyle w:val="16"/>
          <w:rFonts w:hint="default" w:ascii="Times New Roman" w:hAnsi="Times New Roman" w:eastAsia="宋体" w:cs="Times New Roman"/>
          <w:i w:val="0"/>
          <w:iCs w:val="0"/>
          <w:color w:val="auto"/>
          <w:sz w:val="21"/>
          <w:szCs w:val="21"/>
          <w:vertAlign w:val="baseline"/>
          <w:lang w:val="en-US" w:eastAsia="zh-CN" w:bidi="ar"/>
        </w:rPr>
        <w:t>Q1）相比，</w:t>
      </w:r>
      <w:r>
        <w:rPr>
          <w:rFonts w:hint="default" w:ascii="Times New Roman" w:hAnsi="Times New Roman" w:eastAsia="宋体" w:cs="Times New Roman"/>
          <w:i w:val="0"/>
          <w:iCs w:val="0"/>
          <w:color w:val="auto"/>
          <w:kern w:val="0"/>
          <w:szCs w:val="21"/>
          <w:lang w:val="en-US" w:eastAsia="zh-CN" w:bidi="ar"/>
        </w:rPr>
        <w:t>LAP和CVAI的Q4人群患癌前疾病的风险分别降低13.6%（OR=</w:t>
      </w:r>
      <w:r>
        <w:rPr>
          <w:rFonts w:hint="default" w:ascii="Times New Roman" w:hAnsi="Times New Roman" w:eastAsia="宋体" w:cs="Times New Roman"/>
          <w:i w:val="0"/>
          <w:iCs w:val="0"/>
          <w:color w:val="auto"/>
          <w:kern w:val="0"/>
          <w:sz w:val="22"/>
          <w:szCs w:val="22"/>
          <w:u w:val="none"/>
          <w:lang w:val="en-US" w:eastAsia="zh-CN" w:bidi="ar"/>
        </w:rPr>
        <w:t>0.864</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0.761~0.981</w:t>
      </w:r>
      <w:r>
        <w:rPr>
          <w:rFonts w:hint="default" w:ascii="Times New Roman" w:hAnsi="Times New Roman" w:eastAsia="宋体" w:cs="Times New Roman"/>
          <w:i w:val="0"/>
          <w:iCs w:val="0"/>
          <w:color w:val="auto"/>
          <w:kern w:val="0"/>
          <w:szCs w:val="21"/>
          <w:lang w:val="en-US" w:eastAsia="zh-CN" w:bidi="ar"/>
        </w:rPr>
        <w:t>）和16.1%（OR=</w:t>
      </w:r>
      <w:r>
        <w:rPr>
          <w:rFonts w:hint="default" w:ascii="Times New Roman" w:hAnsi="Times New Roman" w:eastAsia="宋体" w:cs="Times New Roman"/>
          <w:i w:val="0"/>
          <w:iCs w:val="0"/>
          <w:color w:val="auto"/>
          <w:kern w:val="0"/>
          <w:sz w:val="22"/>
          <w:szCs w:val="22"/>
          <w:u w:val="none"/>
          <w:lang w:val="en-US" w:eastAsia="zh-CN" w:bidi="ar"/>
        </w:rPr>
        <w:t>0.839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0.736~0.957</w:t>
      </w:r>
      <w:r>
        <w:rPr>
          <w:rFonts w:hint="default" w:ascii="Times New Roman" w:hAnsi="Times New Roman" w:eastAsia="宋体" w:cs="Times New Roman"/>
          <w:i w:val="0"/>
          <w:iCs w:val="0"/>
          <w:color w:val="auto"/>
          <w:kern w:val="0"/>
          <w:szCs w:val="21"/>
          <w:lang w:val="en-US" w:eastAsia="zh-CN" w:bidi="ar"/>
        </w:rPr>
        <w:t>）</w:t>
      </w:r>
      <w:r>
        <w:rPr>
          <w:rStyle w:val="16"/>
          <w:rFonts w:hint="default" w:ascii="Times New Roman" w:hAnsi="Times New Roman" w:eastAsia="宋体" w:cs="Times New Roman"/>
          <w:i w:val="0"/>
          <w:iCs w:val="0"/>
          <w:color w:val="auto"/>
          <w:sz w:val="21"/>
          <w:szCs w:val="21"/>
          <w:vertAlign w:val="baseline"/>
          <w:lang w:val="en-US" w:eastAsia="zh-CN" w:bidi="ar"/>
        </w:rPr>
        <w:t>。</w:t>
      </w:r>
      <w:r>
        <w:rPr>
          <w:rStyle w:val="16"/>
          <w:rFonts w:hint="eastAsia" w:ascii="Times New Roman" w:hAnsi="Times New Roman" w:eastAsia="宋体" w:cs="Times New Roman"/>
          <w:i w:val="0"/>
          <w:iCs w:val="0"/>
          <w:color w:val="auto"/>
          <w:sz w:val="21"/>
          <w:szCs w:val="21"/>
          <w:vertAlign w:val="baseline"/>
          <w:lang w:val="en-US" w:eastAsia="zh-CN" w:bidi="ar"/>
        </w:rPr>
        <w:t>同时，</w:t>
      </w:r>
      <w:r>
        <w:rPr>
          <w:rFonts w:hint="default" w:ascii="Times New Roman" w:hAnsi="Times New Roman" w:eastAsia="宋体" w:cs="Times New Roman"/>
          <w:i w:val="0"/>
          <w:iCs w:val="0"/>
          <w:color w:val="auto"/>
          <w:kern w:val="0"/>
          <w:sz w:val="22"/>
          <w:szCs w:val="22"/>
          <w:u w:val="none"/>
          <w:lang w:val="en-US" w:eastAsia="zh-CN" w:bidi="ar"/>
        </w:rPr>
        <w:t>LAP、VAI、CVAI和CMI每增加一个标准差</w:t>
      </w:r>
      <w:r>
        <w:rPr>
          <w:rFonts w:hint="eastAsia" w:ascii="Times New Roman" w:hAnsi="Times New Roman" w:eastAsia="宋体" w:cs="Times New Roman"/>
          <w:i w:val="0"/>
          <w:iCs w:val="0"/>
          <w:color w:val="auto"/>
          <w:kern w:val="0"/>
          <w:sz w:val="22"/>
          <w:szCs w:val="22"/>
          <w:u w:val="none"/>
          <w:lang w:val="en-US" w:eastAsia="zh-CN" w:bidi="ar"/>
        </w:rPr>
        <w:t>，癌</w:t>
      </w:r>
      <w:r>
        <w:rPr>
          <w:rFonts w:hint="default" w:ascii="Times New Roman" w:hAnsi="Times New Roman" w:eastAsia="宋体" w:cs="Times New Roman"/>
          <w:i w:val="0"/>
          <w:iCs w:val="0"/>
          <w:color w:val="auto"/>
          <w:kern w:val="0"/>
          <w:sz w:val="22"/>
          <w:szCs w:val="22"/>
          <w:u w:val="none"/>
          <w:lang w:val="en-US" w:eastAsia="zh-CN" w:bidi="ar"/>
        </w:rPr>
        <w:t>前疾病的风险分别降低5.1%（</w:t>
      </w:r>
      <w:r>
        <w:rPr>
          <w:rFonts w:hint="default" w:ascii="Times New Roman" w:hAnsi="Times New Roman" w:eastAsia="宋体" w:cs="Times New Roman"/>
          <w:i w:val="0"/>
          <w:iCs w:val="0"/>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0.949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0.905~0.994）、5.1%（</w:t>
      </w:r>
      <w:r>
        <w:rPr>
          <w:rFonts w:hint="default" w:ascii="Times New Roman" w:hAnsi="Times New Roman" w:eastAsia="宋体" w:cs="Times New Roman"/>
          <w:i w:val="0"/>
          <w:iCs w:val="0"/>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0.949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0.904~0.995）、6.2%</w:t>
      </w:r>
      <w:r>
        <w:rPr>
          <w:rFonts w:hint="eastAsia" w:ascii="Times New Roman" w:hAnsi="Times New Roman" w:eastAsia="宋体" w:cs="Times New Roman"/>
          <w:i w:val="0"/>
          <w:iCs w:val="0"/>
          <w:color w:val="auto"/>
          <w:kern w:val="0"/>
          <w:sz w:val="22"/>
          <w:szCs w:val="22"/>
          <w:u w:val="none"/>
          <w:lang w:val="en-US" w:eastAsia="zh-CN" w:bidi="ar"/>
        </w:rPr>
        <w:t>（</w:t>
      </w:r>
      <w:r>
        <w:rPr>
          <w:rFonts w:hint="default" w:ascii="Times New Roman" w:hAnsi="Times New Roman" w:eastAsia="宋体" w:cs="Times New Roman"/>
          <w:i w:val="0"/>
          <w:iCs w:val="0"/>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0.938</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0.896~0.983）和4.9%（</w:t>
      </w:r>
      <w:r>
        <w:rPr>
          <w:rFonts w:hint="default" w:ascii="Times New Roman" w:hAnsi="Times New Roman" w:eastAsia="宋体" w:cs="Times New Roman"/>
          <w:i w:val="0"/>
          <w:iCs w:val="0"/>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0.951</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0.906~0.998）。</w:t>
      </w:r>
      <w:r>
        <w:rPr>
          <w:rFonts w:hint="eastAsia" w:ascii="Times New Roman" w:hAnsi="Times New Roman" w:eastAsia="宋体" w:cs="Times New Roman"/>
          <w:i w:val="0"/>
          <w:iCs w:val="0"/>
          <w:color w:val="auto"/>
          <w:kern w:val="0"/>
          <w:sz w:val="22"/>
          <w:szCs w:val="22"/>
          <w:u w:val="none"/>
          <w:lang w:val="en-US" w:eastAsia="zh-CN" w:bidi="ar"/>
        </w:rPr>
        <w:t>未发现WTI与胃部疾病存在显著关联（</w:t>
      </w:r>
      <w:r>
        <w:rPr>
          <w:rFonts w:hint="eastAsia" w:ascii="Times New Roman" w:hAnsi="Times New Roman" w:eastAsia="宋体" w:cs="Times New Roman"/>
          <w:i/>
          <w:iCs/>
          <w:color w:val="auto"/>
          <w:kern w:val="0"/>
          <w:sz w:val="22"/>
          <w:szCs w:val="22"/>
          <w:u w:val="none"/>
          <w:lang w:val="en-US" w:eastAsia="zh-CN" w:bidi="ar"/>
        </w:rPr>
        <w:t>P</w:t>
      </w:r>
      <w:r>
        <w:rPr>
          <w:rFonts w:hint="eastAsia" w:ascii="Times New Roman" w:hAnsi="Times New Roman" w:eastAsia="宋体" w:cs="Times New Roman"/>
          <w:i w:val="0"/>
          <w:iCs w:val="0"/>
          <w:color w:val="auto"/>
          <w:kern w:val="0"/>
          <w:sz w:val="22"/>
          <w:szCs w:val="22"/>
          <w:u w:val="none"/>
          <w:lang w:val="en-US" w:eastAsia="zh-CN" w:bidi="ar"/>
        </w:rPr>
        <w:sym w:font="Symbol" w:char="003E"/>
      </w:r>
      <w:r>
        <w:rPr>
          <w:rFonts w:hint="eastAsia" w:ascii="Times New Roman" w:hAnsi="Times New Roman" w:eastAsia="宋体" w:cs="Times New Roman"/>
          <w:i w:val="0"/>
          <w:iCs w:val="0"/>
          <w:color w:val="auto"/>
          <w:kern w:val="0"/>
          <w:sz w:val="22"/>
          <w:szCs w:val="22"/>
          <w:u w:val="none"/>
          <w:lang w:val="en-US" w:eastAsia="zh-CN" w:bidi="ar"/>
        </w:rPr>
        <w:t>0.05）。</w:t>
      </w:r>
      <w:r>
        <w:rPr>
          <w:rFonts w:hint="default" w:ascii="Times New Roman" w:hAnsi="Times New Roman" w:eastAsia="宋体" w:cs="Times New Roman"/>
          <w:i w:val="0"/>
          <w:iCs w:val="0"/>
          <w:color w:val="auto"/>
          <w:kern w:val="0"/>
          <w:sz w:val="22"/>
          <w:szCs w:val="22"/>
          <w:u w:val="none"/>
          <w:lang w:val="en-US" w:eastAsia="zh-CN" w:bidi="ar"/>
        </w:rPr>
        <w:t>然而，与Q1人群相比，</w:t>
      </w:r>
      <w:r>
        <w:rPr>
          <w:rFonts w:hint="default" w:ascii="Times New Roman" w:hAnsi="Times New Roman" w:eastAsia="宋体" w:cs="Times New Roman"/>
          <w:i w:val="0"/>
          <w:iCs w:val="0"/>
          <w:color w:val="auto"/>
          <w:kern w:val="0"/>
          <w:szCs w:val="21"/>
          <w:lang w:val="en-US" w:eastAsia="zh-CN" w:bidi="ar"/>
        </w:rPr>
        <w:t>CMI的Q4人群患胃癌的风险</w:t>
      </w:r>
      <w:r>
        <w:rPr>
          <w:rFonts w:hint="eastAsia" w:ascii="Times New Roman" w:hAnsi="Times New Roman" w:eastAsia="宋体" w:cs="Times New Roman"/>
          <w:i w:val="0"/>
          <w:iCs w:val="0"/>
          <w:color w:val="auto"/>
          <w:kern w:val="0"/>
          <w:szCs w:val="21"/>
          <w:lang w:val="en-US" w:eastAsia="zh-CN" w:bidi="ar"/>
        </w:rPr>
        <w:t>显著升高</w:t>
      </w:r>
      <w:r>
        <w:rPr>
          <w:rFonts w:hint="default" w:ascii="Times New Roman" w:hAnsi="Times New Roman" w:eastAsia="宋体" w:cs="Times New Roman"/>
          <w:i w:val="0"/>
          <w:iCs w:val="0"/>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3.262</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1.133~9.397）。分层分析显示，VAI和CVAI</w:t>
      </w:r>
      <w:r>
        <w:rPr>
          <w:rFonts w:hint="eastAsia" w:ascii="Times New Roman" w:hAnsi="Times New Roman" w:eastAsia="宋体" w:cs="Times New Roman"/>
          <w:i w:val="0"/>
          <w:iCs w:val="0"/>
          <w:color w:val="auto"/>
          <w:kern w:val="0"/>
          <w:sz w:val="22"/>
          <w:szCs w:val="22"/>
          <w:u w:val="none"/>
          <w:lang w:val="en-US" w:eastAsia="zh-CN" w:bidi="ar"/>
        </w:rPr>
        <w:t>仅</w:t>
      </w:r>
      <w:r>
        <w:rPr>
          <w:rFonts w:hint="default" w:ascii="Times New Roman" w:hAnsi="Times New Roman" w:eastAsia="宋体" w:cs="Times New Roman"/>
          <w:i w:val="0"/>
          <w:iCs w:val="0"/>
          <w:color w:val="auto"/>
          <w:kern w:val="0"/>
          <w:sz w:val="22"/>
          <w:szCs w:val="22"/>
          <w:u w:val="none"/>
          <w:lang w:val="en-US" w:eastAsia="zh-CN" w:bidi="ar"/>
        </w:rPr>
        <w:t>是非贲门癌前疾病的</w:t>
      </w:r>
      <w:r>
        <w:rPr>
          <w:rFonts w:hint="eastAsia" w:ascii="Times New Roman" w:hAnsi="Times New Roman" w:eastAsia="宋体" w:cs="Times New Roman"/>
          <w:i w:val="0"/>
          <w:iCs w:val="0"/>
          <w:color w:val="auto"/>
          <w:kern w:val="0"/>
          <w:sz w:val="22"/>
          <w:szCs w:val="22"/>
          <w:u w:val="none"/>
          <w:lang w:val="en-US" w:eastAsia="zh-CN" w:bidi="ar"/>
        </w:rPr>
        <w:t>显著</w:t>
      </w:r>
      <w:r>
        <w:rPr>
          <w:rFonts w:hint="default" w:ascii="Times New Roman" w:hAnsi="Times New Roman" w:eastAsia="宋体" w:cs="Times New Roman"/>
          <w:i w:val="0"/>
          <w:iCs w:val="0"/>
          <w:color w:val="auto"/>
          <w:kern w:val="0"/>
          <w:sz w:val="22"/>
          <w:szCs w:val="22"/>
          <w:u w:val="none"/>
          <w:lang w:val="en-US" w:eastAsia="zh-CN" w:bidi="ar"/>
        </w:rPr>
        <w:t>保护因素（</w:t>
      </w:r>
      <w:r>
        <w:rPr>
          <w:rFonts w:hint="default" w:ascii="Times New Roman" w:hAnsi="Times New Roman" w:eastAsia="宋体" w:cs="Times New Roman"/>
          <w:i/>
          <w:iCs/>
          <w:color w:val="auto"/>
          <w:kern w:val="0"/>
          <w:sz w:val="22"/>
          <w:szCs w:val="22"/>
          <w:u w:val="none"/>
          <w:lang w:val="en-US" w:eastAsia="zh-CN" w:bidi="ar"/>
        </w:rPr>
        <w:t>P</w:t>
      </w:r>
      <w:r>
        <w:rPr>
          <w:rFonts w:hint="eastAsia" w:ascii="Times New Roman" w:hAnsi="Times New Roman" w:eastAsia="宋体" w:cs="Times New Roman"/>
          <w:i w:val="0"/>
          <w:iCs w:val="0"/>
          <w:color w:val="auto"/>
          <w:kern w:val="0"/>
          <w:sz w:val="22"/>
          <w:szCs w:val="22"/>
          <w:u w:val="none"/>
          <w:lang w:val="en-US" w:eastAsia="zh-CN" w:bidi="ar"/>
        </w:rPr>
        <w:t>均</w:t>
      </w:r>
      <w:r>
        <w:rPr>
          <w:rFonts w:hint="default" w:ascii="Times New Roman" w:hAnsi="Times New Roman" w:eastAsia="宋体" w:cs="Times New Roman"/>
          <w:i w:val="0"/>
          <w:iCs w:val="0"/>
          <w:color w:val="auto"/>
          <w:kern w:val="0"/>
          <w:sz w:val="22"/>
          <w:szCs w:val="22"/>
          <w:u w:val="none"/>
          <w:lang w:val="en-US" w:eastAsia="zh-CN" w:bidi="ar"/>
        </w:rPr>
        <w:t>&lt;0.05）。CMI</w:t>
      </w:r>
      <w:r>
        <w:rPr>
          <w:rFonts w:hint="eastAsia" w:ascii="Times New Roman" w:hAnsi="Times New Roman" w:eastAsia="宋体" w:cs="Times New Roman"/>
          <w:i w:val="0"/>
          <w:iCs w:val="0"/>
          <w:color w:val="auto"/>
          <w:kern w:val="0"/>
          <w:sz w:val="22"/>
          <w:szCs w:val="22"/>
          <w:u w:val="none"/>
          <w:lang w:val="en-US" w:eastAsia="zh-CN" w:bidi="ar"/>
        </w:rPr>
        <w:t>仅</w:t>
      </w:r>
      <w:r>
        <w:rPr>
          <w:rFonts w:hint="default" w:ascii="Times New Roman" w:hAnsi="Times New Roman" w:eastAsia="宋体" w:cs="Times New Roman"/>
          <w:i w:val="0"/>
          <w:iCs w:val="0"/>
          <w:color w:val="auto"/>
          <w:kern w:val="0"/>
          <w:sz w:val="22"/>
          <w:szCs w:val="22"/>
          <w:u w:val="none"/>
          <w:lang w:val="en-US" w:eastAsia="zh-CN" w:bidi="ar"/>
        </w:rPr>
        <w:t>是贲门胃癌的</w:t>
      </w:r>
      <w:r>
        <w:rPr>
          <w:rFonts w:hint="eastAsia" w:ascii="Times New Roman" w:hAnsi="Times New Roman" w:eastAsia="宋体" w:cs="Times New Roman"/>
          <w:i w:val="0"/>
          <w:iCs w:val="0"/>
          <w:color w:val="auto"/>
          <w:kern w:val="0"/>
          <w:sz w:val="22"/>
          <w:szCs w:val="22"/>
          <w:u w:val="none"/>
          <w:lang w:val="en-US" w:eastAsia="zh-CN" w:bidi="ar"/>
        </w:rPr>
        <w:t>显著</w:t>
      </w:r>
      <w:r>
        <w:rPr>
          <w:rFonts w:hint="default" w:ascii="Times New Roman" w:hAnsi="Times New Roman" w:eastAsia="宋体" w:cs="Times New Roman"/>
          <w:i w:val="0"/>
          <w:iCs w:val="0"/>
          <w:color w:val="auto"/>
          <w:kern w:val="0"/>
          <w:sz w:val="22"/>
          <w:szCs w:val="22"/>
          <w:u w:val="none"/>
          <w:lang w:val="en-US" w:eastAsia="zh-CN" w:bidi="ar"/>
        </w:rPr>
        <w:t>危险因素（</w:t>
      </w:r>
      <w:r>
        <w:rPr>
          <w:rFonts w:hint="default" w:ascii="Times New Roman" w:hAnsi="Times New Roman" w:eastAsia="宋体" w:cs="Times New Roman"/>
          <w:i/>
          <w:iCs/>
          <w:color w:val="auto"/>
          <w:kern w:val="0"/>
          <w:sz w:val="22"/>
          <w:szCs w:val="22"/>
          <w:u w:val="none"/>
          <w:lang w:val="en-US" w:eastAsia="zh-CN" w:bidi="ar"/>
        </w:rPr>
        <w:t>P</w:t>
      </w:r>
      <w:r>
        <w:rPr>
          <w:rFonts w:hint="default" w:ascii="Times New Roman" w:hAnsi="Times New Roman" w:eastAsia="宋体" w:cs="Times New Roman"/>
          <w:i w:val="0"/>
          <w:iCs w:val="0"/>
          <w:color w:val="auto"/>
          <w:kern w:val="0"/>
          <w:sz w:val="22"/>
          <w:szCs w:val="22"/>
          <w:u w:val="none"/>
          <w:lang w:val="en-US" w:eastAsia="zh-CN" w:bidi="ar"/>
        </w:rPr>
        <w:t>&lt;0.05）。</w:t>
      </w:r>
      <w:r>
        <w:rPr>
          <w:rStyle w:val="16"/>
          <w:rFonts w:hint="default" w:ascii="Times New Roman" w:hAnsi="Times New Roman" w:cs="Times New Roman"/>
          <w:b/>
          <w:bCs/>
          <w:color w:val="auto"/>
          <w:sz w:val="21"/>
          <w:szCs w:val="21"/>
          <w:vertAlign w:val="baseline"/>
          <w:lang w:bidi="ar"/>
        </w:rPr>
        <w:t xml:space="preserve">结论 </w:t>
      </w:r>
      <w:r>
        <w:rPr>
          <w:rStyle w:val="16"/>
          <w:rFonts w:hint="default" w:ascii="Times New Roman" w:hAnsi="Times New Roman" w:cs="Times New Roman"/>
          <w:color w:val="auto"/>
          <w:sz w:val="21"/>
          <w:szCs w:val="21"/>
          <w:vertAlign w:val="baseline"/>
          <w:lang w:bidi="ar"/>
        </w:rPr>
        <w:t xml:space="preserve"> </w:t>
      </w:r>
      <w:r>
        <w:rPr>
          <w:rStyle w:val="16"/>
          <w:rFonts w:hint="eastAsia" w:ascii="Times New Roman" w:hAnsi="Times New Roman" w:eastAsia="宋体" w:cs="Times New Roman"/>
          <w:color w:val="auto"/>
          <w:sz w:val="21"/>
          <w:szCs w:val="21"/>
          <w:vertAlign w:val="baseline"/>
          <w:lang w:val="en-US" w:eastAsia="zh-CN" w:bidi="ar"/>
        </w:rPr>
        <w:t>在扬中市40~69岁筛查人群中，LAP、VAI、CVAI及CMI水平升高与癌前疾病风险降低独立相关，但CMI水平过高会增加胃癌风险，且不同</w:t>
      </w:r>
      <w:r>
        <w:rPr>
          <w:rFonts w:hint="eastAsia" w:ascii="Times New Roman" w:hAnsi="Times New Roman" w:cs="Times New Roman"/>
          <w:color w:val="auto"/>
          <w:szCs w:val="21"/>
          <w:lang w:val="en-US" w:eastAsia="zh-CN"/>
        </w:rPr>
        <w:t>NORI</w:t>
      </w:r>
      <w:r>
        <w:rPr>
          <w:rStyle w:val="16"/>
          <w:rFonts w:hint="eastAsia" w:ascii="Times New Roman" w:hAnsi="Times New Roman" w:eastAsia="宋体" w:cs="Times New Roman"/>
          <w:color w:val="auto"/>
          <w:sz w:val="21"/>
          <w:szCs w:val="21"/>
          <w:vertAlign w:val="baseline"/>
          <w:lang w:val="en-US" w:eastAsia="zh-CN" w:bidi="ar"/>
        </w:rPr>
        <w:t>对胃部疾病的影响存在部位特异性。</w:t>
      </w:r>
    </w:p>
    <w:p w14:paraId="29E438E3">
      <w:pPr>
        <w:spacing w:line="240" w:lineRule="auto"/>
        <w:rPr>
          <w:rFonts w:hint="default" w:ascii="Times New Roman" w:hAnsi="Times New Roman" w:cs="Times New Roman"/>
          <w:color w:val="auto"/>
          <w:szCs w:val="21"/>
        </w:rPr>
      </w:pPr>
      <w:r>
        <w:rPr>
          <w:rStyle w:val="16"/>
          <w:rFonts w:hint="default" w:ascii="Times New Roman" w:hAnsi="Times New Roman" w:cs="Times New Roman"/>
          <w:b/>
          <w:bCs/>
          <w:color w:val="auto"/>
          <w:sz w:val="21"/>
          <w:szCs w:val="21"/>
          <w:vertAlign w:val="baseline"/>
          <w:lang w:bidi="ar"/>
        </w:rPr>
        <w:t>关键词</w:t>
      </w:r>
      <w:r>
        <w:rPr>
          <w:rStyle w:val="16"/>
          <w:rFonts w:hint="default" w:ascii="Times New Roman" w:hAnsi="Times New Roman" w:cs="Times New Roman"/>
          <w:color w:val="auto"/>
          <w:sz w:val="21"/>
          <w:szCs w:val="21"/>
          <w:vertAlign w:val="baseline"/>
          <w:lang w:bidi="ar"/>
        </w:rPr>
        <w:t>：</w:t>
      </w:r>
      <w:r>
        <w:rPr>
          <w:rStyle w:val="16"/>
          <w:rFonts w:hint="default" w:ascii="Times New Roman" w:hAnsi="Times New Roman" w:eastAsia="宋体" w:cs="Times New Roman"/>
          <w:color w:val="auto"/>
          <w:sz w:val="21"/>
          <w:szCs w:val="21"/>
          <w:vertAlign w:val="baseline"/>
          <w:lang w:val="en-US" w:eastAsia="zh-CN" w:bidi="ar"/>
        </w:rPr>
        <w:t>肥胖</w:t>
      </w:r>
      <w:r>
        <w:rPr>
          <w:rStyle w:val="16"/>
          <w:rFonts w:hint="default" w:ascii="Times New Roman" w:hAnsi="Times New Roman" w:cs="Times New Roman"/>
          <w:color w:val="auto"/>
          <w:sz w:val="21"/>
          <w:szCs w:val="21"/>
          <w:vertAlign w:val="baseline"/>
          <w:lang w:bidi="ar"/>
        </w:rPr>
        <w:t>；</w:t>
      </w:r>
      <w:r>
        <w:rPr>
          <w:rStyle w:val="16"/>
          <w:rFonts w:hint="default" w:ascii="Times New Roman" w:hAnsi="Times New Roman" w:eastAsia="宋体" w:cs="Times New Roman"/>
          <w:color w:val="auto"/>
          <w:sz w:val="21"/>
          <w:szCs w:val="21"/>
          <w:vertAlign w:val="baseline"/>
          <w:lang w:val="en-US" w:eastAsia="zh-CN" w:bidi="ar"/>
        </w:rPr>
        <w:t>脂质</w:t>
      </w:r>
      <w:r>
        <w:rPr>
          <w:rStyle w:val="16"/>
          <w:rFonts w:hint="eastAsia" w:ascii="Times New Roman" w:hAnsi="Times New Roman" w:eastAsia="宋体" w:cs="Times New Roman"/>
          <w:color w:val="auto"/>
          <w:sz w:val="21"/>
          <w:szCs w:val="21"/>
          <w:vertAlign w:val="baseline"/>
          <w:lang w:val="en-US" w:eastAsia="zh-CN" w:bidi="ar"/>
        </w:rPr>
        <w:t>相关指标</w:t>
      </w:r>
      <w:r>
        <w:rPr>
          <w:rStyle w:val="16"/>
          <w:rFonts w:hint="default" w:ascii="Times New Roman" w:hAnsi="Times New Roman" w:cs="Times New Roman"/>
          <w:color w:val="auto"/>
          <w:sz w:val="21"/>
          <w:szCs w:val="21"/>
          <w:vertAlign w:val="baseline"/>
          <w:lang w:bidi="ar"/>
        </w:rPr>
        <w:t>；</w:t>
      </w:r>
      <w:r>
        <w:rPr>
          <w:rStyle w:val="16"/>
          <w:rFonts w:hint="default" w:ascii="Times New Roman" w:hAnsi="Times New Roman" w:eastAsia="宋体" w:cs="Times New Roman"/>
          <w:color w:val="auto"/>
          <w:sz w:val="21"/>
          <w:szCs w:val="21"/>
          <w:vertAlign w:val="baseline"/>
          <w:lang w:val="en-US" w:eastAsia="zh-CN" w:bidi="ar"/>
        </w:rPr>
        <w:t>胃部</w:t>
      </w:r>
      <w:r>
        <w:rPr>
          <w:rStyle w:val="16"/>
          <w:rFonts w:hint="default" w:ascii="Times New Roman" w:hAnsi="Times New Roman" w:cs="Times New Roman"/>
          <w:color w:val="auto"/>
          <w:sz w:val="21"/>
          <w:szCs w:val="21"/>
          <w:vertAlign w:val="baseline"/>
          <w:lang w:bidi="ar"/>
        </w:rPr>
        <w:t>；</w:t>
      </w:r>
      <w:r>
        <w:rPr>
          <w:rStyle w:val="16"/>
          <w:rFonts w:hint="default" w:ascii="Times New Roman" w:hAnsi="Times New Roman" w:eastAsia="宋体" w:cs="Times New Roman"/>
          <w:color w:val="auto"/>
          <w:sz w:val="21"/>
          <w:szCs w:val="21"/>
          <w:vertAlign w:val="baseline"/>
          <w:lang w:val="en-US" w:eastAsia="zh-CN" w:bidi="ar"/>
        </w:rPr>
        <w:t>疾病；关联</w:t>
      </w:r>
    </w:p>
    <w:p w14:paraId="23910825">
      <w:pPr>
        <w:numPr>
          <w:ilvl w:val="0"/>
          <w:numId w:val="0"/>
        </w:numPr>
        <w:spacing w:line="240" w:lineRule="auto"/>
        <w:jc w:val="left"/>
        <w:rPr>
          <w:rFonts w:hint="default" w:ascii="Times New Roman" w:hAnsi="Times New Roman" w:cs="Times New Roman"/>
          <w:color w:val="auto"/>
          <w:szCs w:val="21"/>
        </w:rPr>
      </w:pPr>
    </w:p>
    <w:p w14:paraId="1BC80C4B">
      <w:pPr>
        <w:jc w:val="left"/>
        <w:rPr>
          <w:rFonts w:hint="default" w:ascii="Times New Roman" w:hAnsi="Times New Roman" w:cs="Times New Roman"/>
          <w:b/>
          <w:bCs/>
          <w:color w:val="auto"/>
          <w:szCs w:val="21"/>
        </w:rPr>
      </w:pPr>
      <w:r>
        <w:rPr>
          <w:rFonts w:hint="default" w:ascii="Times New Roman" w:hAnsi="Times New Roman" w:cs="Times New Roman"/>
          <w:b/>
          <w:bCs/>
          <w:color w:val="auto"/>
          <w:szCs w:val="21"/>
        </w:rPr>
        <w:t>Analysis on the Association Between Novel Obesity-Related Indices and Gastric Diseases Among Gastroscopy Screening Population in Yangzhong City</w:t>
      </w:r>
    </w:p>
    <w:p w14:paraId="05C72242">
      <w:pPr>
        <w:jc w:val="left"/>
        <w:rPr>
          <w:rFonts w:hint="default" w:ascii="Times New Roman" w:hAnsi="Times New Roman" w:cs="Times New Roman"/>
          <w:b/>
          <w:bCs/>
          <w:color w:val="auto"/>
          <w:szCs w:val="21"/>
        </w:rPr>
      </w:pPr>
    </w:p>
    <w:p w14:paraId="261DD1EB">
      <w:pPr>
        <w:jc w:val="left"/>
        <w:rPr>
          <w:rFonts w:hint="default" w:ascii="Times New Roman" w:hAnsi="Times New Roman" w:cs="Times New Roman" w:eastAsiaTheme="minorEastAsia"/>
          <w:color w:val="auto"/>
          <w:szCs w:val="21"/>
          <w:lang w:val="en-US" w:eastAsia="zh-CN"/>
        </w:rPr>
      </w:pPr>
      <w:r>
        <w:rPr>
          <w:rFonts w:hint="default" w:ascii="Times New Roman" w:hAnsi="Times New Roman" w:cs="Times New Roman"/>
          <w:color w:val="auto"/>
          <w:szCs w:val="21"/>
          <w:lang w:val="en-US" w:eastAsia="zh-CN"/>
        </w:rPr>
        <w:t>YAO</w:t>
      </w:r>
      <w:r>
        <w:rPr>
          <w:rFonts w:hint="default" w:ascii="Times New Roman" w:hAnsi="Times New Roman" w:cs="Times New Roman"/>
          <w:color w:val="auto"/>
          <w:szCs w:val="21"/>
        </w:rPr>
        <w:t xml:space="preserve"> </w:t>
      </w:r>
      <w:r>
        <w:rPr>
          <w:rFonts w:hint="default" w:ascii="Times New Roman" w:hAnsi="Times New Roman" w:cs="Times New Roman"/>
          <w:color w:val="auto"/>
          <w:szCs w:val="21"/>
          <w:lang w:val="en-US" w:eastAsia="zh-CN"/>
        </w:rPr>
        <w:t>Le</w:t>
      </w:r>
      <w:r>
        <w:rPr>
          <w:rFonts w:hint="default" w:ascii="Times New Roman" w:hAnsi="Times New Roman" w:cs="Times New Roman"/>
          <w:color w:val="auto"/>
          <w:szCs w:val="21"/>
        </w:rPr>
        <w:t>i</w:t>
      </w:r>
      <w:r>
        <w:rPr>
          <w:rFonts w:hint="default" w:ascii="Times New Roman" w:hAnsi="Times New Roman" w:cs="Times New Roman"/>
          <w:color w:val="auto"/>
          <w:szCs w:val="21"/>
          <w:vertAlign w:val="superscript"/>
          <w:lang w:val="en-US" w:eastAsia="zh-CN"/>
        </w:rPr>
        <w:t>1,2</w:t>
      </w:r>
      <w:r>
        <w:rPr>
          <w:rFonts w:hint="default" w:ascii="Times New Roman" w:hAnsi="Times New Roman" w:cs="Times New Roman"/>
          <w:color w:val="auto"/>
          <w:szCs w:val="21"/>
        </w:rPr>
        <w:t xml:space="preserve">, </w:t>
      </w:r>
      <w:r>
        <w:rPr>
          <w:rFonts w:hint="default" w:ascii="Times New Roman" w:hAnsi="Times New Roman" w:cs="Times New Roman"/>
          <w:color w:val="auto"/>
          <w:szCs w:val="21"/>
          <w:lang w:val="en-US" w:eastAsia="zh-CN"/>
        </w:rPr>
        <w:t>ZHANG Ye</w:t>
      </w:r>
      <w:r>
        <w:rPr>
          <w:rFonts w:hint="eastAsia" w:ascii="Times New Roman" w:hAnsi="Times New Roman" w:cs="Times New Roman"/>
          <w:color w:val="auto"/>
          <w:szCs w:val="21"/>
          <w:vertAlign w:val="superscript"/>
          <w:lang w:val="en-US" w:eastAsia="zh-CN"/>
        </w:rPr>
        <w:t>1</w:t>
      </w:r>
      <w:r>
        <w:rPr>
          <w:rFonts w:hint="default" w:ascii="Times New Roman" w:hAnsi="Times New Roman" w:cs="Times New Roman"/>
          <w:color w:val="auto"/>
          <w:szCs w:val="21"/>
          <w:vertAlign w:val="superscript"/>
          <w:lang w:val="en-US" w:eastAsia="zh-CN"/>
        </w:rPr>
        <w:t>,3</w:t>
      </w:r>
      <w:r>
        <w:rPr>
          <w:rFonts w:hint="default" w:ascii="Times New Roman" w:hAnsi="Times New Roman" w:cs="Times New Roman"/>
          <w:color w:val="auto"/>
          <w:szCs w:val="21"/>
          <w:lang w:val="en-US" w:eastAsia="zh-CN"/>
        </w:rPr>
        <w:t>, FENG Xiang</w:t>
      </w:r>
      <w:r>
        <w:rPr>
          <w:rFonts w:hint="eastAsia" w:ascii="Times New Roman" w:hAnsi="Times New Roman" w:cs="Times New Roman"/>
          <w:color w:val="auto"/>
          <w:szCs w:val="21"/>
          <w:vertAlign w:val="superscript"/>
          <w:lang w:val="en-US" w:eastAsia="zh-CN"/>
        </w:rPr>
        <w:t>1</w:t>
      </w:r>
      <w:r>
        <w:rPr>
          <w:rFonts w:hint="default" w:ascii="Times New Roman" w:hAnsi="Times New Roman" w:cs="Times New Roman"/>
          <w:color w:val="auto"/>
          <w:szCs w:val="21"/>
          <w:vertAlign w:val="superscript"/>
          <w:lang w:val="en-US" w:eastAsia="zh-CN"/>
        </w:rPr>
        <w:t>,3</w:t>
      </w:r>
      <w:r>
        <w:rPr>
          <w:rFonts w:hint="default" w:ascii="Times New Roman" w:hAnsi="Times New Roman" w:cs="Times New Roman"/>
          <w:color w:val="auto"/>
          <w:szCs w:val="21"/>
          <w:lang w:val="en-US" w:eastAsia="zh-CN"/>
        </w:rPr>
        <w:t xml:space="preserve">, </w:t>
      </w:r>
      <w:r>
        <w:rPr>
          <w:rFonts w:hint="default" w:ascii="Times New Roman" w:hAnsi="Times New Roman" w:cs="Times New Roman"/>
          <w:color w:val="auto"/>
          <w:szCs w:val="21"/>
        </w:rPr>
        <w:t>ZHU Jin-hua</w:t>
      </w:r>
      <w:r>
        <w:rPr>
          <w:rFonts w:hint="default" w:ascii="Times New Roman" w:hAnsi="Times New Roman" w:cs="Times New Roman"/>
          <w:color w:val="auto"/>
          <w:szCs w:val="21"/>
          <w:vertAlign w:val="superscript"/>
          <w:lang w:val="en-US" w:eastAsia="zh-CN"/>
        </w:rPr>
        <w:t>1,2,3</w:t>
      </w:r>
      <w:r>
        <w:rPr>
          <w:rFonts w:hint="default" w:ascii="Times New Roman" w:hAnsi="Times New Roman" w:cs="Times New Roman"/>
          <w:color w:val="auto"/>
          <w:szCs w:val="21"/>
        </w:rPr>
        <w:t>, HUA Zhao-lai</w:t>
      </w:r>
      <w:r>
        <w:rPr>
          <w:rFonts w:hint="eastAsia" w:ascii="Times New Roman" w:hAnsi="Times New Roman" w:cs="Times New Roman"/>
          <w:color w:val="auto"/>
          <w:szCs w:val="21"/>
          <w:vertAlign w:val="superscript"/>
          <w:lang w:val="en-US" w:eastAsia="zh-CN"/>
        </w:rPr>
        <w:t>1,</w:t>
      </w:r>
      <w:r>
        <w:rPr>
          <w:rFonts w:hint="default" w:ascii="Times New Roman" w:hAnsi="Times New Roman" w:cs="Times New Roman"/>
          <w:color w:val="auto"/>
          <w:szCs w:val="21"/>
          <w:vertAlign w:val="superscript"/>
          <w:lang w:val="en-US" w:eastAsia="zh-CN"/>
        </w:rPr>
        <w:t>2,3</w:t>
      </w:r>
      <w:r>
        <w:rPr>
          <w:rFonts w:hint="default" w:ascii="Times New Roman" w:hAnsi="Times New Roman" w:cs="Times New Roman"/>
          <w:color w:val="auto"/>
          <w:szCs w:val="21"/>
        </w:rPr>
        <w:t xml:space="preserve">, </w:t>
      </w:r>
      <w:r>
        <w:rPr>
          <w:rFonts w:hint="default" w:ascii="Times New Roman" w:hAnsi="Times New Roman" w:cs="Times New Roman"/>
          <w:color w:val="auto"/>
          <w:szCs w:val="21"/>
          <w:lang w:val="en-US" w:eastAsia="zh-CN"/>
        </w:rPr>
        <w:t>DAI Chun</w:t>
      </w:r>
      <w:r>
        <w:rPr>
          <w:rFonts w:hint="eastAsia" w:ascii="Times New Roman" w:hAnsi="Times New Roman" w:cs="Times New Roman"/>
          <w:color w:val="auto"/>
          <w:szCs w:val="21"/>
          <w:vertAlign w:val="superscript"/>
          <w:lang w:val="en-US" w:eastAsia="zh-CN"/>
        </w:rPr>
        <w:t>1</w:t>
      </w:r>
      <w:r>
        <w:rPr>
          <w:rFonts w:hint="default" w:ascii="Times New Roman" w:hAnsi="Times New Roman" w:cs="Times New Roman"/>
          <w:color w:val="auto"/>
          <w:szCs w:val="21"/>
          <w:vertAlign w:val="superscript"/>
          <w:lang w:val="en-US" w:eastAsia="zh-CN"/>
        </w:rPr>
        <w:t>,3</w:t>
      </w:r>
    </w:p>
    <w:p w14:paraId="577879A3">
      <w:pPr>
        <w:numPr>
          <w:ilvl w:val="-1"/>
          <w:numId w:val="0"/>
        </w:numPr>
        <w:jc w:val="left"/>
        <w:rPr>
          <w:rFonts w:hint="default" w:ascii="Times New Roman" w:hAnsi="Times New Roman" w:cs="Times New Roman"/>
          <w:i w:val="0"/>
          <w:iCs w:val="0"/>
          <w:color w:val="auto"/>
          <w:szCs w:val="21"/>
        </w:rPr>
      </w:pPr>
      <w:r>
        <w:rPr>
          <w:rFonts w:hint="eastAsia" w:ascii="Times New Roman" w:hAnsi="Times New Roman" w:cs="Times New Roman"/>
          <w:i w:val="0"/>
          <w:iCs w:val="0"/>
          <w:color w:val="auto"/>
          <w:szCs w:val="21"/>
          <w:lang w:val="en-US" w:eastAsia="zh-CN"/>
        </w:rPr>
        <w:t xml:space="preserve">(1. </w:t>
      </w:r>
      <w:r>
        <w:rPr>
          <w:rFonts w:hint="default" w:ascii="Times New Roman" w:hAnsi="Times New Roman" w:cs="Times New Roman"/>
          <w:i w:val="0"/>
          <w:iCs w:val="0"/>
          <w:color w:val="auto"/>
          <w:szCs w:val="21"/>
        </w:rPr>
        <w:t>Yangzhong People's Hospital, Yang</w:t>
      </w:r>
      <w:r>
        <w:rPr>
          <w:rFonts w:hint="default" w:ascii="Times New Roman" w:hAnsi="Times New Roman" w:cs="Times New Roman"/>
          <w:i w:val="0"/>
          <w:iCs w:val="0"/>
          <w:color w:val="auto"/>
          <w:szCs w:val="21"/>
          <w:lang w:val="en-US" w:eastAsia="zh-CN"/>
        </w:rPr>
        <w:t>zhong</w:t>
      </w:r>
      <w:r>
        <w:rPr>
          <w:rFonts w:hint="default" w:ascii="Times New Roman" w:hAnsi="Times New Roman" w:cs="Times New Roman"/>
          <w:i w:val="0"/>
          <w:iCs w:val="0"/>
          <w:color w:val="auto"/>
          <w:szCs w:val="21"/>
        </w:rPr>
        <w:t xml:space="preserve"> </w:t>
      </w:r>
      <w:r>
        <w:rPr>
          <w:rFonts w:hint="default" w:ascii="Times New Roman" w:hAnsi="Times New Roman" w:cs="Times New Roman"/>
          <w:i w:val="0"/>
          <w:iCs w:val="0"/>
          <w:color w:val="auto"/>
          <w:szCs w:val="21"/>
          <w:lang w:val="en-US" w:eastAsia="zh-CN"/>
        </w:rPr>
        <w:t>212200</w:t>
      </w:r>
      <w:r>
        <w:rPr>
          <w:rFonts w:hint="default" w:ascii="Times New Roman" w:hAnsi="Times New Roman" w:cs="Times New Roman"/>
          <w:i w:val="0"/>
          <w:iCs w:val="0"/>
          <w:color w:val="auto"/>
          <w:szCs w:val="21"/>
        </w:rPr>
        <w:t>, China</w:t>
      </w:r>
      <w:r>
        <w:rPr>
          <w:rFonts w:hint="default" w:ascii="Times New Roman" w:hAnsi="Times New Roman" w:cs="Times New Roman"/>
          <w:i w:val="0"/>
          <w:iCs w:val="0"/>
          <w:color w:val="auto"/>
          <w:szCs w:val="21"/>
          <w:lang w:val="en-US" w:eastAsia="zh-CN"/>
        </w:rPr>
        <w:t xml:space="preserve">; 2. Medical College, Yangzhou University, Yangzhou 225009, China; 3. Yangzhong Cancer Prevention and </w:t>
      </w:r>
      <w:r>
        <w:rPr>
          <w:rFonts w:hint="eastAsia" w:ascii="Times New Roman" w:hAnsi="Times New Roman" w:cs="Times New Roman"/>
          <w:i w:val="0"/>
          <w:iCs w:val="0"/>
          <w:color w:val="auto"/>
          <w:szCs w:val="21"/>
          <w:lang w:val="en-US" w:eastAsia="zh-CN"/>
        </w:rPr>
        <w:t>Control</w:t>
      </w:r>
      <w:r>
        <w:rPr>
          <w:rFonts w:hint="default" w:ascii="Times New Roman" w:hAnsi="Times New Roman" w:cs="Times New Roman"/>
          <w:i w:val="0"/>
          <w:iCs w:val="0"/>
          <w:color w:val="auto"/>
          <w:szCs w:val="21"/>
          <w:lang w:val="en-US" w:eastAsia="zh-CN"/>
        </w:rPr>
        <w:t xml:space="preserve"> Institute, Yangzhong 212200, China)</w:t>
      </w:r>
    </w:p>
    <w:p w14:paraId="24CACBA5">
      <w:pPr>
        <w:jc w:val="center"/>
        <w:rPr>
          <w:rFonts w:hint="default" w:ascii="Times New Roman" w:hAnsi="Times New Roman" w:cs="Times New Roman"/>
          <w:i/>
          <w:iCs/>
          <w:color w:val="auto"/>
          <w:szCs w:val="21"/>
        </w:rPr>
      </w:pPr>
    </w:p>
    <w:p w14:paraId="75734E7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szCs w:val="21"/>
        </w:rPr>
      </w:pPr>
      <w:r>
        <w:rPr>
          <w:rFonts w:hint="default" w:ascii="Times New Roman" w:hAnsi="Times New Roman" w:cs="Times New Roman"/>
          <w:b/>
          <w:bCs/>
          <w:color w:val="auto"/>
          <w:szCs w:val="21"/>
        </w:rPr>
        <w:t xml:space="preserve">Abstract: </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b w:val="0"/>
          <w:bCs w:val="0"/>
          <w:color w:val="auto"/>
          <w:szCs w:val="21"/>
        </w:rPr>
        <w:t>Objective</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color w:val="auto"/>
          <w:szCs w:val="21"/>
        </w:rPr>
        <w:t xml:space="preserve"> To analyze the association between five novel obesity-related indic</w:t>
      </w:r>
      <w:r>
        <w:rPr>
          <w:rFonts w:hint="eastAsia" w:ascii="Times New Roman" w:hAnsi="Times New Roman" w:cs="Times New Roman"/>
          <w:color w:val="auto"/>
          <w:szCs w:val="21"/>
          <w:lang w:val="en-US" w:eastAsia="zh-CN"/>
        </w:rPr>
        <w:t>e</w:t>
      </w:r>
      <w:r>
        <w:rPr>
          <w:rFonts w:hint="default" w:ascii="Times New Roman" w:hAnsi="Times New Roman" w:cs="Times New Roman"/>
          <w:color w:val="auto"/>
          <w:szCs w:val="21"/>
        </w:rPr>
        <w:t>s (NORI) and gastric diseases.</w:t>
      </w:r>
      <w:r>
        <w:rPr>
          <w:rFonts w:hint="default" w:ascii="Times New Roman" w:hAnsi="Times New Roman" w:cs="Times New Roman"/>
          <w:b w:val="0"/>
          <w:bCs w:val="0"/>
          <w:color w:val="auto"/>
          <w:szCs w:val="21"/>
        </w:rPr>
        <w:t xml:space="preserve"> </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b w:val="0"/>
          <w:bCs w:val="0"/>
          <w:color w:val="auto"/>
          <w:szCs w:val="21"/>
        </w:rPr>
        <w:t>Methods</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b w:val="0"/>
          <w:bCs w:val="0"/>
          <w:color w:val="auto"/>
          <w:szCs w:val="21"/>
        </w:rPr>
        <w:t xml:space="preserve"> </w:t>
      </w:r>
      <w:r>
        <w:rPr>
          <w:rFonts w:hint="default" w:ascii="Times New Roman" w:hAnsi="Times New Roman" w:cs="Times New Roman"/>
          <w:color w:val="auto"/>
          <w:szCs w:val="21"/>
        </w:rPr>
        <w:t>Based on baseline data from population-based screening for upper gastrointestinal cancer and the esophageal cancer-specific cohort, this study employed a multinomial logistic regression model to investigate the independent associations between lipid accumulation product (LAP), visceral adiposity index (VAI), Chinese visceral adiposity index (CVAI), waist triglyceride index (WTI), and cardiometabolic index (CMI) and gastric cancer, precancerous lesions (</w:t>
      </w:r>
      <w:r>
        <w:rPr>
          <w:rFonts w:hint="eastAsia" w:ascii="Times New Roman" w:hAnsi="Times New Roman" w:cs="Times New Roman"/>
          <w:color w:val="auto"/>
          <w:szCs w:val="21"/>
          <w:lang w:val="en-US" w:eastAsia="zh-CN"/>
        </w:rPr>
        <w:t>h</w:t>
      </w:r>
      <w:r>
        <w:rPr>
          <w:rFonts w:hint="default" w:ascii="Times New Roman" w:hAnsi="Times New Roman" w:cs="Times New Roman"/>
          <w:color w:val="auto"/>
          <w:szCs w:val="21"/>
        </w:rPr>
        <w:t xml:space="preserve">igh-grade/low-grade intraepithelial neoplasia), and precancerous diseases (atrophic </w:t>
      </w:r>
      <w:r>
        <w:rPr>
          <w:rFonts w:hint="eastAsia" w:ascii="Times New Roman" w:hAnsi="Times New Roman" w:cs="Times New Roman"/>
          <w:color w:val="auto"/>
          <w:szCs w:val="21"/>
          <w:lang w:eastAsia="zh-CN"/>
        </w:rPr>
        <w:t>gastritis/</w:t>
      </w:r>
      <w:r>
        <w:rPr>
          <w:rFonts w:hint="default" w:ascii="Times New Roman" w:hAnsi="Times New Roman" w:cs="Times New Roman"/>
          <w:color w:val="auto"/>
          <w:szCs w:val="21"/>
        </w:rPr>
        <w:t>intestinal metaplasia).</w:t>
      </w:r>
      <w:r>
        <w:rPr>
          <w:rFonts w:hint="default" w:ascii="Times New Roman" w:hAnsi="Times New Roman" w:cs="Times New Roman"/>
          <w:b w:val="0"/>
          <w:bCs w:val="0"/>
          <w:color w:val="auto"/>
          <w:szCs w:val="21"/>
        </w:rPr>
        <w:t xml:space="preserve"> </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b w:val="0"/>
          <w:bCs w:val="0"/>
          <w:color w:val="auto"/>
          <w:szCs w:val="21"/>
        </w:rPr>
        <w:t>Results</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b w:val="0"/>
          <w:bCs w:val="0"/>
          <w:color w:val="auto"/>
          <w:szCs w:val="21"/>
        </w:rPr>
        <w:t xml:space="preserve"> </w:t>
      </w:r>
      <w:r>
        <w:rPr>
          <w:rFonts w:hint="default" w:ascii="Times New Roman" w:hAnsi="Times New Roman" w:cs="Times New Roman"/>
          <w:color w:val="auto"/>
          <w:szCs w:val="21"/>
        </w:rPr>
        <w:t xml:space="preserve">Among 9,243 study participants, the prevalence rates of histopathologically confirmed gastric cancer, precancerous lesions, and precancerous diseases were 0.48%, 1.95%, and 36.59%, respectively. Results of the multinomial logistic regression analysis showed that, </w:t>
      </w:r>
      <w:r>
        <w:rPr>
          <w:rFonts w:hint="eastAsia" w:ascii="Times New Roman" w:hAnsi="Times New Roman" w:cs="Times New Roman"/>
          <w:color w:val="auto"/>
          <w:szCs w:val="21"/>
          <w:lang w:val="en-US" w:eastAsia="zh-CN"/>
        </w:rPr>
        <w:t xml:space="preserve">in the overall population, </w:t>
      </w:r>
      <w:r>
        <w:rPr>
          <w:rFonts w:hint="default" w:ascii="Times New Roman" w:hAnsi="Times New Roman" w:cs="Times New Roman"/>
          <w:color w:val="auto"/>
          <w:szCs w:val="21"/>
        </w:rPr>
        <w:t xml:space="preserve">compared with the first quartile (Q1), individuals in the Q4 group of LAP and CVAI had a 13.6% </w:t>
      </w:r>
      <w:r>
        <w:rPr>
          <w:rFonts w:hint="default" w:ascii="Times New Roman" w:hAnsi="Times New Roman" w:cs="Times New Roman"/>
          <w:i w:val="0"/>
          <w:iCs w:val="0"/>
          <w:color w:val="auto"/>
          <w:szCs w:val="21"/>
        </w:rPr>
        <w:t>(OR=0.864, 95%CI: 0.761–0.981) and 16.1% (OR=0.839, 95%CI: 0.736–0.957) reduction in the risk of precancerous diseases, respectively. For each one-standard-deviation increase in LAP, VAI, CVAI and CMI, the risk of precancerous diseases decreased by 5.1% (OR=0.949, 95%CI: 0.905–0.994), 5.1% (OR=0.949, 95%CI: 0.904–0.995), 6.2% (OR=0.938, 95%CI: 0.896–0.983) and 4.9% (OR=0.951, 95%CI: 0.906–0.998), respectively.</w:t>
      </w:r>
      <w:r>
        <w:rPr>
          <w:rFonts w:hint="default" w:ascii="Times New Roman" w:hAnsi="Times New Roman" w:cs="Times New Roman"/>
          <w:i w:val="0"/>
          <w:iCs w:val="0"/>
          <w:color w:val="auto"/>
          <w:szCs w:val="21"/>
          <w:lang w:val="en-US" w:eastAsia="zh-CN"/>
        </w:rPr>
        <w:t xml:space="preserve"> No significant association was found between WTI and gastric diseases (</w:t>
      </w:r>
      <w:r>
        <w:rPr>
          <w:rFonts w:hint="default" w:ascii="Times New Roman" w:hAnsi="Times New Roman" w:cs="Times New Roman"/>
          <w:i/>
          <w:iCs/>
          <w:color w:val="auto"/>
          <w:szCs w:val="21"/>
          <w:lang w:val="en-US" w:eastAsia="zh-CN"/>
        </w:rPr>
        <w:t>P</w:t>
      </w:r>
      <w:r>
        <w:rPr>
          <w:rFonts w:hint="default" w:ascii="Times New Roman" w:hAnsi="Times New Roman" w:cs="Times New Roman"/>
          <w:i w:val="0"/>
          <w:iCs w:val="0"/>
          <w:color w:val="auto"/>
          <w:szCs w:val="21"/>
          <w:lang w:val="en-US" w:eastAsia="zh-CN"/>
        </w:rPr>
        <w:t>&gt;0.05).</w:t>
      </w:r>
      <w:r>
        <w:rPr>
          <w:rFonts w:hint="eastAsia" w:ascii="Times New Roman" w:hAnsi="Times New Roman" w:cs="Times New Roman"/>
          <w:i w:val="0"/>
          <w:iCs w:val="0"/>
          <w:color w:val="auto"/>
          <w:szCs w:val="21"/>
          <w:lang w:val="en-US" w:eastAsia="zh-CN"/>
        </w:rPr>
        <w:t xml:space="preserve"> </w:t>
      </w:r>
      <w:r>
        <w:rPr>
          <w:rFonts w:hint="default" w:ascii="Times New Roman" w:hAnsi="Times New Roman" w:cs="Times New Roman"/>
          <w:i w:val="0"/>
          <w:iCs w:val="0"/>
          <w:color w:val="auto"/>
          <w:szCs w:val="21"/>
          <w:lang w:val="en-US" w:eastAsia="zh-CN"/>
        </w:rPr>
        <w:t>However, compared with the Q1 population, the Q4 population in CMI showed a significantly higher risk of gastric cancer</w:t>
      </w:r>
      <w:r>
        <w:rPr>
          <w:rFonts w:hint="default" w:ascii="Times New Roman" w:hAnsi="Times New Roman" w:cs="Times New Roman"/>
          <w:i w:val="0"/>
          <w:iCs w:val="0"/>
          <w:color w:val="auto"/>
          <w:szCs w:val="21"/>
        </w:rPr>
        <w:t xml:space="preserve"> (OR=3.262, 95%CI: 1.133–9.397). </w:t>
      </w:r>
      <w:r>
        <w:rPr>
          <w:rFonts w:hint="default" w:ascii="Times New Roman" w:hAnsi="Times New Roman" w:cs="Times New Roman"/>
          <w:i w:val="0"/>
          <w:iCs w:val="0"/>
          <w:color w:val="auto"/>
          <w:szCs w:val="21"/>
          <w:lang w:val="en-US" w:eastAsia="zh-CN"/>
        </w:rPr>
        <w:t>Stratified analysis showed that VAI and CV</w:t>
      </w:r>
      <w:r>
        <w:rPr>
          <w:rFonts w:hint="default" w:ascii="Times New Roman" w:hAnsi="Times New Roman" w:cs="Times New Roman"/>
          <w:color w:val="auto"/>
          <w:szCs w:val="21"/>
          <w:lang w:val="en-US" w:eastAsia="zh-CN"/>
        </w:rPr>
        <w:t>AI were significant</w:t>
      </w:r>
      <w:r>
        <w:rPr>
          <w:rFonts w:hint="eastAsia" w:ascii="Times New Roman" w:hAnsi="Times New Roman" w:cs="Times New Roman"/>
          <w:color w:val="auto"/>
          <w:szCs w:val="21"/>
          <w:lang w:val="en-US" w:eastAsia="zh-CN"/>
        </w:rPr>
        <w:t xml:space="preserve"> </w:t>
      </w:r>
      <w:r>
        <w:rPr>
          <w:rFonts w:hint="default" w:ascii="Times New Roman" w:hAnsi="Times New Roman" w:cs="Times New Roman"/>
          <w:color w:val="auto"/>
          <w:szCs w:val="21"/>
          <w:lang w:val="en-US" w:eastAsia="zh-CN"/>
        </w:rPr>
        <w:t>protective factors against non-cardia gastric precancerous diseases (</w:t>
      </w:r>
      <w:r>
        <w:rPr>
          <w:rFonts w:hint="eastAsia" w:ascii="Times New Roman" w:hAnsi="Times New Roman" w:cs="Times New Roman"/>
          <w:color w:val="auto"/>
          <w:szCs w:val="21"/>
          <w:lang w:val="en-US" w:eastAsia="zh-CN"/>
        </w:rPr>
        <w:t xml:space="preserve">all </w:t>
      </w:r>
      <w:r>
        <w:rPr>
          <w:rFonts w:hint="default" w:ascii="Times New Roman" w:hAnsi="Times New Roman" w:cs="Times New Roman"/>
          <w:i/>
          <w:iCs/>
          <w:color w:val="auto"/>
          <w:szCs w:val="21"/>
          <w:lang w:val="en-US" w:eastAsia="zh-CN"/>
        </w:rPr>
        <w:t>P</w:t>
      </w:r>
      <w:r>
        <w:rPr>
          <w:rFonts w:hint="default" w:ascii="Times New Roman" w:hAnsi="Times New Roman" w:cs="Times New Roman"/>
          <w:color w:val="auto"/>
          <w:szCs w:val="21"/>
          <w:lang w:val="en-US" w:eastAsia="zh-CN"/>
        </w:rPr>
        <w:t>&lt;0.05). In contrast, CMI was a significant risk factor for cardia gastric cancer (</w:t>
      </w:r>
      <w:r>
        <w:rPr>
          <w:rFonts w:hint="default" w:ascii="Times New Roman" w:hAnsi="Times New Roman" w:cs="Times New Roman"/>
          <w:i/>
          <w:iCs/>
          <w:color w:val="auto"/>
          <w:szCs w:val="21"/>
          <w:lang w:val="en-US" w:eastAsia="zh-CN"/>
        </w:rPr>
        <w:t>P</w:t>
      </w:r>
      <w:r>
        <w:rPr>
          <w:rFonts w:hint="default" w:ascii="Times New Roman" w:hAnsi="Times New Roman" w:cs="Times New Roman"/>
          <w:color w:val="auto"/>
          <w:szCs w:val="21"/>
          <w:lang w:val="en-US" w:eastAsia="zh-CN"/>
        </w:rPr>
        <w:t xml:space="preserve">&lt;0.05). </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b w:val="0"/>
          <w:bCs w:val="0"/>
          <w:color w:val="auto"/>
          <w:szCs w:val="21"/>
        </w:rPr>
        <w:t>Conclusions</w:t>
      </w:r>
      <w:r>
        <w:rPr>
          <w:rFonts w:hint="default" w:ascii="Times New Roman" w:hAnsi="Times New Roman" w:cs="Times New Roman"/>
          <w:b w:val="0"/>
          <w:bCs w:val="0"/>
          <w:color w:val="auto"/>
          <w:szCs w:val="21"/>
          <w:lang w:val="en-US" w:eastAsia="zh-CN"/>
        </w:rPr>
        <w:t>]</w:t>
      </w:r>
      <w:r>
        <w:rPr>
          <w:rFonts w:hint="default" w:ascii="Times New Roman" w:hAnsi="Times New Roman" w:cs="Times New Roman"/>
          <w:color w:val="auto"/>
          <w:szCs w:val="21"/>
        </w:rPr>
        <w:t xml:space="preserve"> Among the screened participants aged 40–69 years in Yangzhong City, elevated levels of LAP, VAI, CVAI, and CMI were independently associated with a decreased risk of precancerous diseases; however, markedly elevated CMI levels are associated with an increased risk of gastric cancer. Furthermore, different NORIs exert site-specific effects on gastric diseases.</w:t>
      </w:r>
    </w:p>
    <w:p w14:paraId="5FF1EDB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sz w:val="44"/>
          <w:szCs w:val="44"/>
          <w:lang w:val="en-US" w:eastAsia="zh-CN"/>
        </w:rPr>
      </w:pPr>
      <w:r>
        <w:rPr>
          <w:rFonts w:hint="default" w:ascii="Times New Roman" w:hAnsi="Times New Roman" w:cs="Times New Roman"/>
          <w:b/>
          <w:bCs/>
          <w:color w:val="auto"/>
          <w:szCs w:val="21"/>
        </w:rPr>
        <w:t>Keywords</w:t>
      </w:r>
      <w:r>
        <w:rPr>
          <w:rFonts w:hint="default" w:ascii="Times New Roman" w:hAnsi="Times New Roman" w:cs="Times New Roman"/>
          <w:color w:val="auto"/>
          <w:szCs w:val="21"/>
        </w:rPr>
        <w:t>: Obesity; Lipid-related Indicators; Stomach; Diseases; Association</w:t>
      </w:r>
    </w:p>
    <w:p w14:paraId="339DAB0D">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eastAsiaTheme="minorEastAsia"/>
          <w:b w:val="0"/>
          <w:i w:val="0"/>
          <w:strike w:val="0"/>
          <w:color w:val="auto"/>
          <w:kern w:val="2"/>
          <w:sz w:val="21"/>
          <w:szCs w:val="21"/>
          <w:u w:val="none"/>
          <w:lang w:val="en-US" w:eastAsia="zh-CN" w:bidi="ar-SA"/>
        </w:rPr>
      </w:pPr>
      <w:r>
        <w:rPr>
          <w:rFonts w:hint="default" w:ascii="Times New Roman" w:hAnsi="Times New Roman" w:cs="Times New Roman" w:eastAsiaTheme="minorEastAsia"/>
          <w:b w:val="0"/>
          <w:i w:val="0"/>
          <w:strike w:val="0"/>
          <w:color w:val="auto"/>
          <w:sz w:val="21"/>
          <w:szCs w:val="21"/>
          <w:u w:val="none"/>
          <w:lang w:val="en-US" w:eastAsia="zh-CN"/>
        </w:rPr>
        <w:t>胃癌（Gastric</w:t>
      </w:r>
      <w:r>
        <w:rPr>
          <w:rFonts w:hint="eastAsia" w:ascii="Times New Roman" w:hAnsi="Times New Roman" w:cs="Times New Roman"/>
          <w:b w:val="0"/>
          <w:i w:val="0"/>
          <w:strike w:val="0"/>
          <w:color w:val="auto"/>
          <w:sz w:val="21"/>
          <w:szCs w:val="21"/>
          <w:u w:val="none"/>
          <w:lang w:val="en-US" w:eastAsia="zh-CN"/>
        </w:rPr>
        <w:t xml:space="preserve"> </w:t>
      </w:r>
      <w:r>
        <w:rPr>
          <w:rFonts w:hint="default" w:ascii="Times New Roman" w:hAnsi="Times New Roman" w:cs="Times New Roman" w:eastAsiaTheme="minorEastAsia"/>
          <w:b w:val="0"/>
          <w:i w:val="0"/>
          <w:strike w:val="0"/>
          <w:color w:val="auto"/>
          <w:sz w:val="21"/>
          <w:szCs w:val="21"/>
          <w:u w:val="none"/>
          <w:lang w:val="en-US" w:eastAsia="zh-CN"/>
        </w:rPr>
        <w:t>cancer,</w:t>
      </w:r>
      <w:r>
        <w:rPr>
          <w:rFonts w:hint="eastAsia" w:ascii="Times New Roman" w:hAnsi="Times New Roman" w:cs="Times New Roman"/>
          <w:b w:val="0"/>
          <w:i w:val="0"/>
          <w:strike w:val="0"/>
          <w:color w:val="auto"/>
          <w:sz w:val="21"/>
          <w:szCs w:val="21"/>
          <w:u w:val="none"/>
          <w:lang w:val="en-US" w:eastAsia="zh-CN"/>
        </w:rPr>
        <w:t xml:space="preserve"> </w:t>
      </w:r>
      <w:r>
        <w:rPr>
          <w:rFonts w:hint="default" w:ascii="Times New Roman" w:hAnsi="Times New Roman" w:cs="Times New Roman" w:eastAsiaTheme="minorEastAsia"/>
          <w:b w:val="0"/>
          <w:i w:val="0"/>
          <w:strike w:val="0"/>
          <w:color w:val="auto"/>
          <w:sz w:val="21"/>
          <w:szCs w:val="21"/>
          <w:u w:val="none"/>
          <w:lang w:val="en-US" w:eastAsia="zh-CN"/>
        </w:rPr>
        <w:t>GC）</w:t>
      </w:r>
      <w:r>
        <w:rPr>
          <w:rFonts w:hint="eastAsia" w:ascii="Times New Roman" w:hAnsi="Times New Roman" w:cs="Times New Roman"/>
          <w:b w:val="0"/>
          <w:i w:val="0"/>
          <w:strike w:val="0"/>
          <w:color w:val="auto"/>
          <w:sz w:val="21"/>
          <w:szCs w:val="21"/>
          <w:u w:val="none"/>
          <w:lang w:val="en-US" w:eastAsia="zh-CN"/>
        </w:rPr>
        <w:t>是</w:t>
      </w:r>
      <w:r>
        <w:rPr>
          <w:rFonts w:hint="default" w:ascii="Times New Roman" w:hAnsi="Times New Roman" w:cs="Times New Roman" w:eastAsiaTheme="minorEastAsia"/>
          <w:b w:val="0"/>
          <w:i w:val="0"/>
          <w:strike w:val="0"/>
          <w:color w:val="auto"/>
          <w:sz w:val="21"/>
          <w:szCs w:val="21"/>
          <w:u w:val="none"/>
          <w:lang w:val="en-US" w:eastAsia="zh-CN"/>
        </w:rPr>
        <w:t>全球第五大常见恶性肿瘤，亦是第五大癌症死亡原因，其中东亚地区为高发区域，造成了沉重的疾病与公共卫生负担</w:t>
      </w:r>
      <w:r>
        <w:rPr>
          <w:rFonts w:hint="default" w:ascii="Times New Roman" w:hAnsi="Times New Roman" w:eastAsia="宋体" w:cs="Times New Roman"/>
          <w:b w:val="0"/>
          <w:i w:val="0"/>
          <w:strike w:val="0"/>
          <w:color w:val="auto"/>
          <w:sz w:val="21"/>
          <w:szCs w:val="21"/>
          <w:u w:val="none"/>
        </w:rPr>
        <w:fldChar w:fldCharType="begin"/>
      </w:r>
      <w:r>
        <w:rPr>
          <w:rFonts w:hint="default" w:ascii="Times New Roman" w:hAnsi="Times New Roman" w:eastAsia="宋体" w:cs="Times New Roman"/>
          <w:b w:val="0"/>
          <w:i w:val="0"/>
          <w:strike w:val="0"/>
          <w:color w:val="auto"/>
          <w:sz w:val="21"/>
          <w:szCs w:val="21"/>
          <w:u w:val="none"/>
          <w:lang w:eastAsia="zh-CN"/>
        </w:rPr>
        <w:instrText xml:space="preserve"> ADDIN  ADDIN KYMRREF{96D92876-0348-451D-8565-038C0D43D940}1146,{96D92876-0348-451D-8565-038C0D43D940}1147</w:instrText>
      </w:r>
      <w:r>
        <w:rPr>
          <w:rFonts w:hint="default" w:ascii="Times New Roman" w:hAnsi="Times New Roman" w:eastAsia="宋体" w:cs="Times New Roman"/>
          <w:b w:val="0"/>
          <w:i w:val="0"/>
          <w:strike w:val="0"/>
          <w:color w:val="auto"/>
          <w:sz w:val="21"/>
          <w:szCs w:val="21"/>
          <w:u w:val="none"/>
        </w:rPr>
        <w:fldChar w:fldCharType="separate"/>
      </w:r>
      <w:r>
        <w:rPr>
          <w:rFonts w:hint="eastAsia" w:ascii="Times New Roman" w:hAnsi="Times New Roman" w:eastAsia="宋体" w:cs="Times New Roman"/>
          <w:b w:val="0"/>
          <w:i w:val="0"/>
          <w:strike w:val="0"/>
          <w:color w:val="auto"/>
          <w:sz w:val="21"/>
          <w:szCs w:val="21"/>
          <w:u w:val="none"/>
          <w:vertAlign w:val="superscript"/>
          <w:lang w:eastAsia="zh-CN"/>
        </w:rPr>
        <w:t>[1, 2]</w:t>
      </w:r>
      <w:r>
        <w:rPr>
          <w:rFonts w:hint="default" w:ascii="Times New Roman" w:hAnsi="Times New Roman" w:eastAsia="宋体" w:cs="Times New Roman"/>
          <w:b w:val="0"/>
          <w:i w:val="0"/>
          <w:strike w:val="0"/>
          <w:color w:val="auto"/>
          <w:sz w:val="21"/>
          <w:szCs w:val="21"/>
          <w:u w:val="none"/>
        </w:rPr>
        <w:fldChar w:fldCharType="end"/>
      </w:r>
      <w:r>
        <w:rPr>
          <w:rFonts w:hint="default" w:ascii="Times New Roman" w:hAnsi="Times New Roman" w:cs="Times New Roman" w:eastAsiaTheme="minorEastAsia"/>
          <w:b w:val="0"/>
          <w:i w:val="0"/>
          <w:strike w:val="0"/>
          <w:color w:val="auto"/>
          <w:sz w:val="21"/>
          <w:szCs w:val="21"/>
          <w:u w:val="none"/>
        </w:rPr>
        <w:t>。</w:t>
      </w:r>
      <w:r>
        <w:rPr>
          <w:rFonts w:hint="eastAsia" w:ascii="Times New Roman" w:hAnsi="Times New Roman" w:cs="Times New Roman"/>
          <w:b w:val="0"/>
          <w:i w:val="0"/>
          <w:strike w:val="0"/>
          <w:color w:val="auto"/>
          <w:sz w:val="21"/>
          <w:szCs w:val="21"/>
          <w:u w:val="none"/>
          <w:lang w:val="en-US" w:eastAsia="zh-CN"/>
        </w:rPr>
        <w:t>最新数据</w:t>
      </w:r>
      <w:r>
        <w:rPr>
          <w:rFonts w:hint="default" w:ascii="Times New Roman" w:hAnsi="Times New Roman" w:cs="Times New Roman"/>
          <w:b w:val="0"/>
          <w:i w:val="0"/>
          <w:strike w:val="0"/>
          <w:color w:val="auto"/>
          <w:sz w:val="21"/>
          <w:szCs w:val="21"/>
          <w:u w:val="none"/>
          <w:lang w:val="en-US" w:eastAsia="zh-CN"/>
        </w:rPr>
        <w:t>显示</w:t>
      </w:r>
      <w:r>
        <w:rPr>
          <w:rFonts w:hint="default" w:ascii="Times New Roman" w:hAnsi="Times New Roman" w:cs="Times New Roman" w:eastAsiaTheme="minorEastAsia"/>
          <w:b w:val="0"/>
          <w:i w:val="0"/>
          <w:strike w:val="0"/>
          <w:color w:val="auto"/>
          <w:sz w:val="21"/>
          <w:szCs w:val="21"/>
          <w:u w:val="none"/>
          <w:lang w:val="en-US" w:eastAsia="zh-CN"/>
        </w:rPr>
        <w:t>，</w:t>
      </w:r>
      <w:r>
        <w:rPr>
          <w:rFonts w:hint="default" w:ascii="Times New Roman" w:hAnsi="Times New Roman" w:cs="Times New Roman"/>
          <w:b w:val="0"/>
          <w:i w:val="0"/>
          <w:strike w:val="0"/>
          <w:color w:val="auto"/>
          <w:sz w:val="21"/>
          <w:szCs w:val="21"/>
          <w:u w:val="none"/>
          <w:lang w:val="en-US" w:eastAsia="zh-CN"/>
        </w:rPr>
        <w:t>2022年</w:t>
      </w:r>
      <w:r>
        <w:rPr>
          <w:rFonts w:hint="default" w:ascii="Times New Roman" w:hAnsi="Times New Roman" w:cs="Times New Roman" w:eastAsiaTheme="minorEastAsia"/>
          <w:b w:val="0"/>
          <w:i w:val="0"/>
          <w:strike w:val="0"/>
          <w:color w:val="auto"/>
          <w:sz w:val="21"/>
          <w:szCs w:val="21"/>
          <w:u w:val="none"/>
          <w:lang w:val="en-US" w:eastAsia="zh-CN"/>
        </w:rPr>
        <w:t>我国</w:t>
      </w:r>
      <w:r>
        <w:rPr>
          <w:rFonts w:hint="eastAsia" w:ascii="Times New Roman" w:hAnsi="Times New Roman" w:cs="Times New Roman"/>
          <w:b w:val="0"/>
          <w:i w:val="0"/>
          <w:strike w:val="0"/>
          <w:color w:val="auto"/>
          <w:sz w:val="21"/>
          <w:szCs w:val="21"/>
          <w:u w:val="none"/>
          <w:lang w:val="en-US" w:eastAsia="zh-CN"/>
        </w:rPr>
        <w:t>GC</w:t>
      </w:r>
      <w:r>
        <w:rPr>
          <w:rFonts w:hint="default" w:ascii="Times New Roman" w:hAnsi="Times New Roman" w:cs="Times New Roman" w:eastAsiaTheme="minorEastAsia"/>
          <w:b w:val="0"/>
          <w:i w:val="0"/>
          <w:strike w:val="0"/>
          <w:color w:val="auto"/>
          <w:sz w:val="21"/>
          <w:szCs w:val="21"/>
          <w:u w:val="none"/>
          <w:lang w:val="en-US" w:eastAsia="zh-CN"/>
        </w:rPr>
        <w:t>新发病例</w:t>
      </w:r>
      <w:r>
        <w:rPr>
          <w:rFonts w:hint="default" w:ascii="Times New Roman" w:hAnsi="Times New Roman" w:cs="Times New Roman"/>
          <w:b w:val="0"/>
          <w:i w:val="0"/>
          <w:strike w:val="0"/>
          <w:color w:val="auto"/>
          <w:sz w:val="21"/>
          <w:szCs w:val="21"/>
          <w:u w:val="none"/>
          <w:lang w:val="en-US" w:eastAsia="zh-CN"/>
        </w:rPr>
        <w:t>达</w:t>
      </w:r>
      <w:r>
        <w:rPr>
          <w:rFonts w:hint="default" w:ascii="Times New Roman" w:hAnsi="Times New Roman" w:cs="Times New Roman" w:eastAsiaTheme="minorEastAsia"/>
          <w:b w:val="0"/>
          <w:i w:val="0"/>
          <w:strike w:val="0"/>
          <w:color w:val="auto"/>
          <w:sz w:val="21"/>
          <w:szCs w:val="21"/>
          <w:u w:val="none"/>
          <w:lang w:val="en-US" w:eastAsia="zh-CN"/>
        </w:rPr>
        <w:t>35.9万例，占全球新发病例的37.0%；死亡病例</w:t>
      </w:r>
      <w:r>
        <w:rPr>
          <w:rFonts w:hint="default" w:ascii="Times New Roman" w:hAnsi="Times New Roman" w:cs="Times New Roman"/>
          <w:b w:val="0"/>
          <w:i w:val="0"/>
          <w:strike w:val="0"/>
          <w:color w:val="auto"/>
          <w:sz w:val="21"/>
          <w:szCs w:val="21"/>
          <w:u w:val="none"/>
          <w:lang w:val="en-US" w:eastAsia="zh-CN"/>
        </w:rPr>
        <w:t>为</w:t>
      </w:r>
      <w:r>
        <w:rPr>
          <w:rFonts w:hint="default" w:ascii="Times New Roman" w:hAnsi="Times New Roman" w:cs="Times New Roman" w:eastAsiaTheme="minorEastAsia"/>
          <w:b w:val="0"/>
          <w:i w:val="0"/>
          <w:strike w:val="0"/>
          <w:color w:val="auto"/>
          <w:sz w:val="21"/>
          <w:szCs w:val="21"/>
          <w:u w:val="none"/>
          <w:lang w:val="en-US" w:eastAsia="zh-CN"/>
        </w:rPr>
        <w:t>26.0万例，占全球死亡病例的39.4%，其标化发病率</w:t>
      </w:r>
      <w:r>
        <w:rPr>
          <w:rFonts w:hint="default" w:ascii="Times New Roman" w:hAnsi="Times New Roman" w:cs="Times New Roman"/>
          <w:b w:val="0"/>
          <w:i w:val="0"/>
          <w:strike w:val="0"/>
          <w:color w:val="auto"/>
          <w:sz w:val="21"/>
          <w:szCs w:val="21"/>
          <w:u w:val="none"/>
          <w:lang w:val="en-US" w:eastAsia="zh-CN"/>
        </w:rPr>
        <w:t>与</w:t>
      </w:r>
      <w:r>
        <w:rPr>
          <w:rFonts w:hint="default" w:ascii="Times New Roman" w:hAnsi="Times New Roman" w:cs="Times New Roman" w:eastAsiaTheme="minorEastAsia"/>
          <w:b w:val="0"/>
          <w:i w:val="0"/>
          <w:strike w:val="0"/>
          <w:color w:val="auto"/>
          <w:sz w:val="21"/>
          <w:szCs w:val="21"/>
          <w:u w:val="none"/>
          <w:lang w:val="en-US" w:eastAsia="zh-CN"/>
        </w:rPr>
        <w:t>死亡率均</w:t>
      </w:r>
      <w:r>
        <w:rPr>
          <w:rFonts w:hint="default" w:ascii="Times New Roman" w:hAnsi="Times New Roman" w:cs="Times New Roman"/>
          <w:b w:val="0"/>
          <w:i w:val="0"/>
          <w:strike w:val="0"/>
          <w:color w:val="auto"/>
          <w:sz w:val="21"/>
          <w:szCs w:val="21"/>
          <w:u w:val="none"/>
          <w:lang w:val="en-US" w:eastAsia="zh-CN"/>
        </w:rPr>
        <w:t>显著</w:t>
      </w:r>
      <w:r>
        <w:rPr>
          <w:rFonts w:hint="default" w:ascii="Times New Roman" w:hAnsi="Times New Roman" w:cs="Times New Roman" w:eastAsiaTheme="minorEastAsia"/>
          <w:b w:val="0"/>
          <w:i w:val="0"/>
          <w:strike w:val="0"/>
          <w:color w:val="auto"/>
          <w:sz w:val="21"/>
          <w:szCs w:val="21"/>
          <w:u w:val="none"/>
          <w:lang w:val="en-US" w:eastAsia="zh-CN"/>
        </w:rPr>
        <w:t>高于全球平均水平</w:t>
      </w:r>
      <w:r>
        <w:rPr>
          <w:rFonts w:hint="default" w:ascii="Times New Roman" w:hAnsi="Times New Roman" w:cs="Times New Roman" w:eastAsiaTheme="minorEastAsia"/>
          <w:b w:val="0"/>
          <w:i w:val="0"/>
          <w:strike w:val="0"/>
          <w:color w:val="auto"/>
          <w:sz w:val="21"/>
          <w:szCs w:val="21"/>
          <w:u w:val="none"/>
        </w:rPr>
        <w:fldChar w:fldCharType="begin"/>
      </w:r>
      <w:r>
        <w:rPr>
          <w:rFonts w:hint="default" w:ascii="Times New Roman" w:hAnsi="Times New Roman" w:cs="Times New Roman" w:eastAsiaTheme="minorEastAsia"/>
          <w:b w:val="0"/>
          <w:i w:val="0"/>
          <w:strike w:val="0"/>
          <w:color w:val="auto"/>
          <w:sz w:val="21"/>
          <w:szCs w:val="21"/>
          <w:u w:val="none"/>
        </w:rPr>
        <w:instrText xml:space="preserve"> ADDIN  ADDIN KYMRREF{96D92876-0348-451D-8565-038C0D43D940}1148 </w:instrText>
      </w:r>
      <w:r>
        <w:rPr>
          <w:rFonts w:hint="default" w:ascii="Times New Roman" w:hAnsi="Times New Roman" w:cs="Times New Roman" w:eastAsiaTheme="minorEastAsia"/>
          <w:b w:val="0"/>
          <w:i w:val="0"/>
          <w:strike w:val="0"/>
          <w:color w:val="auto"/>
          <w:sz w:val="21"/>
          <w:szCs w:val="21"/>
          <w:u w:val="none"/>
        </w:rPr>
        <w:fldChar w:fldCharType="separate"/>
      </w:r>
      <w:r>
        <w:rPr>
          <w:rFonts w:hint="eastAsia" w:ascii="Times New Roman" w:hAnsi="Times New Roman" w:eastAsia="宋体" w:cs="Times New Roman"/>
          <w:b w:val="0"/>
          <w:i w:val="0"/>
          <w:strike w:val="0"/>
          <w:color w:val="auto"/>
          <w:sz w:val="21"/>
          <w:szCs w:val="21"/>
          <w:u w:val="none"/>
          <w:vertAlign w:val="superscript"/>
          <w:lang w:eastAsia="zh-CN"/>
        </w:rPr>
        <w:t>[3]</w:t>
      </w:r>
      <w:r>
        <w:rPr>
          <w:rFonts w:hint="default" w:ascii="Times New Roman" w:hAnsi="Times New Roman" w:cs="Times New Roman" w:eastAsiaTheme="minorEastAsia"/>
          <w:b w:val="0"/>
          <w:i w:val="0"/>
          <w:strike w:val="0"/>
          <w:color w:val="auto"/>
          <w:sz w:val="21"/>
          <w:szCs w:val="21"/>
          <w:u w:val="none"/>
        </w:rPr>
        <w:fldChar w:fldCharType="end"/>
      </w:r>
      <w:r>
        <w:rPr>
          <w:rFonts w:hint="default" w:ascii="Times New Roman" w:hAnsi="Times New Roman" w:cs="Times New Roman" w:eastAsiaTheme="minorEastAsia"/>
          <w:b w:val="0"/>
          <w:i w:val="0"/>
          <w:strike w:val="0"/>
          <w:color w:val="auto"/>
          <w:sz w:val="21"/>
          <w:szCs w:val="21"/>
          <w:u w:val="none"/>
        </w:rPr>
        <w:t>。</w:t>
      </w:r>
      <w:r>
        <w:rPr>
          <w:rFonts w:hint="default" w:ascii="Times New Roman" w:hAnsi="Times New Roman" w:cs="Times New Roman"/>
          <w:color w:val="auto"/>
          <w:szCs w:val="21"/>
          <w:u w:val="none"/>
        </w:rPr>
        <w:t>既往研究证实，早期</w:t>
      </w:r>
      <w:r>
        <w:rPr>
          <w:rFonts w:hint="eastAsia" w:ascii="Times New Roman" w:hAnsi="Times New Roman" w:cs="Times New Roman"/>
          <w:color w:val="auto"/>
          <w:szCs w:val="21"/>
          <w:u w:val="none"/>
          <w:lang w:eastAsia="zh-CN"/>
        </w:rPr>
        <w:t>G</w:t>
      </w:r>
      <w:r>
        <w:rPr>
          <w:rFonts w:hint="eastAsia" w:ascii="Times New Roman" w:hAnsi="Times New Roman" w:cs="Times New Roman"/>
          <w:color w:val="auto"/>
          <w:szCs w:val="21"/>
          <w:u w:val="none"/>
          <w:lang w:val="en-US" w:eastAsia="zh-CN"/>
        </w:rPr>
        <w:t>C</w:t>
      </w:r>
      <w:r>
        <w:rPr>
          <w:rFonts w:hint="default" w:ascii="Times New Roman" w:hAnsi="Times New Roman" w:cs="Times New Roman"/>
          <w:color w:val="auto"/>
          <w:szCs w:val="21"/>
          <w:u w:val="none"/>
        </w:rPr>
        <w:t>经规范诊治后5年生存率可达90%以上，进展期</w:t>
      </w:r>
      <w:r>
        <w:rPr>
          <w:rFonts w:hint="eastAsia" w:ascii="Times New Roman" w:hAnsi="Times New Roman" w:cs="Times New Roman"/>
          <w:color w:val="auto"/>
          <w:szCs w:val="21"/>
          <w:u w:val="none"/>
          <w:lang w:val="en-US" w:eastAsia="zh-CN"/>
        </w:rPr>
        <w:t xml:space="preserve">GC </w:t>
      </w:r>
      <w:r>
        <w:rPr>
          <w:rFonts w:hint="default" w:ascii="Times New Roman" w:hAnsi="Times New Roman" w:cs="Times New Roman"/>
          <w:color w:val="auto"/>
          <w:szCs w:val="21"/>
          <w:u w:val="none"/>
        </w:rPr>
        <w:t>5年生存率则不足30%</w:t>
      </w:r>
      <w:r>
        <w:rPr>
          <w:rFonts w:hint="default" w:ascii="Times New Roman" w:hAnsi="Times New Roman" w:cs="Times New Roman" w:eastAsiaTheme="minorEastAsia"/>
          <w:b w:val="0"/>
          <w:i w:val="0"/>
          <w:strike w:val="0"/>
          <w:color w:val="auto"/>
          <w:kern w:val="2"/>
          <w:sz w:val="21"/>
          <w:szCs w:val="21"/>
          <w:u w:val="none"/>
          <w:lang w:val="en-US" w:eastAsia="zh-CN" w:bidi="ar-SA"/>
        </w:rPr>
        <w:fldChar w:fldCharType="begin"/>
      </w:r>
      <w:r>
        <w:rPr>
          <w:rFonts w:hint="default" w:ascii="Times New Roman" w:hAnsi="Times New Roman" w:cs="Times New Roman"/>
          <w:b w:val="0"/>
          <w:i w:val="0"/>
          <w:strike w:val="0"/>
          <w:color w:val="auto"/>
          <w:kern w:val="2"/>
          <w:sz w:val="21"/>
          <w:szCs w:val="21"/>
          <w:u w:val="none"/>
          <w:lang w:val="en-US" w:eastAsia="zh-CN" w:bidi="ar-SA"/>
        </w:rPr>
        <w:instrText xml:space="preserve"> ADDIN  ADDIN KYMRREF{96D92876-0348-451D-8565-038C0D43D940}1149,{96D92876-0348-451D-8565-038C0D43D940}1150</w:instrText>
      </w:r>
      <w:r>
        <w:rPr>
          <w:rFonts w:hint="default" w:ascii="Times New Roman" w:hAnsi="Times New Roman" w:cs="Times New Roman" w:eastAsiaTheme="minorEastAsia"/>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[4, 5]</w:t>
      </w:r>
      <w:r>
        <w:rPr>
          <w:rFonts w:hint="default" w:ascii="Times New Roman" w:hAnsi="Times New Roman" w:cs="Times New Roman" w:eastAsiaTheme="minorEastAsia"/>
          <w:b w:val="0"/>
          <w:i w:val="0"/>
          <w:strike w:val="0"/>
          <w:color w:val="auto"/>
          <w:kern w:val="2"/>
          <w:sz w:val="21"/>
          <w:szCs w:val="21"/>
          <w:u w:val="none"/>
          <w:lang w:val="en-US" w:eastAsia="zh-CN" w:bidi="ar-SA"/>
        </w:rPr>
        <w:fldChar w:fldCharType="end"/>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GC的发生</w:t>
      </w:r>
      <w:r>
        <w:rPr>
          <w:rFonts w:hint="default" w:ascii="Times New Roman" w:hAnsi="Times New Roman" w:cs="Times New Roman" w:eastAsiaTheme="minorEastAsia"/>
          <w:b w:val="0"/>
          <w:i w:val="0"/>
          <w:strike w:val="0"/>
          <w:color w:val="auto"/>
          <w:kern w:val="2"/>
          <w:sz w:val="21"/>
          <w:szCs w:val="21"/>
          <w:u w:val="none"/>
          <w:lang w:val="en-US" w:eastAsia="zh-CN" w:bidi="ar-SA"/>
        </w:rPr>
        <w:t>遵循“慢性炎症→萎缩性胃炎→肠上皮化生→异型增生→</w:t>
      </w:r>
      <w:r>
        <w:rPr>
          <w:rFonts w:hint="default" w:ascii="Times New Roman" w:hAnsi="Times New Roman" w:cs="Times New Roman"/>
          <w:b w:val="0"/>
          <w:i w:val="0"/>
          <w:strike w:val="0"/>
          <w:color w:val="auto"/>
          <w:kern w:val="2"/>
          <w:sz w:val="21"/>
          <w:szCs w:val="21"/>
          <w:u w:val="none"/>
          <w:lang w:val="en-US" w:eastAsia="zh-CN" w:bidi="ar-SA"/>
        </w:rPr>
        <w:t>癌</w:t>
      </w:r>
      <w:r>
        <w:rPr>
          <w:rFonts w:hint="eastAsia" w:ascii="Times New Roman" w:hAnsi="Times New Roman" w:cs="Times New Roman"/>
          <w:b w:val="0"/>
          <w:i w:val="0"/>
          <w:strike w:val="0"/>
          <w:color w:val="auto"/>
          <w:kern w:val="2"/>
          <w:sz w:val="21"/>
          <w:szCs w:val="21"/>
          <w:u w:val="none"/>
          <w:lang w:val="en-US" w:eastAsia="zh-CN" w:bidi="ar-SA"/>
        </w:rPr>
        <w:t>变</w:t>
      </w:r>
      <w:r>
        <w:rPr>
          <w:rFonts w:hint="default" w:ascii="Times New Roman" w:hAnsi="Times New Roman" w:cs="Times New Roman" w:eastAsiaTheme="minorEastAsia"/>
          <w:b w:val="0"/>
          <w:i w:val="0"/>
          <w:strike w:val="0"/>
          <w:color w:val="auto"/>
          <w:kern w:val="2"/>
          <w:sz w:val="21"/>
          <w:szCs w:val="21"/>
          <w:u w:val="none"/>
          <w:lang w:val="en-US" w:eastAsia="zh-CN" w:bidi="ar-SA"/>
        </w:rPr>
        <w:t>”的阶梯式病理演进过程</w:t>
      </w:r>
      <w:r>
        <w:rPr>
          <w:rFonts w:hint="default" w:ascii="Times New Roman" w:hAnsi="Times New Roman" w:eastAsia="宋体" w:cs="Times New Roman"/>
          <w:b w:val="0"/>
          <w:i w:val="0"/>
          <w:strike w:val="0"/>
          <w:color w:val="auto"/>
          <w:kern w:val="2"/>
          <w:sz w:val="21"/>
          <w:szCs w:val="21"/>
          <w:u w:val="no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lang w:val="en-US" w:eastAsia="zh-CN" w:bidi="ar-SA"/>
        </w:rPr>
        <w:instrText xml:space="preserve"> ADDIN  ADDIN KYMRREF{96D92876-0348-451D-8565-038C0D43D940}1149 </w:instrText>
      </w:r>
      <w:r>
        <w:rPr>
          <w:rFonts w:hint="default" w:ascii="Times New Roman" w:hAnsi="Times New Roman" w:eastAsia="宋体"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[4]</w:t>
      </w:r>
      <w:r>
        <w:rPr>
          <w:rFonts w:hint="default" w:ascii="Times New Roman" w:hAnsi="Times New Roman" w:eastAsia="宋体" w:cs="Times New Roman"/>
          <w:b w:val="0"/>
          <w:i w:val="0"/>
          <w:strike w:val="0"/>
          <w:color w:val="auto"/>
          <w:kern w:val="2"/>
          <w:sz w:val="21"/>
          <w:szCs w:val="21"/>
          <w:u w:val="none"/>
          <w:lang w:val="en-US" w:eastAsia="zh-CN" w:bidi="ar-SA"/>
        </w:rPr>
        <w:fldChar w:fldCharType="end"/>
      </w:r>
      <w:r>
        <w:rPr>
          <w:rFonts w:hint="eastAsia" w:ascii="Times New Roman" w:hAnsi="Times New Roman" w:eastAsia="宋体" w:cs="Times New Roman"/>
          <w:b w:val="0"/>
          <w:i w:val="0"/>
          <w:strike w:val="0"/>
          <w:color w:val="auto"/>
          <w:kern w:val="2"/>
          <w:sz w:val="21"/>
          <w:szCs w:val="21"/>
          <w:u w:val="none"/>
          <w:lang w:val="en-US" w:eastAsia="zh-CN" w:bidi="ar-SA"/>
        </w:rPr>
        <w:t>，</w:t>
      </w:r>
      <w:r>
        <w:rPr>
          <w:rFonts w:hint="eastAsia" w:ascii="Times New Roman" w:hAnsi="Times New Roman" w:eastAsia="宋体" w:cs="Times New Roman"/>
          <w:color w:val="auto"/>
          <w:szCs w:val="21"/>
          <w:u w:val="none"/>
        </w:rPr>
        <w:t>癌前疾病与癌前病变是</w:t>
      </w:r>
      <w:r>
        <w:rPr>
          <w:rFonts w:hint="eastAsia" w:ascii="Times New Roman" w:hAnsi="Times New Roman" w:eastAsia="宋体" w:cs="Times New Roman"/>
          <w:color w:val="auto"/>
          <w:szCs w:val="21"/>
          <w:u w:val="none"/>
          <w:lang w:val="en-US" w:eastAsia="zh-CN"/>
        </w:rPr>
        <w:t>GC</w:t>
      </w:r>
      <w:r>
        <w:rPr>
          <w:rFonts w:hint="eastAsia" w:ascii="Times New Roman" w:hAnsi="Times New Roman" w:eastAsia="宋体" w:cs="Times New Roman"/>
          <w:color w:val="auto"/>
          <w:szCs w:val="21"/>
          <w:u w:val="none"/>
        </w:rPr>
        <w:t>发生的关键可逆干预窗口期，在此阶段筛查预警标志物可实现癌变早期阻断</w:t>
      </w:r>
      <w:r>
        <w:rPr>
          <w:rFonts w:hint="eastAsia" w:ascii="Times New Roman" w:hAnsi="Times New Roman" w:cs="Times New Roman"/>
          <w:color w:val="auto"/>
          <w:szCs w:val="21"/>
          <w:u w:val="none"/>
          <w:lang w:eastAsia="zh-CN"/>
        </w:rPr>
        <w:t>。</w:t>
      </w:r>
      <w:r>
        <w:rPr>
          <w:rFonts w:hint="default" w:ascii="Times New Roman" w:hAnsi="Times New Roman" w:cs="Times New Roman"/>
          <w:b w:val="0"/>
          <w:i w:val="0"/>
          <w:strike w:val="0"/>
          <w:color w:val="auto"/>
          <w:kern w:val="2"/>
          <w:sz w:val="21"/>
          <w:szCs w:val="21"/>
          <w:u w:val="none"/>
          <w:lang w:val="en-US" w:eastAsia="zh-CN" w:bidi="ar-SA"/>
        </w:rPr>
        <w:t>因此，</w:t>
      </w:r>
      <w:r>
        <w:rPr>
          <w:rFonts w:hint="default" w:ascii="Times New Roman" w:hAnsi="Times New Roman" w:cs="Times New Roman"/>
          <w:color w:val="auto"/>
          <w:szCs w:val="21"/>
          <w:u w:val="none"/>
        </w:rPr>
        <w:t>探寻简便可靠的胃部病变筛查标志物</w:t>
      </w:r>
      <w:r>
        <w:rPr>
          <w:rFonts w:hint="default" w:ascii="Times New Roman" w:hAnsi="Times New Roman" w:cs="Times New Roman"/>
          <w:b w:val="0"/>
          <w:i w:val="0"/>
          <w:strike w:val="0"/>
          <w:color w:val="auto"/>
          <w:kern w:val="2"/>
          <w:sz w:val="21"/>
          <w:szCs w:val="21"/>
          <w:u w:val="none"/>
          <w:lang w:val="en-US" w:eastAsia="zh-CN" w:bidi="ar-SA"/>
        </w:rPr>
        <w:t>，对于降低疾病负担具有重要的公共卫生意义。</w:t>
      </w:r>
    </w:p>
    <w:p w14:paraId="20085240">
      <w:pPr>
        <w:keepNext w:val="0"/>
        <w:keepLines w:val="0"/>
        <w:pageBreakBefore w:val="0"/>
        <w:widowControl w:val="0"/>
        <w:kinsoku/>
        <w:wordWrap/>
        <w:overflowPunct/>
        <w:topLinePunct w:val="0"/>
        <w:autoSpaceDE/>
        <w:autoSpaceDN/>
        <w:bidi w:val="0"/>
        <w:adjustRightInd/>
        <w:snapToGrid/>
        <w:spacing w:after="0" w:line="360" w:lineRule="auto"/>
        <w:ind w:left="0" w:leftChars="0" w:firstLine="420" w:firstLineChars="200"/>
        <w:jc w:val="both"/>
        <w:textAlignment w:val="auto"/>
        <w:rPr>
          <w:rFonts w:hint="default" w:ascii="Times New Roman" w:hAnsi="Times New Roman" w:cs="Times New Roman"/>
          <w:b w:val="0"/>
          <w:i w:val="0"/>
          <w:strike w:val="0"/>
          <w:color w:val="auto"/>
          <w:kern w:val="2"/>
          <w:sz w:val="21"/>
          <w:szCs w:val="21"/>
          <w:u w:val="none"/>
          <w:lang w:val="en-US" w:eastAsia="zh-CN" w:bidi="ar-SA"/>
        </w:rPr>
      </w:pPr>
      <w:r>
        <w:rPr>
          <w:rFonts w:hint="default" w:ascii="Times New Roman" w:hAnsi="Times New Roman" w:cs="Times New Roman"/>
          <w:b w:val="0"/>
          <w:i w:val="0"/>
          <w:strike w:val="0"/>
          <w:color w:val="auto"/>
          <w:kern w:val="2"/>
          <w:sz w:val="21"/>
          <w:szCs w:val="21"/>
          <w:u w:val="none"/>
          <w:lang w:val="en-US" w:eastAsia="zh-CN" w:bidi="ar-SA"/>
        </w:rPr>
        <w:t>既往研究表明，</w:t>
      </w:r>
      <w:r>
        <w:rPr>
          <w:rFonts w:hint="eastAsia" w:ascii="Times New Roman" w:hAnsi="Times New Roman" w:cs="Times New Roman"/>
          <w:b w:val="0"/>
          <w:i w:val="0"/>
          <w:strike w:val="0"/>
          <w:color w:val="auto"/>
          <w:kern w:val="2"/>
          <w:sz w:val="21"/>
          <w:szCs w:val="21"/>
          <w:u w:val="none"/>
          <w:lang w:val="en-US" w:eastAsia="zh-CN" w:bidi="ar-SA"/>
        </w:rPr>
        <w:t>血脂</w:t>
      </w:r>
      <w:r>
        <w:rPr>
          <w:rFonts w:hint="default" w:ascii="Times New Roman" w:hAnsi="Times New Roman" w:cs="Times New Roman" w:eastAsiaTheme="minorEastAsia"/>
          <w:b w:val="0"/>
          <w:i w:val="0"/>
          <w:strike w:val="0"/>
          <w:color w:val="auto"/>
          <w:kern w:val="2"/>
          <w:sz w:val="21"/>
          <w:szCs w:val="21"/>
          <w:u w:val="none"/>
          <w:lang w:val="en-US" w:eastAsia="zh-CN" w:bidi="ar-SA"/>
        </w:rPr>
        <w:t>代谢紊乱</w:t>
      </w:r>
      <w:r>
        <w:rPr>
          <w:rFonts w:hint="eastAsia" w:ascii="Times New Roman" w:hAnsi="Times New Roman" w:cs="Times New Roman"/>
          <w:b w:val="0"/>
          <w:i w:val="0"/>
          <w:strike w:val="0"/>
          <w:color w:val="auto"/>
          <w:kern w:val="2"/>
          <w:sz w:val="21"/>
          <w:szCs w:val="21"/>
          <w:u w:val="none"/>
          <w:lang w:val="en-US" w:eastAsia="zh-CN" w:bidi="ar-SA"/>
        </w:rPr>
        <w:t>与恶性肿瘤</w:t>
      </w:r>
      <w:r>
        <w:rPr>
          <w:rFonts w:hint="default" w:ascii="Times New Roman" w:hAnsi="Times New Roman" w:cs="Times New Roman" w:eastAsiaTheme="minorEastAsia"/>
          <w:b w:val="0"/>
          <w:i w:val="0"/>
          <w:strike w:val="0"/>
          <w:color w:val="auto"/>
          <w:kern w:val="2"/>
          <w:sz w:val="21"/>
          <w:szCs w:val="21"/>
          <w:u w:val="none"/>
          <w:lang w:val="en-US" w:eastAsia="zh-CN" w:bidi="ar-SA"/>
        </w:rPr>
        <w:t>的发生发展密切相关</w:t>
      </w:r>
      <w:r>
        <w:rPr>
          <w:rFonts w:hint="default" w:ascii="Times New Roman" w:hAnsi="Times New Roman" w:cs="Times New Roman" w:eastAsiaTheme="minorEastAsia"/>
          <w:b w:val="0"/>
          <w:i w:val="0"/>
          <w:strike w:val="0"/>
          <w:color w:val="auto"/>
          <w:kern w:val="2"/>
          <w:sz w:val="21"/>
          <w:szCs w:val="21"/>
          <w:u w:val="none"/>
          <w:lang w:val="en-US" w:eastAsia="zh-CN" w:bidi="ar-SA"/>
        </w:rPr>
        <w:fldChar w:fldCharType="begin"/>
      </w:r>
      <w:r>
        <w:rPr>
          <w:rFonts w:hint="default" w:ascii="Times New Roman" w:hAnsi="Times New Roman" w:cs="Times New Roman"/>
          <w:b w:val="0"/>
          <w:i w:val="0"/>
          <w:strike w:val="0"/>
          <w:color w:val="auto"/>
          <w:kern w:val="2"/>
          <w:sz w:val="21"/>
          <w:szCs w:val="21"/>
          <w:u w:val="none"/>
          <w:lang w:val="en-US" w:eastAsia="zh-CN" w:bidi="ar-SA"/>
        </w:rPr>
        <w:instrText xml:space="preserve"> ADDIN  ADDIN KYMRREF{96D92876-0348-451D-8565-038C0D43D940}1151,{96D92876-0348-451D-8565-038C0D43D940}1152,{96D92876-0348-451D-8565-038C0D43D940}1153,{96D92876-0348-451D-8565-038C0D43D940}1154,{96D92876-0348-451D-8565-038C0D43D940}1155</w:instrText>
      </w:r>
      <w:r>
        <w:rPr>
          <w:rFonts w:hint="default" w:ascii="Times New Roman" w:hAnsi="Times New Roman" w:cs="Times New Roman" w:eastAsiaTheme="minorEastAsia"/>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[6-10]</w:t>
      </w:r>
      <w:r>
        <w:rPr>
          <w:rFonts w:hint="default" w:ascii="Times New Roman" w:hAnsi="Times New Roman" w:cs="Times New Roman" w:eastAsiaTheme="minorEastAsia"/>
          <w:b w:val="0"/>
          <w:i w:val="0"/>
          <w:strike w:val="0"/>
          <w:color w:val="auto"/>
          <w:kern w:val="2"/>
          <w:sz w:val="21"/>
          <w:szCs w:val="21"/>
          <w:u w:val="none"/>
          <w:lang w:val="en-US" w:eastAsia="zh-CN" w:bidi="ar-SA"/>
        </w:rPr>
        <w:fldChar w:fldCharType="end"/>
      </w:r>
      <w:r>
        <w:rPr>
          <w:rFonts w:hint="eastAsia" w:ascii="Times New Roman" w:hAnsi="Times New Roman" w:cs="Times New Roman"/>
          <w:b w:val="0"/>
          <w:i w:val="0"/>
          <w:strike w:val="0"/>
          <w:color w:val="auto"/>
          <w:kern w:val="2"/>
          <w:sz w:val="21"/>
          <w:szCs w:val="21"/>
          <w:u w:val="none"/>
          <w:lang w:val="en-US" w:eastAsia="zh-CN" w:bidi="ar-SA"/>
        </w:rPr>
        <w:t>。然而，血脂代谢指标</w:t>
      </w:r>
      <w:r>
        <w:rPr>
          <w:rFonts w:hint="default" w:ascii="Times New Roman" w:hAnsi="Times New Roman" w:cs="Times New Roman"/>
          <w:b w:val="0"/>
          <w:i w:val="0"/>
          <w:strike w:val="0"/>
          <w:color w:val="auto"/>
          <w:kern w:val="2"/>
          <w:sz w:val="21"/>
          <w:szCs w:val="21"/>
          <w:u w:val="none"/>
          <w:lang w:val="en-US" w:eastAsia="zh-CN" w:bidi="ar-SA"/>
        </w:rPr>
        <w:t>与GC风险的关联结论仍存在较大争议。例如，</w:t>
      </w:r>
      <w:r>
        <w:rPr>
          <w:rFonts w:hint="default" w:ascii="Times New Roman" w:hAnsi="Times New Roman" w:cs="Times New Roman" w:eastAsiaTheme="minorEastAsia"/>
          <w:b w:val="0"/>
          <w:i w:val="0"/>
          <w:strike w:val="0"/>
          <w:color w:val="auto"/>
          <w:kern w:val="2"/>
          <w:sz w:val="21"/>
          <w:szCs w:val="21"/>
          <w:u w:val="none"/>
          <w:lang w:val="en-US" w:eastAsia="zh-CN" w:bidi="ar-SA"/>
        </w:rPr>
        <w:t>Wu</w:t>
      </w:r>
      <w:r>
        <w:rPr>
          <w:rFonts w:hint="default" w:ascii="Times New Roman" w:hAnsi="Times New Roman" w:cs="Times New Roman"/>
          <w:b w:val="0"/>
          <w:i w:val="0"/>
          <w:strike w:val="0"/>
          <w:color w:val="auto"/>
          <w:kern w:val="2"/>
          <w:sz w:val="21"/>
          <w:szCs w:val="21"/>
          <w:u w:val="none"/>
          <w:lang w:val="en-US" w:eastAsia="zh-CN" w:bidi="ar-SA"/>
        </w:rPr>
        <w:t xml:space="preserve"> </w:t>
      </w:r>
      <w:r>
        <w:rPr>
          <w:rFonts w:hint="default" w:ascii="Times New Roman" w:hAnsi="Times New Roman" w:cs="Times New Roman" w:eastAsiaTheme="minorEastAsia"/>
          <w:b w:val="0"/>
          <w:i w:val="0"/>
          <w:strike w:val="0"/>
          <w:color w:val="auto"/>
          <w:kern w:val="2"/>
          <w:sz w:val="21"/>
          <w:szCs w:val="21"/>
          <w:u w:val="none"/>
          <w:lang w:val="en-US" w:eastAsia="zh-CN" w:bidi="ar-SA"/>
        </w:rPr>
        <w:t>T等</w:t>
      </w:r>
      <w:r>
        <w:rPr>
          <w:rFonts w:hint="default" w:ascii="Times New Roman" w:hAnsi="Times New Roman" w:eastAsia="宋体" w:cs="Times New Roman"/>
          <w:b w:val="0"/>
          <w:i w:val="0"/>
          <w:strike w:val="0"/>
          <w:color w:val="auto"/>
          <w:kern w:val="2"/>
          <w:sz w:val="21"/>
          <w:szCs w:val="21"/>
          <w:u w:val="no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lang w:val="en-US" w:eastAsia="zh-CN" w:bidi="ar-SA"/>
        </w:rPr>
        <w:instrText xml:space="preserve"> ADDIN  ADDIN KYMRREF{96D92876-0348-451D-8565-038C0D43D940}1156 </w:instrText>
      </w:r>
      <w:r>
        <w:rPr>
          <w:rFonts w:hint="default" w:ascii="Times New Roman" w:hAnsi="Times New Roman" w:eastAsia="宋体"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[11]</w:t>
      </w:r>
      <w:r>
        <w:rPr>
          <w:rFonts w:hint="default" w:ascii="Times New Roman" w:hAnsi="Times New Roman" w:eastAsia="宋体" w:cs="Times New Roman"/>
          <w:b w:val="0"/>
          <w:i w:val="0"/>
          <w:strike w:val="0"/>
          <w:color w:val="auto"/>
          <w:kern w:val="2"/>
          <w:sz w:val="21"/>
          <w:szCs w:val="21"/>
          <w:u w:val="none"/>
          <w:lang w:val="en-US" w:eastAsia="zh-CN" w:bidi="ar-SA"/>
        </w:rPr>
        <w:fldChar w:fldCharType="end"/>
      </w:r>
      <w:r>
        <w:rPr>
          <w:rFonts w:hint="default" w:ascii="Times New Roman" w:hAnsi="Times New Roman" w:eastAsia="宋体" w:cs="Times New Roman"/>
          <w:b w:val="0"/>
          <w:i w:val="0"/>
          <w:strike w:val="0"/>
          <w:color w:val="auto"/>
          <w:kern w:val="2"/>
          <w:sz w:val="21"/>
          <w:szCs w:val="21"/>
          <w:u w:val="none"/>
          <w:lang w:val="en-US" w:eastAsia="zh-CN" w:bidi="ar-SA"/>
        </w:rPr>
        <w:t>研究表明</w:t>
      </w:r>
      <w:r>
        <w:rPr>
          <w:rFonts w:hint="default" w:ascii="Times New Roman" w:hAnsi="Times New Roman" w:cs="Times New Roman" w:eastAsiaTheme="minorEastAsia"/>
          <w:b w:val="0"/>
          <w:i w:val="0"/>
          <w:strike w:val="0"/>
          <w:color w:val="auto"/>
          <w:kern w:val="2"/>
          <w:sz w:val="21"/>
          <w:szCs w:val="21"/>
          <w:u w:val="none"/>
          <w:lang w:val="en-US" w:eastAsia="zh-CN" w:bidi="ar-SA"/>
        </w:rPr>
        <w:t>，低密度脂蛋白胆固醇（</w:t>
      </w:r>
      <w:r>
        <w:rPr>
          <w:rFonts w:hint="eastAsia" w:ascii="Times New Roman" w:hAnsi="Times New Roman" w:cs="Times New Roman"/>
          <w:b w:val="0"/>
          <w:i w:val="0"/>
          <w:strike w:val="0"/>
          <w:color w:val="auto"/>
          <w:kern w:val="2"/>
          <w:sz w:val="21"/>
          <w:szCs w:val="21"/>
          <w:u w:val="none"/>
          <w:lang w:val="en-US" w:eastAsia="zh-CN" w:bidi="ar-SA"/>
        </w:rPr>
        <w:t>l</w:t>
      </w:r>
      <w:r>
        <w:rPr>
          <w:rFonts w:hint="default" w:ascii="Times New Roman" w:hAnsi="Times New Roman" w:cs="Times New Roman" w:eastAsiaTheme="minorEastAsia"/>
          <w:b w:val="0"/>
          <w:i w:val="0"/>
          <w:strike w:val="0"/>
          <w:color w:val="auto"/>
          <w:kern w:val="2"/>
          <w:sz w:val="21"/>
          <w:szCs w:val="21"/>
          <w:u w:val="none"/>
          <w:lang w:val="en-US" w:eastAsia="zh-CN" w:bidi="ar-SA"/>
        </w:rPr>
        <w:t>ow-density lipoprotein cholesterol, LDL-C）水平升高可增加GC风险，而高密度脂蛋白胆固醇（</w:t>
      </w:r>
      <w:r>
        <w:rPr>
          <w:rFonts w:hint="eastAsia" w:ascii="Times New Roman" w:hAnsi="Times New Roman" w:cs="Times New Roman"/>
          <w:b w:val="0"/>
          <w:i w:val="0"/>
          <w:strike w:val="0"/>
          <w:color w:val="auto"/>
          <w:kern w:val="2"/>
          <w:sz w:val="21"/>
          <w:szCs w:val="21"/>
          <w:u w:val="none"/>
          <w:lang w:val="en-US" w:eastAsia="zh-CN" w:bidi="ar-SA"/>
        </w:rPr>
        <w:t>h</w:t>
      </w:r>
      <w:r>
        <w:rPr>
          <w:rFonts w:hint="default" w:ascii="Times New Roman" w:hAnsi="Times New Roman" w:cs="Times New Roman" w:eastAsiaTheme="minorEastAsia"/>
          <w:b w:val="0"/>
          <w:i w:val="0"/>
          <w:strike w:val="0"/>
          <w:color w:val="auto"/>
          <w:kern w:val="2"/>
          <w:sz w:val="21"/>
          <w:szCs w:val="21"/>
          <w:u w:val="none"/>
          <w:lang w:val="en-US" w:eastAsia="zh-CN" w:bidi="ar-SA"/>
        </w:rPr>
        <w:t>igh-density lipoprotein cholesterol, HDL-C）、甘油三酯（</w:t>
      </w:r>
      <w:r>
        <w:rPr>
          <w:rFonts w:hint="eastAsia" w:ascii="Times New Roman" w:hAnsi="Times New Roman" w:cs="Times New Roman"/>
          <w:b w:val="0"/>
          <w:i w:val="0"/>
          <w:strike w:val="0"/>
          <w:color w:val="auto"/>
          <w:kern w:val="2"/>
          <w:sz w:val="21"/>
          <w:szCs w:val="21"/>
          <w:u w:val="none"/>
          <w:lang w:val="en-US" w:eastAsia="zh-CN" w:bidi="ar-SA"/>
        </w:rPr>
        <w:t>t</w:t>
      </w:r>
      <w:r>
        <w:rPr>
          <w:rFonts w:hint="default" w:ascii="Times New Roman" w:hAnsi="Times New Roman" w:cs="Times New Roman" w:eastAsiaTheme="minorEastAsia"/>
          <w:b w:val="0"/>
          <w:i w:val="0"/>
          <w:strike w:val="0"/>
          <w:color w:val="auto"/>
          <w:kern w:val="2"/>
          <w:sz w:val="21"/>
          <w:szCs w:val="21"/>
          <w:u w:val="none"/>
          <w:lang w:val="en-US" w:eastAsia="zh-CN" w:bidi="ar-SA"/>
        </w:rPr>
        <w:t>riglyceride, TG）及总胆固醇（</w:t>
      </w:r>
      <w:r>
        <w:rPr>
          <w:rFonts w:hint="eastAsia" w:ascii="Times New Roman" w:hAnsi="Times New Roman" w:cs="Times New Roman"/>
          <w:b w:val="0"/>
          <w:i w:val="0"/>
          <w:strike w:val="0"/>
          <w:color w:val="auto"/>
          <w:kern w:val="2"/>
          <w:sz w:val="21"/>
          <w:szCs w:val="21"/>
          <w:u w:val="none"/>
          <w:lang w:val="en-US" w:eastAsia="zh-CN" w:bidi="ar-SA"/>
        </w:rPr>
        <w:t>t</w:t>
      </w:r>
      <w:r>
        <w:rPr>
          <w:rFonts w:hint="default" w:ascii="Times New Roman" w:hAnsi="Times New Roman" w:cs="Times New Roman" w:eastAsiaTheme="minorEastAsia"/>
          <w:b w:val="0"/>
          <w:i w:val="0"/>
          <w:strike w:val="0"/>
          <w:color w:val="auto"/>
          <w:kern w:val="2"/>
          <w:sz w:val="21"/>
          <w:szCs w:val="21"/>
          <w:u w:val="none"/>
          <w:lang w:val="en-US" w:eastAsia="zh-CN" w:bidi="ar-SA"/>
        </w:rPr>
        <w:t>otal cholesterol, TC）</w:t>
      </w:r>
      <w:r>
        <w:rPr>
          <w:rFonts w:hint="default" w:ascii="Times New Roman" w:hAnsi="Times New Roman" w:cs="Times New Roman"/>
          <w:b w:val="0"/>
          <w:i w:val="0"/>
          <w:strike w:val="0"/>
          <w:color w:val="auto"/>
          <w:kern w:val="2"/>
          <w:sz w:val="21"/>
          <w:szCs w:val="21"/>
          <w:u w:val="none"/>
          <w:lang w:val="en-US" w:eastAsia="zh-CN" w:bidi="ar-SA"/>
        </w:rPr>
        <w:t>水平</w:t>
      </w:r>
      <w:r>
        <w:rPr>
          <w:rFonts w:hint="eastAsia" w:ascii="Times New Roman" w:hAnsi="Times New Roman" w:cs="Times New Roman"/>
          <w:b w:val="0"/>
          <w:i w:val="0"/>
          <w:strike w:val="0"/>
          <w:color w:val="auto"/>
          <w:kern w:val="2"/>
          <w:sz w:val="21"/>
          <w:szCs w:val="21"/>
          <w:u w:val="none"/>
          <w:lang w:val="en-US" w:eastAsia="zh-CN" w:bidi="ar-SA"/>
        </w:rPr>
        <w:t>增加</w:t>
      </w:r>
      <w:r>
        <w:rPr>
          <w:rFonts w:hint="default" w:ascii="Times New Roman" w:hAnsi="Times New Roman" w:cs="Times New Roman"/>
          <w:b w:val="0"/>
          <w:i w:val="0"/>
          <w:strike w:val="0"/>
          <w:color w:val="auto"/>
          <w:kern w:val="2"/>
          <w:sz w:val="21"/>
          <w:szCs w:val="21"/>
          <w:u w:val="none"/>
          <w:lang w:val="en-US" w:eastAsia="zh-CN" w:bidi="ar-SA"/>
        </w:rPr>
        <w:t>则与</w:t>
      </w:r>
      <w:r>
        <w:rPr>
          <w:rFonts w:hint="default" w:ascii="Times New Roman" w:hAnsi="Times New Roman" w:cs="Times New Roman" w:eastAsiaTheme="minorEastAsia"/>
          <w:b w:val="0"/>
          <w:i w:val="0"/>
          <w:strike w:val="0"/>
          <w:color w:val="auto"/>
          <w:kern w:val="2"/>
          <w:sz w:val="21"/>
          <w:szCs w:val="21"/>
          <w:u w:val="none"/>
          <w:lang w:val="en-US" w:eastAsia="zh-CN" w:bidi="ar-SA"/>
        </w:rPr>
        <w:t>GC</w:t>
      </w:r>
      <w:r>
        <w:rPr>
          <w:rFonts w:hint="eastAsia" w:ascii="Times New Roman" w:hAnsi="Times New Roman" w:cs="Times New Roman"/>
          <w:b w:val="0"/>
          <w:i w:val="0"/>
          <w:strike w:val="0"/>
          <w:color w:val="auto"/>
          <w:kern w:val="2"/>
          <w:sz w:val="21"/>
          <w:szCs w:val="21"/>
          <w:u w:val="none"/>
          <w:lang w:val="en-US" w:eastAsia="zh-CN" w:bidi="ar-SA"/>
        </w:rPr>
        <w:t>风险</w:t>
      </w:r>
      <w:r>
        <w:rPr>
          <w:rFonts w:hint="default" w:ascii="Times New Roman" w:hAnsi="Times New Roman" w:cs="Times New Roman" w:eastAsiaTheme="minorEastAsia"/>
          <w:b w:val="0"/>
          <w:i w:val="0"/>
          <w:strike w:val="0"/>
          <w:color w:val="auto"/>
          <w:kern w:val="2"/>
          <w:sz w:val="21"/>
          <w:szCs w:val="21"/>
          <w:u w:val="none"/>
          <w:lang w:val="en-US" w:eastAsia="zh-CN" w:bidi="ar-SA"/>
        </w:rPr>
        <w:t>降低相关</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eastAsiaTheme="minorEastAsia"/>
          <w:b w:val="0"/>
          <w:i w:val="0"/>
          <w:strike w:val="0"/>
          <w:color w:val="auto"/>
          <w:kern w:val="2"/>
          <w:sz w:val="21"/>
          <w:szCs w:val="21"/>
          <w:u w:val="none"/>
          <w:lang w:val="en-US" w:eastAsia="zh-CN" w:bidi="ar-SA"/>
        </w:rPr>
        <w:t>Xu S等</w:t>
      </w:r>
      <w:r>
        <w:rPr>
          <w:rFonts w:hint="default" w:ascii="Times New Roman" w:hAnsi="Times New Roman" w:eastAsia="宋体" w:cs="Times New Roman"/>
          <w:b w:val="0"/>
          <w:i w:val="0"/>
          <w:strike w:val="0"/>
          <w:color w:val="auto"/>
          <w:kern w:val="2"/>
          <w:sz w:val="21"/>
          <w:szCs w:val="21"/>
          <w:u w:val="no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lang w:val="en-US" w:eastAsia="zh-CN" w:bidi="ar-SA"/>
        </w:rPr>
        <w:instrText xml:space="preserve"> ADDIN  ADDIN KYMRREF{96D92876-0348-451D-8565-038C0D43D940}1157 </w:instrText>
      </w:r>
      <w:r>
        <w:rPr>
          <w:rFonts w:hint="default" w:ascii="Times New Roman" w:hAnsi="Times New Roman" w:eastAsia="宋体"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[12]</w:t>
      </w:r>
      <w:r>
        <w:rPr>
          <w:rFonts w:hint="default" w:ascii="Times New Roman" w:hAnsi="Times New Roman" w:eastAsia="宋体" w:cs="Times New Roman"/>
          <w:b w:val="0"/>
          <w:i w:val="0"/>
          <w:strike w:val="0"/>
          <w:color w:val="auto"/>
          <w:kern w:val="2"/>
          <w:sz w:val="21"/>
          <w:szCs w:val="21"/>
          <w:u w:val="none"/>
          <w:lang w:val="en-US" w:eastAsia="zh-CN" w:bidi="ar-SA"/>
        </w:rPr>
        <w:fldChar w:fldCharType="end"/>
      </w:r>
      <w:r>
        <w:rPr>
          <w:rFonts w:hint="default" w:ascii="Times New Roman" w:hAnsi="Times New Roman" w:cs="Times New Roman"/>
          <w:b w:val="0"/>
          <w:i w:val="0"/>
          <w:strike w:val="0"/>
          <w:color w:val="auto"/>
          <w:kern w:val="2"/>
          <w:sz w:val="21"/>
          <w:szCs w:val="21"/>
          <w:u w:val="none"/>
          <w:lang w:val="en-US" w:eastAsia="zh-CN" w:bidi="ar-SA"/>
        </w:rPr>
        <w:t>研究发现，GC风险与</w:t>
      </w:r>
      <w:r>
        <w:rPr>
          <w:rFonts w:hint="default" w:ascii="Times New Roman" w:hAnsi="Times New Roman" w:cs="Times New Roman" w:eastAsiaTheme="minorEastAsia"/>
          <w:b w:val="0"/>
          <w:i w:val="0"/>
          <w:strike w:val="0"/>
          <w:color w:val="auto"/>
          <w:kern w:val="2"/>
          <w:sz w:val="21"/>
          <w:szCs w:val="21"/>
          <w:u w:val="none"/>
          <w:lang w:val="en-US" w:eastAsia="zh-CN" w:bidi="ar-SA"/>
        </w:rPr>
        <w:t>TC、HDL-C</w:t>
      </w:r>
      <w:r>
        <w:rPr>
          <w:rFonts w:hint="default" w:ascii="Times New Roman" w:hAnsi="Times New Roman" w:cs="Times New Roman"/>
          <w:b w:val="0"/>
          <w:i w:val="0"/>
          <w:strike w:val="0"/>
          <w:color w:val="auto"/>
          <w:kern w:val="2"/>
          <w:sz w:val="21"/>
          <w:szCs w:val="21"/>
          <w:u w:val="none"/>
          <w:lang w:val="en-US" w:eastAsia="zh-CN" w:bidi="ar-SA"/>
        </w:rPr>
        <w:t>呈负</w:t>
      </w:r>
      <w:r>
        <w:rPr>
          <w:rFonts w:hint="default" w:ascii="Times New Roman" w:hAnsi="Times New Roman" w:cs="Times New Roman" w:eastAsiaTheme="minorEastAsia"/>
          <w:b w:val="0"/>
          <w:i w:val="0"/>
          <w:strike w:val="0"/>
          <w:color w:val="auto"/>
          <w:kern w:val="2"/>
          <w:sz w:val="21"/>
          <w:szCs w:val="21"/>
          <w:u w:val="none"/>
          <w:lang w:val="en-US" w:eastAsia="zh-CN" w:bidi="ar-SA"/>
        </w:rPr>
        <w:t>相关，</w:t>
      </w:r>
      <w:r>
        <w:rPr>
          <w:rFonts w:hint="default" w:ascii="Times New Roman" w:hAnsi="Times New Roman" w:cs="Times New Roman"/>
          <w:b w:val="0"/>
          <w:i w:val="0"/>
          <w:strike w:val="0"/>
          <w:color w:val="auto"/>
          <w:kern w:val="2"/>
          <w:sz w:val="21"/>
          <w:szCs w:val="21"/>
          <w:u w:val="none"/>
          <w:lang w:val="en-US" w:eastAsia="zh-CN" w:bidi="ar-SA"/>
        </w:rPr>
        <w:t>但</w:t>
      </w:r>
      <w:r>
        <w:rPr>
          <w:rFonts w:hint="default" w:ascii="Times New Roman" w:hAnsi="Times New Roman" w:cs="Times New Roman" w:eastAsiaTheme="minorEastAsia"/>
          <w:b w:val="0"/>
          <w:i w:val="0"/>
          <w:strike w:val="0"/>
          <w:color w:val="auto"/>
          <w:kern w:val="2"/>
          <w:sz w:val="21"/>
          <w:szCs w:val="21"/>
          <w:u w:val="none"/>
          <w:lang w:val="en-US" w:eastAsia="zh-CN" w:bidi="ar-SA"/>
        </w:rPr>
        <w:t>与LDL-C</w:t>
      </w:r>
      <w:r>
        <w:rPr>
          <w:rFonts w:hint="eastAsia" w:ascii="Times New Roman" w:hAnsi="Times New Roman" w:cs="Times New Roman"/>
          <w:b w:val="0"/>
          <w:i w:val="0"/>
          <w:strike w:val="0"/>
          <w:color w:val="auto"/>
          <w:kern w:val="2"/>
          <w:sz w:val="21"/>
          <w:szCs w:val="21"/>
          <w:u w:val="none"/>
          <w:lang w:val="en-US" w:eastAsia="zh-CN" w:bidi="ar-SA"/>
        </w:rPr>
        <w:t>和</w:t>
      </w:r>
      <w:r>
        <w:rPr>
          <w:rFonts w:hint="default" w:ascii="Times New Roman" w:hAnsi="Times New Roman" w:cs="Times New Roman" w:eastAsiaTheme="minorEastAsia"/>
          <w:b w:val="0"/>
          <w:i w:val="0"/>
          <w:strike w:val="0"/>
          <w:color w:val="auto"/>
          <w:kern w:val="2"/>
          <w:sz w:val="21"/>
          <w:szCs w:val="21"/>
          <w:u w:val="none"/>
          <w:lang w:val="en-US" w:eastAsia="zh-CN" w:bidi="ar-SA"/>
        </w:rPr>
        <w:t>TG无</w:t>
      </w:r>
      <w:r>
        <w:rPr>
          <w:rFonts w:hint="default" w:ascii="Times New Roman" w:hAnsi="Times New Roman" w:cs="Times New Roman"/>
          <w:b w:val="0"/>
          <w:i w:val="0"/>
          <w:strike w:val="0"/>
          <w:color w:val="auto"/>
          <w:kern w:val="2"/>
          <w:sz w:val="21"/>
          <w:szCs w:val="21"/>
          <w:u w:val="none"/>
          <w:lang w:val="en-US" w:eastAsia="zh-CN" w:bidi="ar-SA"/>
        </w:rPr>
        <w:t>显著</w:t>
      </w:r>
      <w:r>
        <w:rPr>
          <w:rFonts w:hint="default" w:ascii="Times New Roman" w:hAnsi="Times New Roman" w:cs="Times New Roman" w:eastAsiaTheme="minorEastAsia"/>
          <w:b w:val="0"/>
          <w:i w:val="0"/>
          <w:strike w:val="0"/>
          <w:color w:val="auto"/>
          <w:kern w:val="2"/>
          <w:sz w:val="21"/>
          <w:szCs w:val="21"/>
          <w:u w:val="none"/>
          <w:lang w:val="en-US" w:eastAsia="zh-CN" w:bidi="ar-SA"/>
        </w:rPr>
        <w:t>关联。此外，</w:t>
      </w:r>
      <w:r>
        <w:rPr>
          <w:rFonts w:hint="default" w:ascii="Times New Roman" w:hAnsi="Times New Roman" w:cs="Times New Roman"/>
          <w:b w:val="0"/>
          <w:i w:val="0"/>
          <w:strike w:val="0"/>
          <w:color w:val="auto"/>
          <w:kern w:val="2"/>
          <w:sz w:val="21"/>
          <w:szCs w:val="21"/>
          <w:u w:val="none"/>
          <w:lang w:val="en-US" w:eastAsia="zh-CN" w:bidi="ar-SA"/>
        </w:rPr>
        <w:t>不同研究背景下，</w:t>
      </w:r>
      <w:r>
        <w:rPr>
          <w:rFonts w:hint="default" w:ascii="Times New Roman" w:hAnsi="Times New Roman" w:cs="Times New Roman" w:eastAsiaTheme="minorEastAsia"/>
          <w:b w:val="0"/>
          <w:i w:val="0"/>
          <w:strike w:val="0"/>
          <w:color w:val="auto"/>
          <w:kern w:val="2"/>
          <w:sz w:val="21"/>
          <w:szCs w:val="21"/>
          <w:u w:val="none"/>
          <w:lang w:val="en-US" w:eastAsia="zh-CN" w:bidi="ar-SA"/>
        </w:rPr>
        <w:t>肥胖与</w:t>
      </w:r>
      <w:r>
        <w:rPr>
          <w:rFonts w:hint="default" w:ascii="Times New Roman" w:hAnsi="Times New Roman" w:cs="Times New Roman"/>
          <w:b w:val="0"/>
          <w:i w:val="0"/>
          <w:strike w:val="0"/>
          <w:color w:val="auto"/>
          <w:kern w:val="2"/>
          <w:sz w:val="21"/>
          <w:szCs w:val="21"/>
          <w:u w:val="none"/>
          <w:lang w:val="en-US" w:eastAsia="zh-CN" w:bidi="ar-SA"/>
        </w:rPr>
        <w:t>GC</w:t>
      </w:r>
      <w:r>
        <w:rPr>
          <w:rFonts w:hint="eastAsia" w:ascii="Times New Roman" w:hAnsi="Times New Roman" w:cs="Times New Roman"/>
          <w:b w:val="0"/>
          <w:i w:val="0"/>
          <w:strike w:val="0"/>
          <w:color w:val="auto"/>
          <w:kern w:val="2"/>
          <w:sz w:val="21"/>
          <w:szCs w:val="21"/>
          <w:u w:val="none"/>
          <w:lang w:val="en-US" w:eastAsia="zh-CN" w:bidi="ar-SA"/>
        </w:rPr>
        <w:t>风险</w:t>
      </w:r>
      <w:r>
        <w:rPr>
          <w:rFonts w:hint="default" w:ascii="Times New Roman" w:hAnsi="Times New Roman" w:cs="Times New Roman" w:eastAsiaTheme="minorEastAsia"/>
          <w:b w:val="0"/>
          <w:i w:val="0"/>
          <w:strike w:val="0"/>
          <w:color w:val="auto"/>
          <w:kern w:val="2"/>
          <w:sz w:val="21"/>
          <w:szCs w:val="21"/>
          <w:u w:val="none"/>
          <w:lang w:val="en-US" w:eastAsia="zh-CN" w:bidi="ar-SA"/>
        </w:rPr>
        <w:t>关联性</w:t>
      </w:r>
      <w:r>
        <w:rPr>
          <w:rFonts w:hint="eastAsia" w:ascii="Times New Roman" w:hAnsi="Times New Roman" w:cs="Times New Roman"/>
          <w:b w:val="0"/>
          <w:i w:val="0"/>
          <w:strike w:val="0"/>
          <w:color w:val="auto"/>
          <w:kern w:val="2"/>
          <w:sz w:val="21"/>
          <w:szCs w:val="21"/>
          <w:u w:val="none"/>
          <w:lang w:val="en-US" w:eastAsia="zh-CN" w:bidi="ar-SA"/>
        </w:rPr>
        <w:t>被证实</w:t>
      </w:r>
      <w:r>
        <w:rPr>
          <w:rFonts w:hint="default" w:ascii="Times New Roman" w:hAnsi="Times New Roman" w:cs="Times New Roman" w:eastAsiaTheme="minorEastAsia"/>
          <w:b w:val="0"/>
          <w:i w:val="0"/>
          <w:strike w:val="0"/>
          <w:color w:val="auto"/>
          <w:kern w:val="2"/>
          <w:sz w:val="21"/>
          <w:szCs w:val="21"/>
          <w:u w:val="none"/>
          <w:lang w:val="en-US" w:eastAsia="zh-CN" w:bidi="ar-SA"/>
        </w:rPr>
        <w:t>存在</w:t>
      </w:r>
      <w:r>
        <w:rPr>
          <w:rFonts w:hint="default" w:ascii="Times New Roman" w:hAnsi="Times New Roman" w:cs="Times New Roman"/>
          <w:b w:val="0"/>
          <w:i w:val="0"/>
          <w:strike w:val="0"/>
          <w:color w:val="auto"/>
          <w:kern w:val="2"/>
          <w:sz w:val="21"/>
          <w:szCs w:val="21"/>
          <w:u w:val="none"/>
          <w:lang w:val="en-US" w:eastAsia="zh-CN" w:bidi="ar-SA"/>
        </w:rPr>
        <w:t>显著的</w:t>
      </w:r>
      <w:r>
        <w:rPr>
          <w:rFonts w:hint="default" w:ascii="Times New Roman" w:hAnsi="Times New Roman" w:cs="Times New Roman" w:eastAsiaTheme="minorEastAsia"/>
          <w:b w:val="0"/>
          <w:i w:val="0"/>
          <w:strike w:val="0"/>
          <w:color w:val="auto"/>
          <w:kern w:val="2"/>
          <w:sz w:val="21"/>
          <w:szCs w:val="21"/>
          <w:u w:val="none"/>
          <w:lang w:val="en-US" w:eastAsia="zh-CN" w:bidi="ar-SA"/>
        </w:rPr>
        <w:t>异质性</w:t>
      </w:r>
      <w:r>
        <w:rPr>
          <w:rFonts w:hint="default" w:ascii="Times New Roman" w:hAnsi="Times New Roman" w:eastAsia="宋体" w:cs="Times New Roman"/>
          <w:b w:val="0"/>
          <w:i w:val="0"/>
          <w:strike w:val="0"/>
          <w:color w:val="auto"/>
          <w:kern w:val="2"/>
          <w:sz w:val="21"/>
          <w:szCs w:val="21"/>
          <w:u w:val="no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lang w:val="en-US" w:eastAsia="zh-CN" w:bidi="ar-SA"/>
        </w:rPr>
        <w:instrText xml:space="preserve"> ADDIN KYMRREF{96D92876-0348-451D-8565-038C0D43D940}1158,{8F215C65-BADE-4FD0-B26F-6DF5A5DBD711}1161,{8F215C65-BADE-4FD0-B26F-6DF5A5DBD711}1162,{8F215C65-BADE-4FD0-B26F-6DF5A5DBD711}1163,{96D92876-0348-451D-8565-038C0D43D940}1162</w:instrText>
      </w:r>
      <w:r>
        <w:rPr>
          <w:rFonts w:hint="default" w:ascii="Times New Roman" w:hAnsi="Times New Roman" w:eastAsia="宋体"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[13-17]</w:t>
      </w:r>
      <w:r>
        <w:rPr>
          <w:rFonts w:hint="default" w:ascii="Times New Roman" w:hAnsi="Times New Roman" w:eastAsia="宋体" w:cs="Times New Roman"/>
          <w:b w:val="0"/>
          <w:i w:val="0"/>
          <w:strike w:val="0"/>
          <w:color w:val="auto"/>
          <w:kern w:val="2"/>
          <w:sz w:val="21"/>
          <w:szCs w:val="21"/>
          <w:u w:val="none"/>
          <w:lang w:val="en-US" w:eastAsia="zh-CN" w:bidi="ar-SA"/>
        </w:rPr>
        <w:fldChar w:fldCharType="end"/>
      </w:r>
      <w:r>
        <w:rPr>
          <w:rFonts w:hint="default" w:ascii="Times New Roman" w:hAnsi="Times New Roman" w:cs="Times New Roman" w:eastAsiaTheme="minorEastAsia"/>
          <w:b w:val="0"/>
          <w:i w:val="0"/>
          <w:strike w:val="0"/>
          <w:color w:val="auto"/>
          <w:kern w:val="2"/>
          <w:sz w:val="21"/>
          <w:szCs w:val="21"/>
          <w:u w:val="none"/>
          <w:lang w:val="en-US" w:eastAsia="zh-CN" w:bidi="ar-SA"/>
        </w:rPr>
        <w:t>。新型</w:t>
      </w:r>
      <w:r>
        <w:rPr>
          <w:rFonts w:hint="default" w:ascii="Times New Roman" w:hAnsi="Times New Roman" w:cs="Times New Roman"/>
          <w:b w:val="0"/>
          <w:i w:val="0"/>
          <w:strike w:val="0"/>
          <w:color w:val="auto"/>
          <w:kern w:val="2"/>
          <w:sz w:val="21"/>
          <w:szCs w:val="21"/>
          <w:u w:val="none"/>
          <w:lang w:val="en-US" w:eastAsia="zh-CN" w:bidi="ar-SA"/>
        </w:rPr>
        <w:t>肥胖</w:t>
      </w:r>
      <w:r>
        <w:rPr>
          <w:rFonts w:hint="default" w:ascii="Times New Roman" w:hAnsi="Times New Roman" w:cs="Times New Roman" w:eastAsiaTheme="minorEastAsia"/>
          <w:b w:val="0"/>
          <w:i w:val="0"/>
          <w:strike w:val="0"/>
          <w:color w:val="auto"/>
          <w:kern w:val="2"/>
          <w:sz w:val="21"/>
          <w:szCs w:val="21"/>
          <w:u w:val="none"/>
          <w:lang w:val="en-US" w:eastAsia="zh-CN" w:bidi="ar-SA"/>
        </w:rPr>
        <w:t>相关指标</w:t>
      </w:r>
      <w:r>
        <w:rPr>
          <w:rFonts w:hint="default" w:ascii="Times New Roman" w:hAnsi="Times New Roman" w:cs="Times New Roman"/>
          <w:b w:val="0"/>
          <w:i w:val="0"/>
          <w:strike w:val="0"/>
          <w:color w:val="auto"/>
          <w:kern w:val="2"/>
          <w:sz w:val="21"/>
          <w:szCs w:val="21"/>
          <w:u w:val="none"/>
          <w:lang w:val="en-US" w:eastAsia="zh-CN" w:bidi="ar-SA"/>
        </w:rPr>
        <w:t>（</w:t>
      </w:r>
      <w:r>
        <w:rPr>
          <w:rFonts w:hint="eastAsia" w:ascii="Times New Roman" w:hAnsi="Times New Roman" w:cs="Times New Roman"/>
          <w:b w:val="0"/>
          <w:i w:val="0"/>
          <w:strike w:val="0"/>
          <w:color w:val="auto"/>
          <w:kern w:val="2"/>
          <w:sz w:val="21"/>
          <w:szCs w:val="21"/>
          <w:u w:val="none"/>
          <w:lang w:val="en-US" w:eastAsia="zh-CN" w:bidi="ar-SA"/>
        </w:rPr>
        <w:t>n</w:t>
      </w:r>
      <w:r>
        <w:rPr>
          <w:rFonts w:hint="default" w:ascii="Times New Roman" w:hAnsi="Times New Roman" w:cs="Times New Roman"/>
          <w:b w:val="0"/>
          <w:i w:val="0"/>
          <w:strike w:val="0"/>
          <w:color w:val="auto"/>
          <w:kern w:val="2"/>
          <w:sz w:val="21"/>
          <w:szCs w:val="21"/>
          <w:u w:val="none"/>
          <w:lang w:val="en-US" w:eastAsia="zh-CN" w:bidi="ar-SA"/>
        </w:rPr>
        <w:t>ovel obesity-related indices, NORI）</w:t>
      </w:r>
      <w:r>
        <w:rPr>
          <w:rFonts w:hint="eastAsia" w:ascii="Times New Roman" w:hAnsi="Times New Roman" w:cs="Times New Roman"/>
          <w:b w:val="0"/>
          <w:i w:val="0"/>
          <w:strike w:val="0"/>
          <w:color w:val="auto"/>
          <w:kern w:val="2"/>
          <w:sz w:val="21"/>
          <w:szCs w:val="21"/>
          <w:u w:val="none"/>
          <w:lang w:val="en-US" w:eastAsia="zh-CN" w:bidi="ar-SA"/>
        </w:rPr>
        <w:t>，包括</w:t>
      </w:r>
      <w:r>
        <w:rPr>
          <w:rFonts w:hint="default" w:ascii="Times New Roman" w:hAnsi="Times New Roman" w:cs="Times New Roman"/>
          <w:b w:val="0"/>
          <w:i w:val="0"/>
          <w:strike w:val="0"/>
          <w:color w:val="auto"/>
          <w:kern w:val="2"/>
          <w:sz w:val="21"/>
          <w:szCs w:val="21"/>
          <w:u w:val="none"/>
          <w:lang w:val="en-US" w:eastAsia="zh-CN" w:bidi="ar-SA"/>
        </w:rPr>
        <w:t>脂质蓄积指数（</w:t>
      </w:r>
      <w:r>
        <w:rPr>
          <w:rFonts w:hint="eastAsia" w:ascii="Times New Roman" w:hAnsi="Times New Roman" w:cs="Times New Roman"/>
          <w:b w:val="0"/>
          <w:i w:val="0"/>
          <w:strike w:val="0"/>
          <w:color w:val="auto"/>
          <w:kern w:val="2"/>
          <w:sz w:val="21"/>
          <w:szCs w:val="21"/>
          <w:u w:val="none"/>
          <w:lang w:val="en-US" w:eastAsia="zh-CN" w:bidi="ar-SA"/>
        </w:rPr>
        <w:t>l</w:t>
      </w:r>
      <w:r>
        <w:rPr>
          <w:rFonts w:hint="default" w:ascii="Times New Roman" w:hAnsi="Times New Roman" w:cs="Times New Roman"/>
          <w:b w:val="0"/>
          <w:i w:val="0"/>
          <w:strike w:val="0"/>
          <w:color w:val="auto"/>
          <w:kern w:val="2"/>
          <w:sz w:val="21"/>
          <w:szCs w:val="21"/>
          <w:u w:val="none"/>
          <w:lang w:val="en-US" w:eastAsia="zh-CN" w:bidi="ar-SA"/>
        </w:rPr>
        <w:t>ipid accumulation product, LAP）、内脏脂肪指数（</w:t>
      </w:r>
      <w:r>
        <w:rPr>
          <w:rFonts w:hint="eastAsia" w:ascii="Times New Roman" w:hAnsi="Times New Roman" w:cs="Times New Roman"/>
          <w:b w:val="0"/>
          <w:i w:val="0"/>
          <w:strike w:val="0"/>
          <w:color w:val="auto"/>
          <w:kern w:val="2"/>
          <w:sz w:val="21"/>
          <w:szCs w:val="21"/>
          <w:u w:val="none"/>
          <w:lang w:val="en-US" w:eastAsia="zh-CN" w:bidi="ar-SA"/>
        </w:rPr>
        <w:t>v</w:t>
      </w:r>
      <w:r>
        <w:rPr>
          <w:rFonts w:hint="default" w:ascii="Times New Roman" w:hAnsi="Times New Roman" w:cs="Times New Roman"/>
          <w:b w:val="0"/>
          <w:i w:val="0"/>
          <w:strike w:val="0"/>
          <w:color w:val="auto"/>
          <w:kern w:val="2"/>
          <w:sz w:val="21"/>
          <w:szCs w:val="21"/>
          <w:u w:val="none"/>
          <w:lang w:val="en-US" w:eastAsia="zh-CN" w:bidi="ar-SA"/>
        </w:rPr>
        <w:t>isceral adiposity index, VAI）和中国内脏脂肪指数（Chinese visceral adiposity index, CVAI）等</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eastAsiaTheme="minorEastAsia"/>
          <w:b w:val="0"/>
          <w:i w:val="0"/>
          <w:strike w:val="0"/>
          <w:color w:val="auto"/>
          <w:kern w:val="2"/>
          <w:sz w:val="21"/>
          <w:szCs w:val="21"/>
          <w:u w:val="none"/>
          <w:lang w:val="en-US" w:eastAsia="zh-CN" w:bidi="ar-SA"/>
        </w:rPr>
        <w:t>可综合反映机体脂质代谢、体脂分布及肥胖相关代谢紊乱</w:t>
      </w:r>
      <w:r>
        <w:rPr>
          <w:rFonts w:hint="default" w:ascii="Times New Roman" w:hAnsi="Times New Roman" w:cs="Times New Roman"/>
          <w:b w:val="0"/>
          <w:i w:val="0"/>
          <w:strike w:val="0"/>
          <w:color w:val="auto"/>
          <w:kern w:val="2"/>
          <w:sz w:val="21"/>
          <w:szCs w:val="21"/>
          <w:u w:val="none"/>
          <w:lang w:val="en-US" w:eastAsia="zh-CN" w:bidi="ar-SA"/>
        </w:rPr>
        <w:t>特征</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相较于传统肥胖指标，能更全面、精准地评估疾病风险。</w:t>
      </w:r>
      <w:r>
        <w:rPr>
          <w:rFonts w:hint="default" w:ascii="Times New Roman" w:hAnsi="Times New Roman" w:cs="Times New Roman" w:eastAsiaTheme="minorEastAsia"/>
          <w:b w:val="0"/>
          <w:i w:val="0"/>
          <w:strike w:val="0"/>
          <w:color w:val="auto"/>
          <w:kern w:val="2"/>
          <w:sz w:val="21"/>
          <w:szCs w:val="21"/>
          <w:u w:val="none"/>
          <w:lang w:val="en-US" w:eastAsia="zh-CN" w:bidi="ar-SA"/>
        </w:rPr>
        <w:t>部分指标已被证实与消化系统肿瘤</w:t>
      </w:r>
      <w:r>
        <w:rPr>
          <w:rFonts w:hint="default" w:ascii="Times New Roman" w:hAnsi="Times New Roman" w:cs="Times New Roman"/>
          <w:b w:val="0"/>
          <w:i w:val="0"/>
          <w:strike w:val="0"/>
          <w:color w:val="auto"/>
          <w:kern w:val="2"/>
          <w:sz w:val="21"/>
          <w:szCs w:val="21"/>
          <w:u w:val="none"/>
          <w:lang w:val="en-US" w:eastAsia="zh-CN" w:bidi="ar-SA"/>
        </w:rPr>
        <w:t>独立相关</w:t>
      </w:r>
      <w:r>
        <w:rPr>
          <w:rFonts w:hint="default" w:ascii="Times New Roman" w:hAnsi="Times New Roman" w:eastAsia="宋体" w:cs="Times New Roman"/>
          <w:b w:val="0"/>
          <w:i w:val="0"/>
          <w:strike w:val="0"/>
          <w:color w:val="auto"/>
          <w:kern w:val="2"/>
          <w:sz w:val="21"/>
          <w:szCs w:val="21"/>
          <w:u w:val="no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lang w:val="en-US" w:eastAsia="zh-CN" w:bidi="ar-SA"/>
        </w:rPr>
        <w:instrText xml:space="preserve"> ADDIN KYMRREF{8F215C65-BADE-4FD0-B26F-6DF5A5DBD711}1165,{4148E1CE-DE09-4549-8A63-95C952E2B967}1170</w:instrText>
      </w:r>
      <w:r>
        <w:rPr>
          <w:rFonts w:hint="default" w:ascii="Times New Roman" w:hAnsi="Times New Roman" w:eastAsia="宋体"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[18, 19]</w:t>
      </w:r>
      <w:r>
        <w:rPr>
          <w:rFonts w:hint="default" w:ascii="Times New Roman" w:hAnsi="Times New Roman" w:eastAsia="宋体" w:cs="Times New Roman"/>
          <w:b w:val="0"/>
          <w:i w:val="0"/>
          <w:strike w:val="0"/>
          <w:color w:val="auto"/>
          <w:kern w:val="2"/>
          <w:sz w:val="21"/>
          <w:szCs w:val="21"/>
          <w:u w:val="none"/>
          <w:lang w:val="en-US" w:eastAsia="zh-CN" w:bidi="ar-SA"/>
        </w:rPr>
        <w:fldChar w:fldCharType="end"/>
      </w:r>
      <w:r>
        <w:rPr>
          <w:rFonts w:hint="default" w:ascii="Times New Roman" w:hAnsi="Times New Roman" w:cs="Times New Roman" w:eastAsiaTheme="minorEastAsia"/>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然而，在上消化道癌高发现场人群中</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探索</w:t>
      </w:r>
      <w:r>
        <w:rPr>
          <w:rFonts w:hint="eastAsia" w:ascii="Times New Roman" w:hAnsi="Times New Roman" w:cs="Times New Roman"/>
          <w:b w:val="0"/>
          <w:i w:val="0"/>
          <w:strike w:val="0"/>
          <w:color w:val="auto"/>
          <w:kern w:val="2"/>
          <w:sz w:val="21"/>
          <w:szCs w:val="21"/>
          <w:u w:val="none"/>
          <w:lang w:val="en-US" w:eastAsia="zh-CN" w:bidi="ar-SA"/>
        </w:rPr>
        <w:t>N</w:t>
      </w:r>
      <w:r>
        <w:rPr>
          <w:rFonts w:hint="default" w:ascii="Times New Roman" w:hAnsi="Times New Roman" w:cs="Times New Roman"/>
          <w:b w:val="0"/>
          <w:i w:val="0"/>
          <w:strike w:val="0"/>
          <w:color w:val="auto"/>
          <w:kern w:val="2"/>
          <w:sz w:val="21"/>
          <w:szCs w:val="21"/>
          <w:u w:val="none"/>
          <w:lang w:val="en-US" w:eastAsia="zh-CN" w:bidi="ar-SA"/>
        </w:rPr>
        <w:t>ORI</w:t>
      </w:r>
      <w:r>
        <w:rPr>
          <w:rFonts w:hint="default" w:ascii="Times New Roman" w:hAnsi="Times New Roman" w:cs="Times New Roman" w:eastAsiaTheme="minorEastAsia"/>
          <w:b w:val="0"/>
          <w:i w:val="0"/>
          <w:strike w:val="0"/>
          <w:color w:val="auto"/>
          <w:kern w:val="2"/>
          <w:sz w:val="21"/>
          <w:szCs w:val="21"/>
          <w:u w:val="none"/>
          <w:lang w:val="en-US" w:eastAsia="zh-CN" w:bidi="ar-SA"/>
        </w:rPr>
        <w:t>与</w:t>
      </w:r>
      <w:r>
        <w:rPr>
          <w:rFonts w:hint="default" w:ascii="Times New Roman" w:hAnsi="Times New Roman" w:cs="Times New Roman"/>
          <w:b w:val="0"/>
          <w:i w:val="0"/>
          <w:strike w:val="0"/>
          <w:color w:val="auto"/>
          <w:sz w:val="21"/>
          <w:szCs w:val="21"/>
          <w:u w:val="none"/>
          <w:lang w:val="en-US" w:eastAsia="zh-CN"/>
        </w:rPr>
        <w:t>GC</w:t>
      </w:r>
      <w:r>
        <w:rPr>
          <w:rFonts w:hint="default"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eastAsiaTheme="minorEastAsia"/>
          <w:b w:val="0"/>
          <w:i w:val="0"/>
          <w:strike w:val="0"/>
          <w:color w:val="auto"/>
          <w:kern w:val="2"/>
          <w:sz w:val="21"/>
          <w:szCs w:val="21"/>
          <w:u w:val="none"/>
          <w:lang w:val="en-US" w:eastAsia="zh-CN" w:bidi="ar-SA"/>
        </w:rPr>
        <w:t>癌前病变</w:t>
      </w:r>
      <w:r>
        <w:rPr>
          <w:rFonts w:hint="default" w:ascii="Times New Roman" w:hAnsi="Times New Roman" w:cs="Times New Roman"/>
          <w:b w:val="0"/>
          <w:i w:val="0"/>
          <w:strike w:val="0"/>
          <w:color w:val="auto"/>
          <w:kern w:val="2"/>
          <w:sz w:val="21"/>
          <w:szCs w:val="21"/>
          <w:u w:val="none"/>
          <w:lang w:val="en-US" w:eastAsia="zh-CN" w:bidi="ar-SA"/>
        </w:rPr>
        <w:t>和癌前疾病独立关联</w:t>
      </w:r>
      <w:r>
        <w:rPr>
          <w:rFonts w:hint="default" w:ascii="Times New Roman" w:hAnsi="Times New Roman" w:cs="Times New Roman" w:eastAsiaTheme="minorEastAsia"/>
          <w:b w:val="0"/>
          <w:i w:val="0"/>
          <w:strike w:val="0"/>
          <w:color w:val="auto"/>
          <w:kern w:val="2"/>
          <w:sz w:val="21"/>
          <w:szCs w:val="21"/>
          <w:u w:val="none"/>
          <w:lang w:val="en-US" w:eastAsia="zh-CN" w:bidi="ar-SA"/>
        </w:rPr>
        <w:t>的研究仍较为匮乏</w:t>
      </w:r>
      <w:r>
        <w:rPr>
          <w:rFonts w:hint="eastAsia" w:ascii="Times New Roman" w:hAnsi="Times New Roman" w:cs="Times New Roman"/>
          <w:color w:val="auto"/>
          <w:szCs w:val="21"/>
          <w:u w:val="none"/>
        </w:rPr>
        <w:t>，难以阐明 NORI 在胃部病变逐级进展过程中的变化特征</w:t>
      </w:r>
      <w:r>
        <w:rPr>
          <w:rFonts w:hint="default" w:ascii="Times New Roman" w:hAnsi="Times New Roman" w:cs="Times New Roman" w:eastAsiaTheme="minorEastAsia"/>
          <w:b w:val="0"/>
          <w:i w:val="0"/>
          <w:strike w:val="0"/>
          <w:color w:val="auto"/>
          <w:kern w:val="2"/>
          <w:sz w:val="21"/>
          <w:szCs w:val="21"/>
          <w:u w:val="none"/>
          <w:lang w:val="en-US" w:eastAsia="zh-CN" w:bidi="ar-SA"/>
        </w:rPr>
        <w:t>。</w:t>
      </w:r>
      <w:r>
        <w:rPr>
          <w:rFonts w:hint="eastAsia" w:ascii="Times New Roman" w:hAnsi="Times New Roman" w:cs="Times New Roman"/>
          <w:b w:val="0"/>
          <w:i w:val="0"/>
          <w:strike w:val="0"/>
          <w:color w:val="auto"/>
          <w:kern w:val="2"/>
          <w:sz w:val="21"/>
          <w:szCs w:val="21"/>
          <w:u w:val="none"/>
          <w:lang w:val="en-US" w:eastAsia="zh-CN" w:bidi="ar-SA"/>
        </w:rPr>
        <w:t>因此，</w:t>
      </w:r>
      <w:r>
        <w:rPr>
          <w:rFonts w:hint="eastAsia" w:ascii="Times New Roman" w:hAnsi="Times New Roman" w:cs="Times New Roman" w:eastAsiaTheme="minorEastAsia"/>
          <w:b w:val="0"/>
          <w:i w:val="0"/>
          <w:strike w:val="0"/>
          <w:color w:val="auto"/>
          <w:kern w:val="2"/>
          <w:sz w:val="21"/>
          <w:szCs w:val="21"/>
          <w:u w:val="none"/>
          <w:lang w:val="en-US" w:eastAsia="zh-CN" w:bidi="ar-SA"/>
        </w:rPr>
        <w:t>本研究依托扬中市上消化道癌人群筛查</w:t>
      </w:r>
      <w:r>
        <w:rPr>
          <w:rFonts w:hint="eastAsia" w:ascii="Times New Roman" w:hAnsi="Times New Roman" w:cs="Times New Roman"/>
          <w:b w:val="0"/>
          <w:i w:val="0"/>
          <w:strike w:val="0"/>
          <w:color w:val="auto"/>
          <w:kern w:val="2"/>
          <w:sz w:val="21"/>
          <w:szCs w:val="21"/>
          <w:u w:val="none"/>
          <w:lang w:val="en-US" w:eastAsia="zh-CN" w:bidi="ar-SA"/>
        </w:rPr>
        <w:t>及</w:t>
      </w:r>
      <w:r>
        <w:rPr>
          <w:rFonts w:hint="eastAsia" w:ascii="Times New Roman" w:hAnsi="Times New Roman" w:cs="Times New Roman" w:eastAsiaTheme="minorEastAsia"/>
          <w:b w:val="0"/>
          <w:i w:val="0"/>
          <w:strike w:val="0"/>
          <w:color w:val="auto"/>
          <w:kern w:val="2"/>
          <w:sz w:val="21"/>
          <w:szCs w:val="21"/>
          <w:u w:val="none"/>
          <w:lang w:val="en-US" w:eastAsia="zh-CN" w:bidi="ar-SA"/>
        </w:rPr>
        <w:t>食管癌专病</w:t>
      </w:r>
      <w:r>
        <w:rPr>
          <w:rFonts w:hint="eastAsia" w:ascii="Times New Roman" w:hAnsi="Times New Roman" w:cs="Times New Roman"/>
          <w:b w:val="0"/>
          <w:i w:val="0"/>
          <w:strike w:val="0"/>
          <w:color w:val="auto"/>
          <w:kern w:val="2"/>
          <w:sz w:val="21"/>
          <w:szCs w:val="21"/>
          <w:u w:val="none"/>
          <w:lang w:val="en-US" w:eastAsia="zh-CN" w:bidi="ar-SA"/>
        </w:rPr>
        <w:t>队列研究项目</w:t>
      </w:r>
      <w:r>
        <w:rPr>
          <w:rFonts w:hint="eastAsia" w:ascii="Times New Roman" w:hAnsi="Times New Roman" w:cs="Times New Roman" w:eastAsiaTheme="minorEastAsia"/>
          <w:b w:val="0"/>
          <w:i w:val="0"/>
          <w:strike w:val="0"/>
          <w:color w:val="auto"/>
          <w:kern w:val="2"/>
          <w:sz w:val="21"/>
          <w:szCs w:val="21"/>
          <w:u w:val="none"/>
          <w:lang w:val="en-US" w:eastAsia="zh-CN" w:bidi="ar-SA"/>
        </w:rPr>
        <w:t>，系统</w:t>
      </w:r>
      <w:r>
        <w:rPr>
          <w:rFonts w:hint="eastAsia" w:ascii="Times New Roman" w:hAnsi="Times New Roman" w:cs="Times New Roman"/>
          <w:b w:val="0"/>
          <w:i w:val="0"/>
          <w:strike w:val="0"/>
          <w:color w:val="auto"/>
          <w:kern w:val="2"/>
          <w:sz w:val="21"/>
          <w:szCs w:val="21"/>
          <w:u w:val="none"/>
          <w:lang w:val="en-US" w:eastAsia="zh-CN" w:bidi="ar-SA"/>
        </w:rPr>
        <w:t>探索5种NORI分别</w:t>
      </w:r>
      <w:r>
        <w:rPr>
          <w:rFonts w:hint="eastAsia" w:ascii="Times New Roman" w:hAnsi="Times New Roman" w:cs="Times New Roman" w:eastAsiaTheme="minorEastAsia"/>
          <w:b w:val="0"/>
          <w:i w:val="0"/>
          <w:strike w:val="0"/>
          <w:color w:val="auto"/>
          <w:kern w:val="2"/>
          <w:sz w:val="21"/>
          <w:szCs w:val="21"/>
          <w:u w:val="none"/>
          <w:lang w:val="en-US" w:eastAsia="zh-CN" w:bidi="ar-SA"/>
        </w:rPr>
        <w:t>与</w:t>
      </w:r>
      <w:r>
        <w:rPr>
          <w:rFonts w:hint="eastAsia" w:ascii="Times New Roman" w:hAnsi="Times New Roman" w:cs="Times New Roman"/>
          <w:b w:val="0"/>
          <w:i w:val="0"/>
          <w:strike w:val="0"/>
          <w:color w:val="auto"/>
          <w:kern w:val="2"/>
          <w:sz w:val="21"/>
          <w:szCs w:val="21"/>
          <w:u w:val="none"/>
          <w:lang w:val="en-US" w:eastAsia="zh-CN" w:bidi="ar-SA"/>
        </w:rPr>
        <w:t>GC、</w:t>
      </w:r>
      <w:r>
        <w:rPr>
          <w:rFonts w:hint="eastAsia" w:ascii="Times New Roman" w:hAnsi="Times New Roman" w:cs="Times New Roman" w:eastAsiaTheme="minorEastAsia"/>
          <w:b w:val="0"/>
          <w:i w:val="0"/>
          <w:strike w:val="0"/>
          <w:color w:val="auto"/>
          <w:kern w:val="2"/>
          <w:sz w:val="21"/>
          <w:szCs w:val="21"/>
          <w:u w:val="none"/>
          <w:lang w:val="en-US" w:eastAsia="zh-CN" w:bidi="ar-SA"/>
        </w:rPr>
        <w:t>癌前病变</w:t>
      </w:r>
      <w:r>
        <w:rPr>
          <w:rFonts w:hint="eastAsia" w:ascii="Times New Roman" w:hAnsi="Times New Roman" w:cs="Times New Roman"/>
          <w:b w:val="0"/>
          <w:i w:val="0"/>
          <w:strike w:val="0"/>
          <w:color w:val="auto"/>
          <w:kern w:val="2"/>
          <w:sz w:val="21"/>
          <w:szCs w:val="21"/>
          <w:u w:val="none"/>
          <w:lang w:val="en-US" w:eastAsia="zh-CN" w:bidi="ar-SA"/>
        </w:rPr>
        <w:t>及癌前疾病</w:t>
      </w:r>
      <w:r>
        <w:rPr>
          <w:rFonts w:hint="eastAsia" w:ascii="Times New Roman" w:hAnsi="Times New Roman" w:cs="Times New Roman" w:eastAsiaTheme="minorEastAsia"/>
          <w:b w:val="0"/>
          <w:i w:val="0"/>
          <w:strike w:val="0"/>
          <w:color w:val="auto"/>
          <w:kern w:val="2"/>
          <w:sz w:val="21"/>
          <w:szCs w:val="21"/>
          <w:u w:val="none"/>
          <w:lang w:val="en-US" w:eastAsia="zh-CN" w:bidi="ar-SA"/>
        </w:rPr>
        <w:t>的关联性，</w:t>
      </w:r>
      <w:r>
        <w:rPr>
          <w:rFonts w:hint="eastAsia" w:ascii="Times New Roman" w:hAnsi="Times New Roman" w:cs="Times New Roman"/>
          <w:b w:val="0"/>
          <w:i w:val="0"/>
          <w:strike w:val="0"/>
          <w:color w:val="auto"/>
          <w:kern w:val="2"/>
          <w:sz w:val="21"/>
          <w:szCs w:val="21"/>
          <w:u w:val="none"/>
          <w:lang w:val="en-US" w:eastAsia="zh-CN" w:bidi="ar-SA"/>
        </w:rPr>
        <w:t>并进一步分析不同疾病部位中关联的异质性，旨在为上消化道癌高发地区人群胃部疾病的综合防治提供参考。</w:t>
      </w:r>
    </w:p>
    <w:p w14:paraId="04226F72">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eastAsiaTheme="majorEastAsia"/>
          <w:b w:val="0"/>
          <w:i w:val="0"/>
          <w:strike w:val="0"/>
          <w:color w:val="auto"/>
          <w:kern w:val="2"/>
          <w:sz w:val="21"/>
          <w:szCs w:val="21"/>
          <w:u w:val="none"/>
          <w:lang w:val="en-US" w:eastAsia="zh-CN" w:bidi="ar-SA"/>
        </w:rPr>
      </w:pPr>
    </w:p>
    <w:p w14:paraId="2E9FFF9B">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ajorEastAsia"/>
          <w:b/>
          <w:bCs/>
          <w:i w:val="0"/>
          <w:color w:val="auto"/>
          <w:sz w:val="21"/>
          <w:u w:val="none"/>
          <w:lang w:val="en-US" w:eastAsia="zh-CN"/>
        </w:rPr>
      </w:pPr>
      <w:r>
        <w:rPr>
          <w:rFonts w:hint="default" w:ascii="Times New Roman" w:hAnsi="Times New Roman" w:cs="Times New Roman" w:eastAsiaTheme="majorEastAsia"/>
          <w:b/>
          <w:bCs/>
          <w:i w:val="0"/>
          <w:color w:val="auto"/>
          <w:sz w:val="21"/>
          <w:u w:val="none"/>
          <w:lang w:val="en-US" w:eastAsia="zh-CN"/>
        </w:rPr>
        <w:t>1 对象与方法</w:t>
      </w:r>
    </w:p>
    <w:p w14:paraId="554A77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cs="Times New Roman"/>
          <w:b w:val="0"/>
          <w:i w:val="0"/>
          <w:color w:val="auto"/>
          <w:sz w:val="21"/>
          <w:u w:val="none"/>
          <w:lang w:val="en-US" w:eastAsia="zh-CN"/>
        </w:rPr>
      </w:pPr>
      <w:r>
        <w:rPr>
          <w:rFonts w:hint="default" w:ascii="Times New Roman" w:hAnsi="Times New Roman" w:cs="Times New Roman"/>
          <w:b w:val="0"/>
          <w:i w:val="0"/>
          <w:color w:val="auto"/>
          <w:sz w:val="21"/>
          <w:u w:val="none"/>
          <w:lang w:val="en-US" w:eastAsia="zh-CN"/>
        </w:rPr>
        <w:t>1.1</w:t>
      </w:r>
      <w:r>
        <w:rPr>
          <w:rFonts w:hint="default" w:ascii="Times New Roman" w:hAnsi="Times New Roman" w:eastAsia="楷体" w:cs="Times New Roman"/>
          <w:color w:val="auto"/>
          <w:lang w:val="en-US" w:eastAsia="zh-CN"/>
        </w:rPr>
        <w:t xml:space="preserve">研究对象 </w:t>
      </w:r>
      <w:r>
        <w:rPr>
          <w:rFonts w:hint="default" w:ascii="Times New Roman" w:hAnsi="Times New Roman" w:cs="Times New Roman"/>
          <w:b w:val="0"/>
          <w:i w:val="0"/>
          <w:color w:val="auto"/>
          <w:sz w:val="21"/>
          <w:u w:val="none"/>
          <w:lang w:val="en-US" w:eastAsia="zh-CN"/>
        </w:rPr>
        <w:t xml:space="preserve"> </w:t>
      </w:r>
    </w:p>
    <w:p w14:paraId="76C129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jc w:val="both"/>
        <w:textAlignment w:val="auto"/>
        <w:rPr>
          <w:rFonts w:hint="default" w:ascii="Times New Roman" w:hAnsi="Times New Roman" w:cs="Times New Roman" w:eastAsiaTheme="minorEastAsia"/>
          <w:b w:val="0"/>
          <w:i w:val="0"/>
          <w:strike w:val="0"/>
          <w:color w:val="auto"/>
          <w:kern w:val="2"/>
          <w:sz w:val="21"/>
          <w:szCs w:val="21"/>
          <w:u w:val="none"/>
          <w:lang w:val="en-US" w:eastAsia="zh-CN" w:bidi="ar-SA"/>
        </w:rPr>
      </w:pPr>
      <w:r>
        <w:rPr>
          <w:rFonts w:hint="default" w:ascii="Times New Roman" w:hAnsi="Times New Roman" w:cs="Times New Roman" w:eastAsiaTheme="minorEastAsia"/>
          <w:b w:val="0"/>
          <w:i w:val="0"/>
          <w:strike w:val="0"/>
          <w:color w:val="auto"/>
          <w:kern w:val="2"/>
          <w:sz w:val="21"/>
          <w:szCs w:val="21"/>
          <w:u w:val="none"/>
          <w:lang w:val="en-US" w:eastAsia="zh-CN" w:bidi="ar-SA"/>
        </w:rPr>
        <w:t>本研究基于上消化道癌人群筛查</w:t>
      </w:r>
      <w:r>
        <w:rPr>
          <w:rFonts w:hint="default" w:ascii="Times New Roman" w:hAnsi="Times New Roman" w:cs="Times New Roman"/>
          <w:b w:val="0"/>
          <w:i w:val="0"/>
          <w:strike w:val="0"/>
          <w:color w:val="auto"/>
          <w:kern w:val="2"/>
          <w:sz w:val="21"/>
          <w:szCs w:val="21"/>
          <w:u w:val="none"/>
          <w:lang w:val="en-US" w:eastAsia="zh-CN" w:bidi="ar-SA"/>
        </w:rPr>
        <w:t>和</w:t>
      </w:r>
      <w:r>
        <w:rPr>
          <w:rFonts w:hint="default" w:ascii="Times New Roman" w:hAnsi="Times New Roman" w:cs="Times New Roman" w:eastAsiaTheme="minorEastAsia"/>
          <w:b w:val="0"/>
          <w:i w:val="0"/>
          <w:strike w:val="0"/>
          <w:color w:val="auto"/>
          <w:kern w:val="2"/>
          <w:sz w:val="21"/>
          <w:szCs w:val="21"/>
          <w:u w:val="none"/>
          <w:lang w:val="en-US" w:eastAsia="zh-CN" w:bidi="ar-SA"/>
        </w:rPr>
        <w:t>食管癌专病队列的基线数据开展</w:t>
      </w:r>
      <w:r>
        <w:rPr>
          <w:rFonts w:hint="default" w:ascii="Times New Roman" w:hAnsi="Times New Roman" w:eastAsia="宋体" w:cs="Times New Roman"/>
          <w:b w:val="0"/>
          <w:i w:val="0"/>
          <w:strike w:val="0"/>
          <w:color w:val="auto"/>
          <w:kern w:val="2"/>
          <w:sz w:val="21"/>
          <w:szCs w:val="21"/>
          <w:u w:val="no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lang w:val="en-US" w:eastAsia="zh-CN" w:bidi="ar-SA"/>
        </w:rPr>
        <w:instrText xml:space="preserve"> ADDIN KYMRREF{96D92876-0348-451D-8565-038C0D43D940}1158,{96D92876-0348-451D-8565-038C0D43D940}1162,{8F215C65-BADE-4FD0-B26F-6DF5A5DBD711}1167,{8F215C65-BADE-4FD0-B26F-6DF5A5DBD711}1168,{8F215C65-BADE-4FD0-B26F-6DF5A5DBD711}1170</w:instrText>
      </w:r>
      <w:r>
        <w:rPr>
          <w:rFonts w:hint="default" w:ascii="Times New Roman" w:hAnsi="Times New Roman" w:eastAsia="宋体"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[13, 17, 20-22]</w:t>
      </w:r>
      <w:r>
        <w:rPr>
          <w:rFonts w:hint="default" w:ascii="Times New Roman" w:hAnsi="Times New Roman" w:eastAsia="宋体" w:cs="Times New Roman"/>
          <w:b w:val="0"/>
          <w:i w:val="0"/>
          <w:strike w:val="0"/>
          <w:color w:val="auto"/>
          <w:kern w:val="2"/>
          <w:sz w:val="21"/>
          <w:szCs w:val="21"/>
          <w:u w:val="none"/>
          <w:lang w:val="en-US" w:eastAsia="zh-CN" w:bidi="ar-SA"/>
        </w:rPr>
        <w:fldChar w:fldCharType="end"/>
      </w:r>
      <w:r>
        <w:rPr>
          <w:rFonts w:hint="default" w:ascii="Times New Roman" w:hAnsi="Times New Roman" w:cs="Times New Roman" w:eastAsiaTheme="minorEastAsia"/>
          <w:b w:val="0"/>
          <w:i w:val="0"/>
          <w:strike w:val="0"/>
          <w:color w:val="auto"/>
          <w:kern w:val="2"/>
          <w:sz w:val="21"/>
          <w:szCs w:val="21"/>
          <w:u w:val="none"/>
          <w:lang w:val="en-US" w:eastAsia="zh-CN" w:bidi="ar-SA"/>
        </w:rPr>
        <w:t>。扬中市人民医院分别</w:t>
      </w:r>
      <w:r>
        <w:rPr>
          <w:rFonts w:hint="eastAsia" w:ascii="Times New Roman" w:hAnsi="Times New Roman" w:cs="Times New Roman"/>
          <w:b w:val="0"/>
          <w:i w:val="0"/>
          <w:strike w:val="0"/>
          <w:color w:val="auto"/>
          <w:kern w:val="2"/>
          <w:sz w:val="21"/>
          <w:szCs w:val="21"/>
          <w:u w:val="none"/>
          <w:lang w:val="en-US" w:eastAsia="zh-CN" w:bidi="ar-SA"/>
        </w:rPr>
        <w:t>于</w:t>
      </w:r>
      <w:r>
        <w:rPr>
          <w:rFonts w:hint="default" w:ascii="Times New Roman" w:hAnsi="Times New Roman" w:cs="Times New Roman" w:eastAsiaTheme="minorEastAsia"/>
          <w:b w:val="0"/>
          <w:i w:val="0"/>
          <w:strike w:val="0"/>
          <w:color w:val="auto"/>
          <w:kern w:val="2"/>
          <w:sz w:val="21"/>
          <w:szCs w:val="21"/>
          <w:u w:val="none"/>
          <w:lang w:val="en-US" w:eastAsia="zh-CN" w:bidi="ar-SA"/>
        </w:rPr>
        <w:t>2006年和2017年</w:t>
      </w:r>
      <w:r>
        <w:rPr>
          <w:rFonts w:hint="eastAsia" w:ascii="Times New Roman" w:hAnsi="Times New Roman" w:cs="Times New Roman"/>
          <w:b w:val="0"/>
          <w:i w:val="0"/>
          <w:strike w:val="0"/>
          <w:color w:val="auto"/>
          <w:kern w:val="2"/>
          <w:sz w:val="21"/>
          <w:szCs w:val="21"/>
          <w:u w:val="none"/>
          <w:lang w:val="en-US" w:eastAsia="zh-CN" w:bidi="ar-SA"/>
        </w:rPr>
        <w:t>牵头开展上述两项项目</w:t>
      </w:r>
      <w:r>
        <w:rPr>
          <w:rFonts w:hint="default"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color w:val="auto"/>
          <w:szCs w:val="21"/>
          <w:u w:val="none"/>
        </w:rPr>
        <w:t>两项项目同步穿插、互补实施，共同</w:t>
      </w:r>
      <w:r>
        <w:rPr>
          <w:rFonts w:hint="eastAsia" w:ascii="Times New Roman" w:hAnsi="Times New Roman" w:cs="Times New Roman"/>
          <w:color w:val="auto"/>
          <w:szCs w:val="21"/>
          <w:u w:val="none"/>
          <w:lang w:val="en-US" w:eastAsia="zh-CN"/>
        </w:rPr>
        <w:t>协作完成筛查</w:t>
      </w:r>
      <w:r>
        <w:rPr>
          <w:rFonts w:hint="default" w:ascii="Times New Roman" w:hAnsi="Times New Roman" w:cs="Times New Roman"/>
          <w:color w:val="auto"/>
          <w:szCs w:val="21"/>
          <w:u w:val="none"/>
        </w:rPr>
        <w:t>工作</w:t>
      </w:r>
      <w:r>
        <w:rPr>
          <w:rFonts w:hint="default" w:ascii="Times New Roman" w:hAnsi="Times New Roman" w:cs="Times New Roman" w:eastAsiaTheme="minorEastAsia"/>
          <w:b w:val="0"/>
          <w:i w:val="0"/>
          <w:strike w:val="0"/>
          <w:color w:val="auto"/>
          <w:kern w:val="2"/>
          <w:sz w:val="21"/>
          <w:szCs w:val="21"/>
          <w:u w:val="none"/>
          <w:lang w:val="en-US" w:eastAsia="zh-CN" w:bidi="ar-SA"/>
        </w:rPr>
        <w:t>。目标人群均为当地40~69岁户籍居民，遵循既定纳入与排除标准，邀请符合条件者自愿参与上消化道癌筛查，</w:t>
      </w:r>
      <w:r>
        <w:rPr>
          <w:rFonts w:hint="eastAsia" w:ascii="Times New Roman" w:hAnsi="Times New Roman" w:cs="Times New Roman"/>
          <w:b w:val="0"/>
          <w:i w:val="0"/>
          <w:strike w:val="0"/>
          <w:color w:val="auto"/>
          <w:kern w:val="2"/>
          <w:sz w:val="21"/>
          <w:szCs w:val="21"/>
          <w:u w:val="none"/>
          <w:lang w:val="en-US" w:eastAsia="zh-CN" w:bidi="ar-SA"/>
        </w:rPr>
        <w:t>受试者依次完成</w:t>
      </w:r>
      <w:r>
        <w:rPr>
          <w:rFonts w:hint="default" w:ascii="Times New Roman" w:hAnsi="Times New Roman" w:cs="Times New Roman" w:eastAsiaTheme="minorEastAsia"/>
          <w:b w:val="0"/>
          <w:i w:val="0"/>
          <w:strike w:val="0"/>
          <w:color w:val="auto"/>
          <w:kern w:val="2"/>
          <w:sz w:val="21"/>
          <w:szCs w:val="21"/>
          <w:u w:val="none"/>
          <w:lang w:val="en-US" w:eastAsia="zh-CN" w:bidi="ar-SA"/>
        </w:rPr>
        <w:t>体格检查、流行病学调查、</w:t>
      </w:r>
      <w:r>
        <w:rPr>
          <w:rFonts w:hint="default" w:ascii="Times New Roman" w:hAnsi="Times New Roman" w:cs="Times New Roman"/>
          <w:b w:val="0"/>
          <w:i w:val="0"/>
          <w:strike w:val="0"/>
          <w:color w:val="auto"/>
          <w:kern w:val="2"/>
          <w:sz w:val="21"/>
          <w:szCs w:val="21"/>
          <w:u w:val="none"/>
          <w:lang w:val="en-US" w:eastAsia="zh-CN" w:bidi="ar-SA"/>
        </w:rPr>
        <w:t>实验室生化指标检测、</w:t>
      </w:r>
      <w:r>
        <w:rPr>
          <w:rFonts w:hint="default" w:ascii="Times New Roman" w:hAnsi="Times New Roman" w:cs="Times New Roman" w:eastAsiaTheme="minorEastAsia"/>
          <w:b w:val="0"/>
          <w:i w:val="0"/>
          <w:strike w:val="0"/>
          <w:color w:val="auto"/>
          <w:kern w:val="2"/>
          <w:sz w:val="21"/>
          <w:szCs w:val="21"/>
          <w:u w:val="none"/>
          <w:lang w:val="en-US" w:eastAsia="zh-CN" w:bidi="ar-SA"/>
        </w:rPr>
        <w:t>无痛内镜</w:t>
      </w:r>
      <w:r>
        <w:rPr>
          <w:rFonts w:hint="default" w:ascii="Times New Roman" w:hAnsi="Times New Roman" w:cs="Times New Roman"/>
          <w:b w:val="0"/>
          <w:i w:val="0"/>
          <w:strike w:val="0"/>
          <w:color w:val="auto"/>
          <w:kern w:val="2"/>
          <w:sz w:val="21"/>
          <w:szCs w:val="21"/>
          <w:u w:val="none"/>
          <w:lang w:val="en-US" w:eastAsia="zh-CN" w:bidi="ar-SA"/>
        </w:rPr>
        <w:t>检查</w:t>
      </w:r>
      <w:r>
        <w:rPr>
          <w:rFonts w:hint="default" w:ascii="Times New Roman" w:hAnsi="Times New Roman" w:cs="Times New Roman" w:eastAsiaTheme="minorEastAsia"/>
          <w:b w:val="0"/>
          <w:i w:val="0"/>
          <w:strike w:val="0"/>
          <w:color w:val="auto"/>
          <w:kern w:val="2"/>
          <w:sz w:val="21"/>
          <w:szCs w:val="21"/>
          <w:u w:val="none"/>
          <w:lang w:val="en-US" w:eastAsia="zh-CN" w:bidi="ar-SA"/>
        </w:rPr>
        <w:t>、病理学诊断和随访工作</w:t>
      </w:r>
      <w:r>
        <w:rPr>
          <w:rFonts w:hint="default"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eastAsiaTheme="minorEastAsia"/>
          <w:b w:val="0"/>
          <w:i w:val="0"/>
          <w:strike w:val="0"/>
          <w:color w:val="auto"/>
          <w:kern w:val="2"/>
          <w:sz w:val="21"/>
          <w:szCs w:val="21"/>
          <w:u w:val="none"/>
          <w:lang w:val="en-US" w:eastAsia="zh-CN" w:bidi="ar-SA"/>
        </w:rPr>
        <w:t>具体实施方案可参见既往文献</w:t>
      </w:r>
      <w:r>
        <w:rPr>
          <w:rFonts w:hint="default" w:ascii="Times New Roman" w:hAnsi="Times New Roman" w:eastAsia="宋体" w:cs="Times New Roman"/>
          <w:b w:val="0"/>
          <w:i w:val="0"/>
          <w:strike w:val="0"/>
          <w:color w:val="auto"/>
          <w:kern w:val="2"/>
          <w:sz w:val="21"/>
          <w:szCs w:val="21"/>
          <w:u w:val="none"/>
          <w:vertAlign w:val="baseline"/>
          <w:lang w:val="en-US" w:eastAsia="zh-CN" w:bidi="ar-SA"/>
        </w:rPr>
        <w:fldChar w:fldCharType="begin"/>
      </w:r>
      <w:r>
        <w:rPr>
          <w:rFonts w:hint="default" w:ascii="Times New Roman" w:hAnsi="Times New Roman" w:eastAsia="宋体" w:cs="Times New Roman"/>
          <w:b w:val="0"/>
          <w:i w:val="0"/>
          <w:strike w:val="0"/>
          <w:color w:val="auto"/>
          <w:kern w:val="2"/>
          <w:sz w:val="21"/>
          <w:szCs w:val="21"/>
          <w:u w:val="none"/>
          <w:vertAlign w:val="baseline"/>
          <w:lang w:val="en-US" w:eastAsia="zh-CN" w:bidi="ar-SA"/>
        </w:rPr>
        <w:instrText xml:space="preserve"> ADDIN KYMRREF{96D92876-0348-451D-8565-038C0D43D940}1158,{96D92876-0348-451D-8565-038C0D43D940}1162,{8F215C65-BADE-4FD0-B26F-6DF5A5DBD711}1167,{8F215C65-BADE-4FD0-B26F-6DF5A5DBD711}1168,{8F215C65-BADE-4FD0-B26F-6DF5A5DBD711}1170</w:instrText>
      </w:r>
      <w:r>
        <w:rPr>
          <w:rFonts w:hint="default" w:ascii="Times New Roman" w:hAnsi="Times New Roman" w:eastAsia="宋体" w:cs="Times New Roman"/>
          <w:b w:val="0"/>
          <w:i w:val="0"/>
          <w:strike w:val="0"/>
          <w:color w:val="auto"/>
          <w:kern w:val="2"/>
          <w:sz w:val="21"/>
          <w:szCs w:val="21"/>
          <w:u w:val="none"/>
          <w:vertAlign w:val="baseli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[13, 17, 20-22]</w:t>
      </w:r>
      <w:r>
        <w:rPr>
          <w:rFonts w:hint="default" w:ascii="Times New Roman" w:hAnsi="Times New Roman" w:eastAsia="宋体" w:cs="Times New Roman"/>
          <w:b w:val="0"/>
          <w:i w:val="0"/>
          <w:strike w:val="0"/>
          <w:color w:val="auto"/>
          <w:kern w:val="2"/>
          <w:sz w:val="21"/>
          <w:szCs w:val="21"/>
          <w:u w:val="none"/>
          <w:vertAlign w:val="baseline"/>
          <w:lang w:val="en-US" w:eastAsia="zh-CN" w:bidi="ar-SA"/>
        </w:rPr>
        <w:fldChar w:fldCharType="end"/>
      </w:r>
      <w:r>
        <w:rPr>
          <w:rFonts w:hint="default" w:ascii="Times New Roman" w:hAnsi="Times New Roman" w:cs="Times New Roman" w:eastAsiaTheme="minorEastAsia"/>
          <w:b w:val="0"/>
          <w:i w:val="0"/>
          <w:strike w:val="0"/>
          <w:color w:val="auto"/>
          <w:kern w:val="2"/>
          <w:sz w:val="21"/>
          <w:szCs w:val="21"/>
          <w:u w:val="none"/>
          <w:lang w:val="en-US" w:eastAsia="zh-CN" w:bidi="ar-SA"/>
        </w:rPr>
        <w:t>。2017年11月</w:t>
      </w:r>
      <w:r>
        <w:rPr>
          <w:rFonts w:hint="default"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eastAsiaTheme="minorEastAsia"/>
          <w:b w:val="0"/>
          <w:i w:val="0"/>
          <w:strike w:val="0"/>
          <w:color w:val="auto"/>
          <w:kern w:val="2"/>
          <w:sz w:val="21"/>
          <w:szCs w:val="21"/>
          <w:u w:val="none"/>
          <w:lang w:val="en-US" w:eastAsia="zh-CN" w:bidi="ar-SA"/>
        </w:rPr>
        <w:t>2022年12月，</w:t>
      </w:r>
      <w:r>
        <w:rPr>
          <w:rFonts w:hint="eastAsia" w:ascii="Times New Roman" w:hAnsi="Times New Roman" w:cs="Times New Roman"/>
          <w:b w:val="0"/>
          <w:i w:val="0"/>
          <w:strike w:val="0"/>
          <w:color w:val="auto"/>
          <w:kern w:val="2"/>
          <w:sz w:val="21"/>
          <w:szCs w:val="21"/>
          <w:u w:val="none"/>
          <w:lang w:val="en-US" w:eastAsia="zh-CN" w:bidi="ar-SA"/>
        </w:rPr>
        <w:t>共有</w:t>
      </w:r>
      <w:r>
        <w:rPr>
          <w:rFonts w:hint="default" w:ascii="Times New Roman" w:hAnsi="Times New Roman" w:cs="Times New Roman" w:eastAsiaTheme="minorEastAsia"/>
          <w:b w:val="0"/>
          <w:i w:val="0"/>
          <w:strike w:val="0"/>
          <w:color w:val="auto"/>
          <w:kern w:val="2"/>
          <w:sz w:val="21"/>
          <w:szCs w:val="21"/>
          <w:u w:val="none"/>
          <w:lang w:val="en-US" w:eastAsia="zh-CN" w:bidi="ar-SA"/>
        </w:rPr>
        <w:t>10698</w:t>
      </w:r>
      <w:r>
        <w:rPr>
          <w:rFonts w:hint="default" w:ascii="Times New Roman" w:hAnsi="Times New Roman" w:cs="Times New Roman"/>
          <w:b w:val="0"/>
          <w:i w:val="0"/>
          <w:strike w:val="0"/>
          <w:color w:val="auto"/>
          <w:kern w:val="2"/>
          <w:sz w:val="21"/>
          <w:szCs w:val="21"/>
          <w:u w:val="none"/>
          <w:lang w:val="en-US" w:eastAsia="zh-CN" w:bidi="ar-SA"/>
        </w:rPr>
        <w:t>名</w:t>
      </w:r>
      <w:r>
        <w:rPr>
          <w:rFonts w:hint="default" w:ascii="Times New Roman" w:hAnsi="Times New Roman" w:cs="Times New Roman" w:eastAsiaTheme="minorEastAsia"/>
          <w:b w:val="0"/>
          <w:i w:val="0"/>
          <w:strike w:val="0"/>
          <w:color w:val="auto"/>
          <w:kern w:val="2"/>
          <w:sz w:val="21"/>
          <w:szCs w:val="21"/>
          <w:u w:val="none"/>
          <w:lang w:val="en-US" w:eastAsia="zh-CN" w:bidi="ar-SA"/>
        </w:rPr>
        <w:t>居民完成筛查</w:t>
      </w:r>
      <w:r>
        <w:rPr>
          <w:rFonts w:hint="default" w:ascii="Times New Roman" w:hAnsi="Times New Roman" w:cs="Times New Roman"/>
          <w:b w:val="0"/>
          <w:i w:val="0"/>
          <w:strike w:val="0"/>
          <w:color w:val="auto"/>
          <w:kern w:val="2"/>
          <w:sz w:val="21"/>
          <w:szCs w:val="21"/>
          <w:u w:val="none"/>
          <w:lang w:val="en-US" w:eastAsia="zh-CN" w:bidi="ar-SA"/>
        </w:rPr>
        <w:t>登记</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剔除</w:t>
      </w:r>
      <w:r>
        <w:rPr>
          <w:rFonts w:hint="eastAsia" w:ascii="Times New Roman" w:hAnsi="Times New Roman" w:cs="Times New Roman"/>
          <w:b w:val="0"/>
          <w:i w:val="0"/>
          <w:strike w:val="0"/>
          <w:color w:val="auto"/>
          <w:kern w:val="2"/>
          <w:sz w:val="21"/>
          <w:szCs w:val="21"/>
          <w:u w:val="none"/>
          <w:lang w:val="en-US" w:eastAsia="zh-CN" w:bidi="ar-SA"/>
        </w:rPr>
        <w:t>关键</w:t>
      </w:r>
      <w:r>
        <w:rPr>
          <w:rFonts w:hint="default" w:ascii="Times New Roman" w:hAnsi="Times New Roman" w:cs="Times New Roman"/>
          <w:b w:val="0"/>
          <w:i w:val="0"/>
          <w:strike w:val="0"/>
          <w:color w:val="auto"/>
          <w:kern w:val="2"/>
          <w:sz w:val="21"/>
          <w:szCs w:val="21"/>
          <w:u w:val="none"/>
          <w:lang w:val="en-US" w:eastAsia="zh-CN" w:bidi="ar-SA"/>
        </w:rPr>
        <w:t>分析变量</w:t>
      </w:r>
      <w:r>
        <w:rPr>
          <w:rFonts w:hint="eastAsia" w:ascii="Times New Roman" w:hAnsi="Times New Roman" w:cs="Times New Roman"/>
          <w:b w:val="0"/>
          <w:i w:val="0"/>
          <w:strike w:val="0"/>
          <w:color w:val="auto"/>
          <w:kern w:val="2"/>
          <w:sz w:val="21"/>
          <w:szCs w:val="21"/>
          <w:u w:val="none"/>
          <w:lang w:val="en-US" w:eastAsia="zh-CN" w:bidi="ar-SA"/>
        </w:rPr>
        <w:t>缺失</w:t>
      </w:r>
      <w:r>
        <w:rPr>
          <w:rFonts w:hint="default" w:ascii="Times New Roman" w:hAnsi="Times New Roman" w:cs="Times New Roman"/>
          <w:b w:val="0"/>
          <w:i w:val="0"/>
          <w:strike w:val="0"/>
          <w:color w:val="auto"/>
          <w:kern w:val="2"/>
          <w:sz w:val="21"/>
          <w:szCs w:val="21"/>
          <w:u w:val="none"/>
          <w:lang w:val="en-US" w:eastAsia="zh-CN" w:bidi="ar-SA"/>
        </w:rPr>
        <w:t>（599例）、有癌症病史（163例）、有上消化道疾病手术史（58例）及</w:t>
      </w:r>
      <w:r>
        <w:rPr>
          <w:rFonts w:hint="eastAsia" w:ascii="Times New Roman" w:hAnsi="Times New Roman" w:cs="Times New Roman"/>
          <w:b w:val="0"/>
          <w:i w:val="0"/>
          <w:strike w:val="0"/>
          <w:color w:val="auto"/>
          <w:kern w:val="2"/>
          <w:sz w:val="21"/>
          <w:szCs w:val="21"/>
          <w:u w:val="none"/>
          <w:lang w:val="en-US" w:eastAsia="zh-CN" w:bidi="ar-SA"/>
        </w:rPr>
        <w:t>病理</w:t>
      </w:r>
      <w:r>
        <w:rPr>
          <w:rFonts w:hint="default" w:ascii="Times New Roman" w:hAnsi="Times New Roman" w:cs="Times New Roman"/>
          <w:b w:val="0"/>
          <w:i w:val="0"/>
          <w:strike w:val="0"/>
          <w:color w:val="auto"/>
          <w:kern w:val="2"/>
          <w:sz w:val="21"/>
          <w:szCs w:val="21"/>
          <w:u w:val="none"/>
          <w:lang w:val="en-US" w:eastAsia="zh-CN" w:bidi="ar-SA"/>
        </w:rPr>
        <w:t>诊断为食管癌及癌前病变/疾病（635例）者，最终纳入9243名研究对象。</w:t>
      </w:r>
      <w:r>
        <w:rPr>
          <w:rFonts w:hint="default" w:ascii="Times New Roman" w:hAnsi="Times New Roman" w:cs="Times New Roman" w:eastAsiaTheme="minorEastAsia"/>
          <w:b w:val="0"/>
          <w:i w:val="0"/>
          <w:strike w:val="0"/>
          <w:color w:val="auto"/>
          <w:kern w:val="2"/>
          <w:sz w:val="21"/>
          <w:szCs w:val="21"/>
          <w:u w:val="none"/>
          <w:lang w:val="en-US" w:eastAsia="zh-CN" w:bidi="ar-SA"/>
        </w:rPr>
        <w:t>所有对象均签署知情同意书，本研究</w:t>
      </w:r>
      <w:r>
        <w:rPr>
          <w:rFonts w:hint="default" w:ascii="Times New Roman" w:hAnsi="Times New Roman" w:cs="Times New Roman"/>
          <w:b w:val="0"/>
          <w:i w:val="0"/>
          <w:strike w:val="0"/>
          <w:color w:val="auto"/>
          <w:kern w:val="2"/>
          <w:sz w:val="21"/>
          <w:szCs w:val="21"/>
          <w:u w:val="none"/>
          <w:lang w:val="en-US" w:eastAsia="zh-CN" w:bidi="ar-SA"/>
        </w:rPr>
        <w:t>经</w:t>
      </w:r>
      <w:r>
        <w:rPr>
          <w:rFonts w:hint="default" w:ascii="Times New Roman" w:hAnsi="Times New Roman" w:cs="Times New Roman" w:eastAsiaTheme="minorEastAsia"/>
          <w:b w:val="0"/>
          <w:i w:val="0"/>
          <w:strike w:val="0"/>
          <w:color w:val="auto"/>
          <w:kern w:val="2"/>
          <w:sz w:val="21"/>
          <w:szCs w:val="21"/>
          <w:u w:val="none"/>
          <w:lang w:val="en-US" w:eastAsia="zh-CN" w:bidi="ar-SA"/>
        </w:rPr>
        <w:t>扬中市人民医院（KY202402）和中国医学科学院肿瘤医院（No. 16-171/1250）伦理委员会批准。</w:t>
      </w:r>
    </w:p>
    <w:p w14:paraId="7850A481">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val="0"/>
          <w:i w:val="0"/>
          <w:strike w:val="0"/>
          <w:color w:val="auto"/>
          <w:kern w:val="2"/>
          <w:sz w:val="21"/>
          <w:szCs w:val="21"/>
          <w:u w:val="none"/>
          <w:lang w:val="en-US" w:eastAsia="zh-CN" w:bidi="ar-SA"/>
        </w:rPr>
      </w:pPr>
      <w:r>
        <w:rPr>
          <w:rFonts w:hint="default" w:ascii="Times New Roman" w:hAnsi="Times New Roman" w:eastAsia="华光中楷_CNKI" w:cs="Times New Roman"/>
          <w:color w:val="auto"/>
          <w:lang w:val="en-US" w:eastAsia="zh-CN"/>
        </w:rPr>
        <w:t>1.2</w:t>
      </w:r>
      <w:r>
        <w:rPr>
          <w:rFonts w:hint="default" w:ascii="Times New Roman" w:hAnsi="Times New Roman" w:eastAsia="楷体" w:cs="Times New Roman"/>
          <w:color w:val="auto"/>
          <w:lang w:val="en-US" w:eastAsia="zh-CN"/>
        </w:rPr>
        <w:t>研究方法</w:t>
      </w:r>
      <w:r>
        <w:rPr>
          <w:rFonts w:hint="default" w:ascii="Times New Roman" w:hAnsi="Times New Roman" w:cs="Times New Roman"/>
          <w:b w:val="0"/>
          <w:i w:val="0"/>
          <w:strike w:val="0"/>
          <w:color w:val="auto"/>
          <w:kern w:val="2"/>
          <w:sz w:val="21"/>
          <w:szCs w:val="21"/>
          <w:u w:val="none"/>
          <w:lang w:val="en-US" w:eastAsia="zh-CN" w:bidi="ar-SA"/>
        </w:rPr>
        <w:t xml:space="preserve">  </w:t>
      </w:r>
    </w:p>
    <w:p w14:paraId="7A09610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cs="Times New Roman" w:eastAsiaTheme="minorEastAsia"/>
          <w:b w:val="0"/>
          <w:i w:val="0"/>
          <w:strike w:val="0"/>
          <w:color w:val="auto"/>
          <w:kern w:val="2"/>
          <w:sz w:val="21"/>
          <w:szCs w:val="21"/>
          <w:u w:val="none"/>
          <w:lang w:val="en-US" w:eastAsia="zh-CN" w:bidi="ar-SA"/>
        </w:rPr>
      </w:pPr>
      <w:r>
        <w:rPr>
          <w:rFonts w:hint="default" w:ascii="Times New Roman" w:hAnsi="Times New Roman" w:cs="Times New Roman" w:eastAsiaTheme="minorEastAsia"/>
          <w:b w:val="0"/>
          <w:i w:val="0"/>
          <w:strike w:val="0"/>
          <w:color w:val="auto"/>
          <w:kern w:val="2"/>
          <w:sz w:val="21"/>
          <w:szCs w:val="21"/>
          <w:u w:val="none"/>
          <w:lang w:val="en-US" w:eastAsia="zh-CN" w:bidi="ar-SA"/>
        </w:rPr>
        <w:t>采用横断面研究</w:t>
      </w:r>
      <w:r>
        <w:rPr>
          <w:rFonts w:hint="default" w:ascii="Times New Roman" w:hAnsi="Times New Roman" w:cs="Times New Roman"/>
          <w:b w:val="0"/>
          <w:i w:val="0"/>
          <w:strike w:val="0"/>
          <w:color w:val="auto"/>
          <w:kern w:val="2"/>
          <w:sz w:val="21"/>
          <w:szCs w:val="21"/>
          <w:u w:val="none"/>
          <w:lang w:val="en-US" w:eastAsia="zh-CN" w:bidi="ar-SA"/>
        </w:rPr>
        <w:t>设计</w:t>
      </w:r>
      <w:r>
        <w:rPr>
          <w:rFonts w:hint="default" w:ascii="Times New Roman" w:hAnsi="Times New Roman" w:cs="Times New Roman" w:eastAsiaTheme="minorEastAsia"/>
          <w:b w:val="0"/>
          <w:i w:val="0"/>
          <w:strike w:val="0"/>
          <w:color w:val="auto"/>
          <w:kern w:val="2"/>
          <w:sz w:val="21"/>
          <w:szCs w:val="21"/>
          <w:u w:val="none"/>
          <w:lang w:val="en-US" w:eastAsia="zh-CN" w:bidi="ar-SA"/>
        </w:rPr>
        <w:t>，基于上消化道癌人群筛查基线数据，</w:t>
      </w:r>
      <w:r>
        <w:rPr>
          <w:rFonts w:hint="eastAsia" w:ascii="Times New Roman" w:hAnsi="Times New Roman" w:cs="Times New Roman"/>
          <w:b w:val="0"/>
          <w:i w:val="0"/>
          <w:strike w:val="0"/>
          <w:color w:val="auto"/>
          <w:kern w:val="2"/>
          <w:sz w:val="21"/>
          <w:szCs w:val="21"/>
          <w:u w:val="none"/>
          <w:lang w:val="en-US" w:eastAsia="zh-CN" w:bidi="ar-SA"/>
        </w:rPr>
        <w:t>旨在</w:t>
      </w:r>
      <w:r>
        <w:rPr>
          <w:rFonts w:hint="default" w:ascii="Times New Roman" w:hAnsi="Times New Roman" w:cs="Times New Roman" w:eastAsiaTheme="minorEastAsia"/>
          <w:b w:val="0"/>
          <w:i w:val="0"/>
          <w:strike w:val="0"/>
          <w:color w:val="auto"/>
          <w:kern w:val="2"/>
          <w:sz w:val="21"/>
          <w:szCs w:val="21"/>
          <w:u w:val="none"/>
          <w:lang w:val="en-US" w:eastAsia="zh-CN" w:bidi="ar-SA"/>
        </w:rPr>
        <w:t>探究5种</w:t>
      </w:r>
      <w:r>
        <w:rPr>
          <w:rFonts w:hint="eastAsia" w:ascii="Times New Roman" w:hAnsi="Times New Roman" w:cs="Times New Roman"/>
          <w:b w:val="0"/>
          <w:i w:val="0"/>
          <w:strike w:val="0"/>
          <w:color w:val="auto"/>
          <w:kern w:val="2"/>
          <w:sz w:val="21"/>
          <w:szCs w:val="21"/>
          <w:u w:val="none"/>
          <w:lang w:val="en-US" w:eastAsia="zh-CN" w:bidi="ar-SA"/>
        </w:rPr>
        <w:t>NORI</w:t>
      </w:r>
      <w:r>
        <w:rPr>
          <w:rFonts w:hint="default" w:ascii="Times New Roman" w:hAnsi="Times New Roman" w:cs="Times New Roman" w:eastAsiaTheme="minorEastAsia"/>
          <w:b w:val="0"/>
          <w:i w:val="0"/>
          <w:strike w:val="0"/>
          <w:color w:val="auto"/>
          <w:kern w:val="2"/>
          <w:sz w:val="21"/>
          <w:szCs w:val="21"/>
          <w:u w:val="none"/>
          <w:lang w:val="en-US" w:eastAsia="zh-CN" w:bidi="ar-SA"/>
        </w:rPr>
        <w:t>与胃部疾病的关联性特征。</w:t>
      </w:r>
      <w:r>
        <w:rPr>
          <w:rFonts w:hint="eastAsia" w:ascii="Times New Roman" w:hAnsi="Times New Roman" w:cs="Times New Roman"/>
          <w:b w:val="0"/>
          <w:i w:val="0"/>
          <w:strike w:val="0"/>
          <w:color w:val="auto"/>
          <w:kern w:val="2"/>
          <w:sz w:val="21"/>
          <w:szCs w:val="21"/>
          <w:u w:val="none"/>
          <w:lang w:val="en-US" w:eastAsia="zh-CN" w:bidi="ar-SA"/>
        </w:rPr>
        <w:t>依据</w:t>
      </w:r>
      <w:r>
        <w:rPr>
          <w:rFonts w:hint="default" w:ascii="Times New Roman" w:hAnsi="Times New Roman" w:cs="Times New Roman"/>
          <w:color w:val="auto"/>
          <w:szCs w:val="21"/>
          <w:u w:val="none"/>
        </w:rPr>
        <w:t>病理活检的</w:t>
      </w:r>
      <w:r>
        <w:rPr>
          <w:rFonts w:hint="eastAsia" w:ascii="Times New Roman" w:hAnsi="Times New Roman" w:cs="Times New Roman"/>
          <w:color w:val="auto"/>
          <w:szCs w:val="21"/>
          <w:u w:val="none"/>
          <w:lang w:val="en-US" w:eastAsia="zh-CN"/>
        </w:rPr>
        <w:t>最高</w:t>
      </w:r>
      <w:r>
        <w:rPr>
          <w:rFonts w:hint="default" w:ascii="Times New Roman" w:hAnsi="Times New Roman" w:cs="Times New Roman"/>
          <w:color w:val="auto"/>
          <w:szCs w:val="21"/>
          <w:u w:val="none"/>
        </w:rPr>
        <w:t>诊断结果，将所有研究对象划分为4个病理亚组，明确分组标准及对照设置如下：①非GC及癌前病变/疾病</w:t>
      </w:r>
      <w:r>
        <w:rPr>
          <w:rFonts w:hint="eastAsia" w:ascii="Times New Roman" w:hAnsi="Times New Roman" w:cs="Times New Roman"/>
          <w:color w:val="auto"/>
          <w:szCs w:val="21"/>
          <w:u w:val="none"/>
          <w:lang w:val="en-US" w:eastAsia="zh-CN"/>
        </w:rPr>
        <w:t>组</w:t>
      </w:r>
      <w:r>
        <w:rPr>
          <w:rFonts w:hint="default" w:ascii="Times New Roman" w:hAnsi="Times New Roman" w:cs="Times New Roman"/>
          <w:color w:val="auto"/>
          <w:szCs w:val="21"/>
          <w:u w:val="none"/>
        </w:rPr>
        <w:t>，包含正常胃黏膜、慢性非萎缩性胃炎等良性胃部改变；②癌前疾病组，</w:t>
      </w:r>
      <w:r>
        <w:rPr>
          <w:rFonts w:hint="eastAsia" w:ascii="Times New Roman" w:hAnsi="Times New Roman" w:cs="Times New Roman"/>
          <w:color w:val="auto"/>
          <w:szCs w:val="21"/>
          <w:u w:val="none"/>
          <w:lang w:val="en-US" w:eastAsia="zh-CN"/>
        </w:rPr>
        <w:t>包括</w:t>
      </w:r>
      <w:r>
        <w:rPr>
          <w:rFonts w:hint="default" w:ascii="Times New Roman" w:hAnsi="Times New Roman" w:cs="Times New Roman"/>
          <w:color w:val="auto"/>
          <w:szCs w:val="21"/>
          <w:u w:val="none"/>
        </w:rPr>
        <w:t>慢性萎缩性胃炎、肠上皮化生；③癌前病变组，涵盖低级别、高级别上皮内瘤变；④</w:t>
      </w:r>
      <w:r>
        <w:rPr>
          <w:rFonts w:hint="eastAsia" w:ascii="Times New Roman" w:hAnsi="Times New Roman" w:cs="Times New Roman"/>
          <w:color w:val="auto"/>
          <w:szCs w:val="21"/>
          <w:u w:val="none"/>
          <w:lang w:val="en-US" w:eastAsia="zh-CN"/>
        </w:rPr>
        <w:t>GC</w:t>
      </w:r>
      <w:r>
        <w:rPr>
          <w:rFonts w:hint="default" w:ascii="Times New Roman" w:hAnsi="Times New Roman" w:cs="Times New Roman"/>
          <w:color w:val="auto"/>
          <w:szCs w:val="21"/>
          <w:u w:val="none"/>
        </w:rPr>
        <w:t>组，为病理确诊的原发性</w:t>
      </w:r>
      <w:r>
        <w:rPr>
          <w:rFonts w:hint="eastAsia" w:ascii="Times New Roman" w:hAnsi="Times New Roman" w:cs="Times New Roman"/>
          <w:color w:val="auto"/>
          <w:szCs w:val="21"/>
          <w:u w:val="none"/>
          <w:lang w:val="en-US" w:eastAsia="zh-CN"/>
        </w:rPr>
        <w:t>GC</w:t>
      </w:r>
      <w:r>
        <w:rPr>
          <w:rFonts w:hint="default" w:ascii="Times New Roman" w:hAnsi="Times New Roman" w:cs="Times New Roman"/>
          <w:color w:val="auto"/>
          <w:szCs w:val="21"/>
          <w:u w:val="none"/>
        </w:rPr>
        <w:t>。本研究以非GC及癌前病变/疾病组作为统一参照，对比分析各</w:t>
      </w:r>
      <w:r>
        <w:rPr>
          <w:rFonts w:hint="eastAsia" w:ascii="Times New Roman" w:hAnsi="Times New Roman" w:cs="Times New Roman"/>
          <w:b w:val="0"/>
          <w:i w:val="0"/>
          <w:strike w:val="0"/>
          <w:color w:val="auto"/>
          <w:kern w:val="2"/>
          <w:sz w:val="21"/>
          <w:szCs w:val="21"/>
          <w:u w:val="none"/>
          <w:lang w:val="en-US" w:eastAsia="zh-CN" w:bidi="ar-SA"/>
        </w:rPr>
        <w:t>NORI</w:t>
      </w:r>
      <w:r>
        <w:rPr>
          <w:rFonts w:hint="eastAsia" w:ascii="Times New Roman" w:hAnsi="Times New Roman" w:cs="Times New Roman"/>
          <w:color w:val="auto"/>
          <w:szCs w:val="21"/>
          <w:u w:val="none"/>
          <w:lang w:val="en-US" w:eastAsia="zh-CN"/>
        </w:rPr>
        <w:t>与</w:t>
      </w:r>
      <w:r>
        <w:rPr>
          <w:rFonts w:hint="default" w:ascii="Times New Roman" w:hAnsi="Times New Roman" w:cs="Times New Roman"/>
          <w:color w:val="auto"/>
          <w:szCs w:val="21"/>
          <w:u w:val="none"/>
        </w:rPr>
        <w:t>不同胃部病变阶段的独立关联差异。</w:t>
      </w:r>
    </w:p>
    <w:p w14:paraId="3578F26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cs="Times New Roman" w:eastAsiaTheme="minorEastAsia"/>
          <w:b w:val="0"/>
          <w:i w:val="0"/>
          <w:strike w:val="0"/>
          <w:color w:val="auto"/>
          <w:kern w:val="2"/>
          <w:sz w:val="21"/>
          <w:szCs w:val="21"/>
          <w:u w:val="none"/>
          <w:lang w:val="en-US" w:eastAsia="zh-CN" w:bidi="ar-SA"/>
        </w:rPr>
      </w:pPr>
      <w:r>
        <w:rPr>
          <w:rFonts w:hint="eastAsia" w:ascii="Times New Roman" w:hAnsi="Times New Roman" w:cs="Times New Roman"/>
          <w:b w:val="0"/>
          <w:i w:val="0"/>
          <w:strike w:val="0"/>
          <w:color w:val="auto"/>
          <w:kern w:val="2"/>
          <w:sz w:val="21"/>
          <w:szCs w:val="21"/>
          <w:u w:val="none"/>
          <w:lang w:val="en-US" w:eastAsia="zh-CN" w:bidi="ar-SA"/>
        </w:rPr>
        <w:t>研究收集的分析变量</w:t>
      </w:r>
      <w:r>
        <w:rPr>
          <w:rFonts w:hint="default" w:ascii="Times New Roman" w:hAnsi="Times New Roman" w:cs="Times New Roman"/>
          <w:b w:val="0"/>
          <w:i w:val="0"/>
          <w:strike w:val="0"/>
          <w:color w:val="auto"/>
          <w:kern w:val="2"/>
          <w:sz w:val="21"/>
          <w:szCs w:val="21"/>
          <w:u w:val="none"/>
          <w:lang w:val="en-US" w:eastAsia="zh-CN" w:bidi="ar-SA"/>
        </w:rPr>
        <w:t>包括</w:t>
      </w:r>
      <w:r>
        <w:rPr>
          <w:rFonts w:hint="default" w:ascii="Times New Roman" w:hAnsi="Times New Roman" w:cs="Times New Roman" w:eastAsiaTheme="minorEastAsia"/>
          <w:b w:val="0"/>
          <w:i w:val="0"/>
          <w:strike w:val="0"/>
          <w:color w:val="auto"/>
          <w:kern w:val="2"/>
          <w:sz w:val="21"/>
          <w:szCs w:val="21"/>
          <w:u w:val="none"/>
          <w:lang w:val="en-US" w:eastAsia="zh-CN" w:bidi="ar-SA"/>
        </w:rPr>
        <w:t>基本信息</w:t>
      </w:r>
      <w:r>
        <w:rPr>
          <w:rFonts w:hint="default" w:ascii="Times New Roman" w:hAnsi="Times New Roman" w:cs="Times New Roman"/>
          <w:b w:val="0"/>
          <w:i w:val="0"/>
          <w:strike w:val="0"/>
          <w:color w:val="auto"/>
          <w:kern w:val="2"/>
          <w:sz w:val="21"/>
          <w:szCs w:val="21"/>
          <w:u w:val="none"/>
          <w:lang w:val="en-US" w:eastAsia="zh-CN" w:bidi="ar-SA"/>
        </w:rPr>
        <w:t>（性别、年龄、常住地、婚姻、教育程度等）</w:t>
      </w:r>
      <w:r>
        <w:rPr>
          <w:rFonts w:hint="default" w:ascii="Times New Roman" w:hAnsi="Times New Roman" w:cs="Times New Roman" w:eastAsiaTheme="minorEastAsia"/>
          <w:b w:val="0"/>
          <w:i w:val="0"/>
          <w:strike w:val="0"/>
          <w:color w:val="auto"/>
          <w:kern w:val="2"/>
          <w:sz w:val="21"/>
          <w:szCs w:val="21"/>
          <w:u w:val="none"/>
          <w:lang w:val="en-US" w:eastAsia="zh-CN" w:bidi="ar-SA"/>
        </w:rPr>
        <w:t>、生活方式</w:t>
      </w:r>
      <w:r>
        <w:rPr>
          <w:rFonts w:hint="default" w:ascii="Times New Roman" w:hAnsi="Times New Roman" w:cs="Times New Roman"/>
          <w:b w:val="0"/>
          <w:i w:val="0"/>
          <w:strike w:val="0"/>
          <w:color w:val="auto"/>
          <w:kern w:val="2"/>
          <w:sz w:val="21"/>
          <w:szCs w:val="21"/>
          <w:u w:val="none"/>
          <w:lang w:val="en-US" w:eastAsia="zh-CN" w:bidi="ar-SA"/>
        </w:rPr>
        <w:t>（吸烟、饮酒和饮茶）</w:t>
      </w:r>
      <w:r>
        <w:rPr>
          <w:rFonts w:hint="default" w:ascii="Times New Roman" w:hAnsi="Times New Roman" w:cs="Times New Roman" w:eastAsiaTheme="minorEastAsia"/>
          <w:b w:val="0"/>
          <w:i w:val="0"/>
          <w:strike w:val="0"/>
          <w:color w:val="auto"/>
          <w:kern w:val="2"/>
          <w:sz w:val="21"/>
          <w:szCs w:val="21"/>
          <w:u w:val="none"/>
          <w:lang w:val="en-US" w:eastAsia="zh-CN" w:bidi="ar-SA"/>
        </w:rPr>
        <w:t>、饮食习惯</w:t>
      </w:r>
      <w:r>
        <w:rPr>
          <w:rFonts w:hint="default" w:ascii="Times New Roman" w:hAnsi="Times New Roman" w:cs="Times New Roman"/>
          <w:b w:val="0"/>
          <w:i w:val="0"/>
          <w:strike w:val="0"/>
          <w:color w:val="auto"/>
          <w:kern w:val="2"/>
          <w:sz w:val="21"/>
          <w:szCs w:val="21"/>
          <w:u w:val="none"/>
          <w:lang w:val="en-US" w:eastAsia="zh-CN" w:bidi="ar-SA"/>
        </w:rPr>
        <w:t>（蔬菜水果、畜肉及制品等摄入频率）</w:t>
      </w:r>
      <w:r>
        <w:rPr>
          <w:rFonts w:hint="default" w:ascii="Times New Roman" w:hAnsi="Times New Roman" w:cs="Times New Roman" w:eastAsiaTheme="minorEastAsia"/>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行为习惯（体育锻炼频率）、癌症家族史、慢性病家族史、</w:t>
      </w:r>
      <w:r>
        <w:rPr>
          <w:rFonts w:hint="default" w:ascii="Times New Roman" w:hAnsi="Times New Roman" w:cs="Times New Roman" w:eastAsiaTheme="minorEastAsia"/>
          <w:b w:val="0"/>
          <w:i w:val="0"/>
          <w:strike w:val="0"/>
          <w:color w:val="auto"/>
          <w:kern w:val="2"/>
          <w:sz w:val="21"/>
          <w:szCs w:val="21"/>
          <w:u w:val="none"/>
          <w:lang w:val="en-US" w:eastAsia="zh-CN" w:bidi="ar-SA"/>
        </w:rPr>
        <w:t>快速尿素酶检查</w:t>
      </w:r>
      <w:r>
        <w:rPr>
          <w:rFonts w:hint="default" w:ascii="Times New Roman" w:hAnsi="Times New Roman" w:cs="Times New Roman"/>
          <w:b w:val="0"/>
          <w:i w:val="0"/>
          <w:strike w:val="0"/>
          <w:color w:val="auto"/>
          <w:kern w:val="2"/>
          <w:sz w:val="21"/>
          <w:szCs w:val="21"/>
          <w:u w:val="none"/>
          <w:lang w:val="en-US" w:eastAsia="zh-CN" w:bidi="ar-SA"/>
        </w:rPr>
        <w:t>结果、胃部</w:t>
      </w:r>
      <w:r>
        <w:rPr>
          <w:rFonts w:hint="default" w:ascii="Times New Roman" w:hAnsi="Times New Roman" w:cs="Times New Roman" w:eastAsiaTheme="minorEastAsia"/>
          <w:b w:val="0"/>
          <w:i w:val="0"/>
          <w:strike w:val="0"/>
          <w:color w:val="auto"/>
          <w:kern w:val="2"/>
          <w:sz w:val="21"/>
          <w:szCs w:val="21"/>
          <w:u w:val="none"/>
          <w:lang w:val="en-US" w:eastAsia="zh-CN" w:bidi="ar-SA"/>
        </w:rPr>
        <w:t>疾病史、</w:t>
      </w:r>
      <w:r>
        <w:rPr>
          <w:rFonts w:hint="default" w:ascii="Times New Roman" w:hAnsi="Times New Roman" w:cs="Times New Roman"/>
          <w:b w:val="0"/>
          <w:i w:val="0"/>
          <w:strike w:val="0"/>
          <w:color w:val="auto"/>
          <w:kern w:val="2"/>
          <w:sz w:val="21"/>
          <w:szCs w:val="21"/>
          <w:u w:val="none"/>
          <w:lang w:val="en-US" w:eastAsia="zh-CN" w:bidi="ar-SA"/>
        </w:rPr>
        <w:t>服药史</w:t>
      </w:r>
      <w:r>
        <w:rPr>
          <w:rFonts w:hint="default" w:ascii="Times New Roman" w:hAnsi="Times New Roman" w:cs="Times New Roman" w:eastAsiaTheme="minorEastAsia"/>
          <w:b w:val="0"/>
          <w:i w:val="0"/>
          <w:strike w:val="0"/>
          <w:color w:val="auto"/>
          <w:kern w:val="2"/>
          <w:sz w:val="21"/>
          <w:szCs w:val="21"/>
          <w:u w:val="none"/>
          <w:lang w:val="en-US" w:eastAsia="zh-CN" w:bidi="ar-SA"/>
        </w:rPr>
        <w:t>及病理诊断结果。</w:t>
      </w:r>
      <w:r>
        <w:rPr>
          <w:rFonts w:hint="default" w:ascii="Times New Roman" w:hAnsi="Times New Roman" w:cs="Times New Roman"/>
          <w:b w:val="0"/>
          <w:i w:val="0"/>
          <w:strike w:val="0"/>
          <w:color w:val="auto"/>
          <w:kern w:val="2"/>
          <w:sz w:val="21"/>
          <w:szCs w:val="21"/>
          <w:u w:val="none"/>
          <w:lang w:val="en-US" w:eastAsia="zh-CN" w:bidi="ar-SA"/>
        </w:rPr>
        <w:t>此外，体格检查[身高、体重、腰围（waist circumference, WC）]和实验室生化指标</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TC、TG、</w:t>
      </w:r>
      <w:r>
        <w:rPr>
          <w:rFonts w:hint="default" w:ascii="Times New Roman" w:hAnsi="Times New Roman" w:cs="Times New Roman" w:eastAsiaTheme="minorEastAsia"/>
          <w:b w:val="0"/>
          <w:i w:val="0"/>
          <w:strike w:val="0"/>
          <w:color w:val="auto"/>
          <w:kern w:val="2"/>
          <w:sz w:val="21"/>
          <w:szCs w:val="21"/>
          <w:u w:val="none"/>
          <w:lang w:val="en-US" w:eastAsia="zh-CN" w:bidi="ar-SA"/>
        </w:rPr>
        <w:t>LDL-C</w:t>
      </w:r>
      <w:r>
        <w:rPr>
          <w:rFonts w:hint="default" w:ascii="Times New Roman" w:hAnsi="Times New Roman" w:cs="Times New Roman"/>
          <w:b w:val="0"/>
          <w:i w:val="0"/>
          <w:strike w:val="0"/>
          <w:color w:val="auto"/>
          <w:kern w:val="2"/>
          <w:sz w:val="21"/>
          <w:szCs w:val="21"/>
          <w:u w:val="none"/>
          <w:lang w:val="en-US" w:eastAsia="zh-CN" w:bidi="ar-SA"/>
        </w:rPr>
        <w:t>和</w:t>
      </w:r>
      <w:r>
        <w:rPr>
          <w:rFonts w:hint="default" w:ascii="Times New Roman" w:hAnsi="Times New Roman" w:cs="Times New Roman" w:eastAsiaTheme="minorEastAsia"/>
          <w:b w:val="0"/>
          <w:i w:val="0"/>
          <w:strike w:val="0"/>
          <w:color w:val="auto"/>
          <w:kern w:val="2"/>
          <w:sz w:val="21"/>
          <w:szCs w:val="21"/>
          <w:u w:val="none"/>
          <w:lang w:val="en-US" w:eastAsia="zh-CN" w:bidi="ar-SA"/>
        </w:rPr>
        <w:t>HDL-C</w:t>
      </w:r>
      <w:r>
        <w:rPr>
          <w:rFonts w:hint="eastAsia" w:ascii="Times New Roman" w:hAnsi="Times New Roman" w:cs="Times New Roman"/>
          <w:b w:val="0"/>
          <w:i w:val="0"/>
          <w:strike w:val="0"/>
          <w:color w:val="auto"/>
          <w:kern w:val="2"/>
          <w:sz w:val="21"/>
          <w:szCs w:val="21"/>
          <w:u w:val="none"/>
          <w:lang w:val="en-US" w:eastAsia="zh-CN" w:bidi="ar-SA"/>
        </w:rPr>
        <w:t>）均</w:t>
      </w:r>
      <w:r>
        <w:rPr>
          <w:rFonts w:hint="default" w:ascii="Times New Roman" w:hAnsi="Times New Roman" w:cs="Times New Roman"/>
          <w:b w:val="0"/>
          <w:i w:val="0"/>
          <w:strike w:val="0"/>
          <w:color w:val="auto"/>
          <w:kern w:val="2"/>
          <w:sz w:val="21"/>
          <w:szCs w:val="21"/>
          <w:u w:val="none"/>
          <w:lang w:val="en-US" w:eastAsia="zh-CN" w:bidi="ar-SA"/>
        </w:rPr>
        <w:t>被收集。</w:t>
      </w:r>
    </w:p>
    <w:p w14:paraId="00498860">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default" w:ascii="Times New Roman" w:hAnsi="Times New Roman" w:eastAsia="楷体" w:cs="Times New Roman"/>
          <w:color w:val="auto"/>
          <w:sz w:val="21"/>
          <w:szCs w:val="21"/>
          <w:lang w:val="en-US" w:eastAsia="zh-CN"/>
        </w:rPr>
      </w:pPr>
      <w:r>
        <w:rPr>
          <w:rFonts w:hint="default" w:ascii="Times New Roman" w:hAnsi="Times New Roman" w:cs="Times New Roman"/>
          <w:color w:val="auto"/>
          <w:lang w:val="en-US" w:eastAsia="zh-CN"/>
        </w:rPr>
        <w:t>1.3</w:t>
      </w:r>
      <w:r>
        <w:rPr>
          <w:rFonts w:hint="default" w:ascii="Times New Roman" w:hAnsi="Times New Roman" w:eastAsia="楷体" w:cs="Times New Roman"/>
          <w:color w:val="auto"/>
          <w:lang w:val="en-US" w:eastAsia="zh-CN"/>
        </w:rPr>
        <w:t>指标</w:t>
      </w:r>
      <w:r>
        <w:rPr>
          <w:rFonts w:hint="default" w:ascii="Times New Roman" w:hAnsi="Times New Roman" w:eastAsia="楷体" w:cs="Times New Roman"/>
          <w:color w:val="auto"/>
          <w:sz w:val="21"/>
          <w:szCs w:val="21"/>
          <w:lang w:val="en-US" w:eastAsia="zh-CN"/>
        </w:rPr>
        <w:t xml:space="preserve">定义  </w:t>
      </w:r>
    </w:p>
    <w:p w14:paraId="00A73E2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cs="Times New Roman"/>
          <w:b w:val="0"/>
          <w:i w:val="0"/>
          <w:strike w:val="0"/>
          <w:color w:val="auto"/>
          <w:kern w:val="2"/>
          <w:sz w:val="21"/>
          <w:szCs w:val="21"/>
          <w:u w:val="none"/>
          <w:lang w:val="en-US" w:eastAsia="zh-CN" w:bidi="ar-SA"/>
        </w:rPr>
      </w:pPr>
      <w:r>
        <w:rPr>
          <w:rFonts w:hint="default" w:ascii="Times New Roman" w:hAnsi="Times New Roman" w:cs="Times New Roman"/>
          <w:b w:val="0"/>
          <w:i w:val="0"/>
          <w:strike w:val="0"/>
          <w:color w:val="auto"/>
          <w:kern w:val="2"/>
          <w:sz w:val="21"/>
          <w:szCs w:val="21"/>
          <w:u w:val="none"/>
          <w:lang w:val="en-US" w:eastAsia="zh-CN" w:bidi="ar-SA"/>
        </w:rPr>
        <w:t>参照既往文献</w:t>
      </w:r>
      <w:r>
        <w:rPr>
          <w:rFonts w:hint="default" w:ascii="Times New Roman" w:hAnsi="Times New Roman" w:cs="Times New Roman"/>
          <w:b w:val="0"/>
          <w:i w:val="0"/>
          <w:strike w:val="0"/>
          <w:color w:val="auto"/>
          <w:kern w:val="2"/>
          <w:sz w:val="21"/>
          <w:szCs w:val="21"/>
          <w:u w:val="none"/>
          <w:lang w:val="en-US" w:eastAsia="zh-CN" w:bidi="ar-SA"/>
        </w:rPr>
        <w:fldChar w:fldCharType="begin"/>
      </w:r>
      <w:r>
        <w:rPr>
          <w:rFonts w:hint="default" w:ascii="Times New Roman" w:hAnsi="Times New Roman" w:cs="Times New Roman"/>
          <w:b w:val="0"/>
          <w:i w:val="0"/>
          <w:strike w:val="0"/>
          <w:color w:val="auto"/>
          <w:kern w:val="2"/>
          <w:sz w:val="21"/>
          <w:szCs w:val="21"/>
          <w:u w:val="none"/>
          <w:lang w:val="en-US" w:eastAsia="zh-CN" w:bidi="ar-SA"/>
        </w:rPr>
        <w:instrText xml:space="preserve"> ADDIN  ADDIN KYMRREF{8F215C65-BADE-4FD0-B26F-6DF5A5DBD711}1170 </w:instrText>
      </w:r>
      <w:r>
        <w:rPr>
          <w:rFonts w:hint="default" w:ascii="Times New Roman" w:hAnsi="Times New Roman"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[22]</w:t>
      </w:r>
      <w:r>
        <w:rPr>
          <w:rFonts w:hint="default" w:ascii="Times New Roman" w:hAnsi="Times New Roman" w:cs="Times New Roman"/>
          <w:b w:val="0"/>
          <w:i w:val="0"/>
          <w:strike w:val="0"/>
          <w:color w:val="auto"/>
          <w:kern w:val="2"/>
          <w:sz w:val="21"/>
          <w:szCs w:val="21"/>
          <w:u w:val="none"/>
          <w:lang w:val="en-US" w:eastAsia="zh-CN" w:bidi="ar-SA"/>
        </w:rPr>
        <w:fldChar w:fldCharType="end"/>
      </w:r>
      <w:r>
        <w:rPr>
          <w:rFonts w:hint="default" w:ascii="Times New Roman" w:hAnsi="Times New Roman" w:cs="Times New Roman"/>
          <w:b w:val="0"/>
          <w:i w:val="0"/>
          <w:strike w:val="0"/>
          <w:color w:val="auto"/>
          <w:kern w:val="2"/>
          <w:sz w:val="21"/>
          <w:szCs w:val="21"/>
          <w:u w:val="none"/>
          <w:lang w:val="en-US" w:eastAsia="zh-CN" w:bidi="ar-SA"/>
        </w:rPr>
        <w:t>，分别计算BMI</w:t>
      </w:r>
      <w:r>
        <w:rPr>
          <w:rFonts w:hint="eastAsia" w:ascii="Times New Roman" w:hAnsi="Times New Roman" w:cs="Times New Roman"/>
          <w:b w:val="0"/>
          <w:i w:val="0"/>
          <w:strike w:val="0"/>
          <w:color w:val="auto"/>
          <w:kern w:val="2"/>
          <w:sz w:val="21"/>
          <w:szCs w:val="21"/>
          <w:u w:val="none"/>
          <w:lang w:val="en-US" w:eastAsia="zh-CN" w:bidi="ar-SA"/>
        </w:rPr>
        <w:t>（body mass index, BMI）</w:t>
      </w:r>
      <w:r>
        <w:rPr>
          <w:rFonts w:hint="default" w:ascii="Times New Roman" w:hAnsi="Times New Roman" w:cs="Times New Roman" w:eastAsiaTheme="minorEastAsia"/>
          <w:b w:val="0"/>
          <w:i w:val="0"/>
          <w:strike w:val="0"/>
          <w:color w:val="auto"/>
          <w:kern w:val="2"/>
          <w:sz w:val="21"/>
          <w:szCs w:val="21"/>
          <w:u w:val="none"/>
          <w:lang w:val="en-US" w:eastAsia="zh-CN" w:bidi="ar-SA"/>
        </w:rPr>
        <w:t>、</w:t>
      </w:r>
      <w:r>
        <w:rPr>
          <w:rFonts w:hint="default" w:ascii="Times New Roman" w:hAnsi="Times New Roman" w:cs="Times New Roman"/>
          <w:b w:val="0"/>
          <w:i w:val="0"/>
          <w:strike w:val="0"/>
          <w:color w:val="auto"/>
          <w:kern w:val="2"/>
          <w:sz w:val="21"/>
          <w:szCs w:val="21"/>
          <w:u w:val="none"/>
          <w:lang w:val="en-US" w:eastAsia="zh-CN" w:bidi="ar-SA"/>
        </w:rPr>
        <w:t>WHtR（waist‑to‑height ratio, WHtR）</w:t>
      </w:r>
      <w:r>
        <w:rPr>
          <w:rFonts w:hint="default" w:ascii="Times New Roman" w:hAnsi="Times New Roman" w:cs="Times New Roman" w:eastAsiaTheme="minorEastAsia"/>
          <w:b w:val="0"/>
          <w:i w:val="0"/>
          <w:strike w:val="0"/>
          <w:color w:val="auto"/>
          <w:kern w:val="2"/>
          <w:sz w:val="21"/>
          <w:szCs w:val="21"/>
          <w:u w:val="none"/>
          <w:lang w:val="en-US" w:eastAsia="zh-CN" w:bidi="ar-SA"/>
        </w:rPr>
        <w:t>、LAP、VAI、CVAI、</w:t>
      </w:r>
      <w:r>
        <w:rPr>
          <w:rFonts w:hint="default" w:ascii="Times New Roman" w:hAnsi="Times New Roman" w:cs="Times New Roman"/>
          <w:b w:val="0"/>
          <w:i w:val="0"/>
          <w:strike w:val="0"/>
          <w:color w:val="auto"/>
          <w:kern w:val="2"/>
          <w:sz w:val="21"/>
          <w:szCs w:val="21"/>
          <w:u w:val="none"/>
          <w:lang w:val="en-US" w:eastAsia="zh-CN" w:bidi="ar-SA"/>
        </w:rPr>
        <w:t>腰围甘油三酯指数（waist triglyceride index, WTI）和心脏代谢指数（cardiometabolic index, CMI）</w:t>
      </w:r>
      <w:r>
        <w:rPr>
          <w:rFonts w:hint="default" w:ascii="Times New Roman" w:hAnsi="Times New Roman" w:cs="Times New Roman"/>
          <w:b w:val="0"/>
          <w:i w:val="0"/>
          <w:strike w:val="0"/>
          <w:color w:val="auto"/>
          <w:kern w:val="2"/>
          <w:sz w:val="21"/>
          <w:szCs w:val="21"/>
          <w:u w:val="none"/>
          <w:lang w:val="en-US" w:eastAsia="zh-CN" w:bidi="ar-SA"/>
        </w:rPr>
        <w:fldChar w:fldCharType="begin"/>
      </w:r>
      <w:r>
        <w:rPr>
          <w:rFonts w:hint="default" w:ascii="Times New Roman" w:hAnsi="Times New Roman" w:cs="Times New Roman"/>
          <w:b w:val="0"/>
          <w:i w:val="0"/>
          <w:strike w:val="0"/>
          <w:color w:val="auto"/>
          <w:kern w:val="2"/>
          <w:sz w:val="21"/>
          <w:szCs w:val="21"/>
          <w:u w:val="none"/>
          <w:lang w:val="en-US" w:eastAsia="zh-CN" w:bidi="ar-SA"/>
        </w:rPr>
        <w:instrText xml:space="preserve"> ADDIN  ADDIN KYMRREF{8F215C65-BADE-4FD0-B26F-6DF5A5DBD711}1173 </w:instrText>
      </w:r>
      <w:r>
        <w:rPr>
          <w:rFonts w:hint="default" w:ascii="Times New Roman" w:hAnsi="Times New Roman" w:cs="Times New Roman"/>
          <w:b w:val="0"/>
          <w:i w:val="0"/>
          <w:strike w:val="0"/>
          <w:color w:val="auto"/>
          <w:kern w:val="2"/>
          <w:sz w:val="21"/>
          <w:szCs w:val="21"/>
          <w:u w:val="none"/>
          <w:lang w:val="en-US" w:eastAsia="zh-CN" w:bidi="ar-SA"/>
        </w:rPr>
        <w:fldChar w:fldCharType="separate"/>
      </w:r>
      <w:r>
        <w:rPr>
          <w:rFonts w:hint="eastAsia" w:ascii="Times New Roman" w:hAnsi="Times New Roman" w:eastAsia="宋体" w:cs="Times New Roman"/>
          <w:b w:val="0"/>
          <w:i w:val="0"/>
          <w:strike w:val="0"/>
          <w:color w:val="auto"/>
          <w:kern w:val="2"/>
          <w:sz w:val="21"/>
          <w:szCs w:val="21"/>
          <w:u w:val="none"/>
          <w:vertAlign w:val="superscript"/>
          <w:lang w:val="en-US" w:eastAsia="zh-CN" w:bidi="ar-SA"/>
        </w:rPr>
        <w:t>[23]</w:t>
      </w:r>
      <w:r>
        <w:rPr>
          <w:rFonts w:hint="default" w:ascii="Times New Roman" w:hAnsi="Times New Roman" w:cs="Times New Roman"/>
          <w:b w:val="0"/>
          <w:i w:val="0"/>
          <w:strike w:val="0"/>
          <w:color w:val="auto"/>
          <w:kern w:val="2"/>
          <w:sz w:val="21"/>
          <w:szCs w:val="21"/>
          <w:u w:val="none"/>
          <w:lang w:val="en-US" w:eastAsia="zh-CN" w:bidi="ar-SA"/>
        </w:rPr>
        <w:fldChar w:fldCharType="end"/>
      </w:r>
      <w:r>
        <w:rPr>
          <w:rFonts w:hint="eastAsia" w:ascii="Times New Roman" w:hAnsi="Times New Roman" w:cs="Times New Roman"/>
          <w:b w:val="0"/>
          <w:i w:val="0"/>
          <w:strike w:val="0"/>
          <w:color w:val="auto"/>
          <w:kern w:val="2"/>
          <w:sz w:val="21"/>
          <w:szCs w:val="21"/>
          <w:u w:val="none"/>
          <w:lang w:val="en-US" w:eastAsia="zh-CN" w:bidi="ar-SA"/>
        </w:rPr>
        <w:t>，具体如下：</w:t>
      </w:r>
    </w:p>
    <w:p w14:paraId="3798343F">
      <w:pPr>
        <w:keepNext w:val="0"/>
        <w:keepLines w:val="0"/>
        <w:pageBreakBefore w:val="0"/>
        <w:widowControl w:val="0"/>
        <w:kinsoku/>
        <w:wordWrap/>
        <w:overflowPunct/>
        <w:topLinePunct w:val="0"/>
        <w:autoSpaceDE/>
        <w:autoSpaceDN/>
        <w:bidi w:val="0"/>
        <w:adjustRightInd/>
        <w:snapToGrid/>
        <w:spacing w:after="0" w:line="360" w:lineRule="auto"/>
        <w:ind w:firstLine="360" w:firstLineChars="200"/>
        <w:jc w:val="both"/>
        <w:textAlignment w:val="auto"/>
        <w:rPr>
          <w:rFonts w:hint="default" w:ascii="Times New Roman" w:hAnsi="Times New Roman" w:eastAsia="等线" w:cs="Times New Roman"/>
          <w:color w:val="auto"/>
          <w:kern w:val="24"/>
          <w:position w:val="8"/>
          <w:sz w:val="18"/>
          <w:szCs w:val="18"/>
          <w:vertAlign w:val="superscript"/>
          <w:lang w:eastAsia="zh-CN"/>
        </w:rPr>
      </w:pPr>
      <w:r>
        <w:rPr>
          <w:rFonts w:hint="default" w:ascii="Times New Roman" w:hAnsi="Times New Roman" w:eastAsia="等线" w:cs="Times New Roman"/>
          <w:color w:val="auto"/>
          <w:kern w:val="24"/>
          <w:sz w:val="18"/>
          <w:szCs w:val="18"/>
          <w:lang w:eastAsia="zh-CN"/>
        </w:rPr>
        <w:t xml:space="preserve">BMI = BW </w:t>
      </w:r>
      <w:r>
        <w:rPr>
          <w:rFonts w:hint="default" w:ascii="Times New Roman" w:hAnsi="Times New Roman" w:eastAsia="等线" w:cs="Times New Roman"/>
          <w:color w:val="auto"/>
          <w:kern w:val="24"/>
          <w:position w:val="-7"/>
          <w:sz w:val="18"/>
          <w:szCs w:val="18"/>
          <w:vertAlign w:val="subscript"/>
          <w:lang w:eastAsia="zh-CN"/>
        </w:rPr>
        <w:t xml:space="preserve">kg </w:t>
      </w:r>
      <w:r>
        <w:rPr>
          <w:rFonts w:hint="default" w:ascii="Times New Roman" w:hAnsi="Times New Roman" w:eastAsia="等线" w:cs="Times New Roman"/>
          <w:color w:val="auto"/>
          <w:kern w:val="24"/>
          <w:sz w:val="18"/>
          <w:szCs w:val="18"/>
          <w:lang w:eastAsia="zh-CN"/>
        </w:rPr>
        <w:t>/ BH</w:t>
      </w:r>
      <w:r>
        <w:rPr>
          <w:rFonts w:hint="default" w:ascii="Times New Roman" w:hAnsi="Times New Roman" w:eastAsia="等线" w:cs="Times New Roman"/>
          <w:color w:val="auto"/>
          <w:kern w:val="24"/>
          <w:position w:val="8"/>
          <w:sz w:val="18"/>
          <w:szCs w:val="18"/>
          <w:vertAlign w:val="superscript"/>
          <w:lang w:eastAsia="zh-CN"/>
        </w:rPr>
        <w:t xml:space="preserve"> </w:t>
      </w:r>
      <w:r>
        <w:rPr>
          <w:rFonts w:hint="default" w:ascii="Times New Roman" w:hAnsi="Times New Roman" w:eastAsia="等线" w:cs="Times New Roman"/>
          <w:color w:val="auto"/>
          <w:kern w:val="24"/>
          <w:position w:val="-7"/>
          <w:sz w:val="18"/>
          <w:szCs w:val="18"/>
          <w:vertAlign w:val="subscript"/>
          <w:lang w:eastAsia="zh-CN"/>
        </w:rPr>
        <w:t>m</w:t>
      </w:r>
      <w:r>
        <w:rPr>
          <w:rFonts w:hint="default" w:ascii="Times New Roman" w:hAnsi="Times New Roman" w:eastAsia="等线" w:cs="Times New Roman"/>
          <w:color w:val="auto"/>
          <w:kern w:val="24"/>
          <w:position w:val="8"/>
          <w:sz w:val="18"/>
          <w:szCs w:val="18"/>
          <w:vertAlign w:val="superscript"/>
          <w:lang w:eastAsia="zh-CN"/>
        </w:rPr>
        <w:t>2</w:t>
      </w:r>
    </w:p>
    <w:p w14:paraId="042B6300">
      <w:pPr>
        <w:keepNext w:val="0"/>
        <w:keepLines w:val="0"/>
        <w:pageBreakBefore w:val="0"/>
        <w:widowControl w:val="0"/>
        <w:kinsoku/>
        <w:wordWrap/>
        <w:overflowPunct/>
        <w:topLinePunct w:val="0"/>
        <w:autoSpaceDE/>
        <w:autoSpaceDN/>
        <w:bidi w:val="0"/>
        <w:adjustRightInd/>
        <w:snapToGrid/>
        <w:spacing w:after="0" w:line="360" w:lineRule="auto"/>
        <w:ind w:firstLine="360" w:firstLineChars="200"/>
        <w:jc w:val="both"/>
        <w:textAlignment w:val="auto"/>
        <w:rPr>
          <w:rFonts w:hint="default" w:ascii="Times New Roman" w:hAnsi="Times New Roman" w:eastAsia="等线" w:cs="Times New Roman"/>
          <w:color w:val="auto"/>
          <w:kern w:val="24"/>
          <w:sz w:val="18"/>
          <w:szCs w:val="18"/>
          <w:vertAlign w:val="subscript"/>
          <w:lang w:val="en-US" w:eastAsia="zh-CN"/>
        </w:rPr>
      </w:pPr>
      <w:r>
        <w:rPr>
          <w:rFonts w:hint="default" w:ascii="Times New Roman" w:hAnsi="Times New Roman" w:eastAsia="等线" w:cs="Times New Roman"/>
          <w:color w:val="auto"/>
          <w:kern w:val="24"/>
          <w:sz w:val="18"/>
          <w:szCs w:val="18"/>
          <w:lang w:val="en-US" w:eastAsia="zh-CN"/>
        </w:rPr>
        <w:t xml:space="preserve">WHtR = WC </w:t>
      </w:r>
      <w:r>
        <w:rPr>
          <w:rFonts w:hint="default" w:ascii="Times New Roman" w:hAnsi="Times New Roman" w:eastAsia="等线" w:cs="Times New Roman"/>
          <w:color w:val="auto"/>
          <w:kern w:val="24"/>
          <w:sz w:val="18"/>
          <w:szCs w:val="18"/>
          <w:vertAlign w:val="subscript"/>
          <w:lang w:val="en-US" w:eastAsia="zh-CN"/>
        </w:rPr>
        <w:t>cm</w:t>
      </w:r>
      <w:r>
        <w:rPr>
          <w:rFonts w:hint="default" w:ascii="Times New Roman" w:hAnsi="Times New Roman" w:eastAsia="等线" w:cs="Times New Roman"/>
          <w:color w:val="auto"/>
          <w:kern w:val="24"/>
          <w:sz w:val="18"/>
          <w:szCs w:val="18"/>
          <w:lang w:val="en-US" w:eastAsia="zh-CN"/>
        </w:rPr>
        <w:t xml:space="preserve"> / BH </w:t>
      </w:r>
      <w:r>
        <w:rPr>
          <w:rFonts w:hint="default" w:ascii="Times New Roman" w:hAnsi="Times New Roman" w:eastAsia="等线" w:cs="Times New Roman"/>
          <w:color w:val="auto"/>
          <w:kern w:val="24"/>
          <w:sz w:val="18"/>
          <w:szCs w:val="18"/>
          <w:vertAlign w:val="subscript"/>
          <w:lang w:val="en-US" w:eastAsia="zh-CN"/>
        </w:rPr>
        <w:t>cm</w:t>
      </w:r>
    </w:p>
    <w:p w14:paraId="033D1C4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eastAsia="等线" w:cs="Times New Roman"/>
          <w:color w:val="auto"/>
          <w:kern w:val="24"/>
          <w:position w:val="-7"/>
          <w:sz w:val="18"/>
          <w:szCs w:val="18"/>
          <w:vertAlign w:val="subscript"/>
          <w:lang w:val="en-US" w:eastAsia="zh-CN"/>
        </w:rPr>
      </w:pPr>
      <w:r>
        <w:rPr>
          <w:rFonts w:hint="eastAsia" w:ascii="宋体" w:hAnsi="宋体" w:eastAsia="宋体" w:cs="宋体"/>
          <w:color w:val="auto"/>
          <w:kern w:val="24"/>
          <w:sz w:val="21"/>
          <w:szCs w:val="21"/>
          <w:lang w:val="en-US" w:eastAsia="zh-CN"/>
        </w:rPr>
        <w:t>男性</w:t>
      </w:r>
      <w:r>
        <w:rPr>
          <w:rFonts w:hint="default" w:ascii="Times New Roman" w:hAnsi="Times New Roman" w:eastAsia="等线" w:cs="Times New Roman"/>
          <w:color w:val="auto"/>
          <w:kern w:val="24"/>
          <w:sz w:val="18"/>
          <w:szCs w:val="18"/>
          <w:lang w:eastAsia="zh-CN"/>
        </w:rPr>
        <w:t xml:space="preserve">: LAP = (WC </w:t>
      </w:r>
      <w:r>
        <w:rPr>
          <w:rFonts w:hint="default" w:ascii="Times New Roman" w:hAnsi="Times New Roman" w:eastAsia="等线" w:cs="Times New Roman"/>
          <w:color w:val="auto"/>
          <w:kern w:val="24"/>
          <w:position w:val="-7"/>
          <w:sz w:val="18"/>
          <w:szCs w:val="18"/>
          <w:vertAlign w:val="subscript"/>
          <w:lang w:eastAsia="zh-CN"/>
        </w:rPr>
        <w:t xml:space="preserve">cm </w:t>
      </w:r>
      <w:r>
        <w:rPr>
          <w:rFonts w:hint="default" w:ascii="Times New Roman" w:hAnsi="Times New Roman" w:eastAsia="等线" w:cs="Times New Roman"/>
          <w:color w:val="auto"/>
          <w:kern w:val="24"/>
          <w:sz w:val="18"/>
          <w:szCs w:val="18"/>
          <w:lang w:eastAsia="zh-CN"/>
        </w:rPr>
        <w:t xml:space="preserve">- 65) × TG </w:t>
      </w:r>
      <w:r>
        <w:rPr>
          <w:rFonts w:hint="default" w:ascii="Times New Roman" w:hAnsi="Times New Roman" w:eastAsia="等线" w:cs="Times New Roman"/>
          <w:color w:val="auto"/>
          <w:kern w:val="24"/>
          <w:position w:val="-7"/>
          <w:sz w:val="18"/>
          <w:szCs w:val="18"/>
          <w:vertAlign w:val="subscript"/>
          <w:lang w:eastAsia="zh-CN"/>
        </w:rPr>
        <w:t>mmol/L</w:t>
      </w:r>
    </w:p>
    <w:p w14:paraId="3519B72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eastAsia="等线" w:cs="Times New Roman"/>
          <w:color w:val="auto"/>
          <w:kern w:val="24"/>
          <w:position w:val="-7"/>
          <w:sz w:val="18"/>
          <w:szCs w:val="18"/>
          <w:vertAlign w:val="subscript"/>
          <w:lang w:eastAsia="zh-CN"/>
        </w:rPr>
      </w:pPr>
      <w:r>
        <w:rPr>
          <w:rFonts w:hint="eastAsia" w:ascii="宋体" w:hAnsi="宋体" w:eastAsia="宋体" w:cs="宋体"/>
          <w:color w:val="auto"/>
          <w:kern w:val="24"/>
          <w:sz w:val="21"/>
          <w:szCs w:val="21"/>
          <w:lang w:val="en-US" w:eastAsia="zh-CN"/>
        </w:rPr>
        <w:t>女性</w:t>
      </w:r>
      <w:r>
        <w:rPr>
          <w:rFonts w:hint="default" w:ascii="Times New Roman" w:hAnsi="Times New Roman" w:eastAsia="等线" w:cs="Times New Roman"/>
          <w:color w:val="auto"/>
          <w:kern w:val="24"/>
          <w:sz w:val="18"/>
          <w:szCs w:val="18"/>
          <w:lang w:eastAsia="zh-CN"/>
        </w:rPr>
        <w:t xml:space="preserve">: LAP = (WC </w:t>
      </w:r>
      <w:r>
        <w:rPr>
          <w:rFonts w:hint="default" w:ascii="Times New Roman" w:hAnsi="Times New Roman" w:eastAsia="等线" w:cs="Times New Roman"/>
          <w:color w:val="auto"/>
          <w:kern w:val="24"/>
          <w:position w:val="-7"/>
          <w:sz w:val="18"/>
          <w:szCs w:val="18"/>
          <w:vertAlign w:val="subscript"/>
          <w:lang w:eastAsia="zh-CN"/>
        </w:rPr>
        <w:t xml:space="preserve">cm </w:t>
      </w:r>
      <w:r>
        <w:rPr>
          <w:rFonts w:hint="default" w:ascii="Times New Roman" w:hAnsi="Times New Roman" w:eastAsia="等线" w:cs="Times New Roman"/>
          <w:color w:val="auto"/>
          <w:kern w:val="24"/>
          <w:sz w:val="18"/>
          <w:szCs w:val="18"/>
          <w:lang w:eastAsia="zh-CN"/>
        </w:rPr>
        <w:t xml:space="preserve">- 58) × TG </w:t>
      </w:r>
      <w:r>
        <w:rPr>
          <w:rFonts w:hint="default" w:ascii="Times New Roman" w:hAnsi="Times New Roman" w:eastAsia="等线" w:cs="Times New Roman"/>
          <w:color w:val="auto"/>
          <w:kern w:val="24"/>
          <w:position w:val="-7"/>
          <w:sz w:val="18"/>
          <w:szCs w:val="18"/>
          <w:vertAlign w:val="subscript"/>
          <w:lang w:eastAsia="zh-CN"/>
        </w:rPr>
        <w:t>mmol/L</w:t>
      </w:r>
    </w:p>
    <w:p w14:paraId="115330D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eastAsia="等线" w:cs="Times New Roman"/>
          <w:color w:val="auto"/>
          <w:kern w:val="24"/>
          <w:position w:val="-7"/>
          <w:sz w:val="18"/>
          <w:szCs w:val="18"/>
          <w:vertAlign w:val="baseline"/>
          <w:lang w:eastAsia="zh-CN"/>
        </w:rPr>
      </w:pPr>
      <w:r>
        <w:rPr>
          <w:rFonts w:hint="eastAsia" w:ascii="宋体" w:hAnsi="宋体" w:eastAsia="宋体" w:cs="宋体"/>
          <w:color w:val="auto"/>
          <w:kern w:val="24"/>
          <w:sz w:val="21"/>
          <w:szCs w:val="21"/>
          <w:lang w:val="en-US" w:eastAsia="zh-CN"/>
        </w:rPr>
        <w:t>男性</w:t>
      </w:r>
      <w:r>
        <w:rPr>
          <w:rFonts w:hint="default" w:ascii="Times New Roman" w:hAnsi="Times New Roman" w:eastAsia="等线" w:cs="Times New Roman"/>
          <w:color w:val="auto"/>
          <w:kern w:val="24"/>
          <w:sz w:val="18"/>
          <w:szCs w:val="18"/>
          <w:lang w:eastAsia="zh-CN"/>
        </w:rPr>
        <w:t xml:space="preserve">: </w:t>
      </w:r>
      <w:r>
        <w:rPr>
          <w:rFonts w:hint="default" w:ascii="Times New Roman" w:hAnsi="Times New Roman" w:eastAsia="等线" w:cs="Times New Roman"/>
          <w:color w:val="auto"/>
          <w:kern w:val="24"/>
          <w:sz w:val="18"/>
          <w:szCs w:val="18"/>
          <w:lang w:val="en-US" w:eastAsia="zh-CN"/>
        </w:rPr>
        <w:t xml:space="preserve">VAI = </w:t>
      </w:r>
      <w:r>
        <w:rPr>
          <w:rFonts w:hint="default" w:ascii="Times New Roman" w:hAnsi="Times New Roman" w:eastAsia="等线" w:cs="Times New Roman"/>
          <w:color w:val="auto"/>
          <w:kern w:val="24"/>
          <w:sz w:val="18"/>
          <w:szCs w:val="18"/>
          <w:lang w:eastAsia="zh-CN"/>
        </w:rPr>
        <w:t xml:space="preserve">[WC </w:t>
      </w:r>
      <w:r>
        <w:rPr>
          <w:rFonts w:hint="default" w:ascii="Times New Roman" w:hAnsi="Times New Roman" w:eastAsia="等线" w:cs="Times New Roman"/>
          <w:color w:val="auto"/>
          <w:kern w:val="24"/>
          <w:sz w:val="18"/>
          <w:szCs w:val="18"/>
          <w:vertAlign w:val="subscript"/>
          <w:lang w:eastAsia="zh-CN"/>
        </w:rPr>
        <w:t>cm</w:t>
      </w:r>
      <w:r>
        <w:rPr>
          <w:rFonts w:hint="default" w:ascii="Times New Roman" w:hAnsi="Times New Roman" w:eastAsia="等线" w:cs="Times New Roman"/>
          <w:color w:val="auto"/>
          <w:kern w:val="24"/>
          <w:sz w:val="18"/>
          <w:szCs w:val="18"/>
          <w:vertAlign w:val="subscript"/>
          <w:lang w:val="en-US" w:eastAsia="zh-CN"/>
        </w:rPr>
        <w:t xml:space="preserve"> </w:t>
      </w:r>
      <w:r>
        <w:rPr>
          <w:rFonts w:hint="default" w:ascii="Times New Roman" w:hAnsi="Times New Roman" w:eastAsia="等线" w:cs="Times New Roman"/>
          <w:color w:val="auto"/>
          <w:kern w:val="24"/>
          <w:sz w:val="18"/>
          <w:szCs w:val="18"/>
          <w:lang w:eastAsia="zh-CN"/>
        </w:rPr>
        <w:t>/</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39.68 </w:t>
      </w:r>
      <w:r>
        <w:rPr>
          <w:rFonts w:hint="default" w:ascii="Times New Roman" w:hAnsi="Times New Roman" w:eastAsia="等线" w:cs="Times New Roman"/>
          <w:color w:val="auto"/>
          <w:kern w:val="24"/>
          <w:sz w:val="18"/>
          <w:szCs w:val="18"/>
          <w:lang w:val="en-US" w:eastAsia="zh-CN"/>
        </w:rPr>
        <w:t>+</w:t>
      </w:r>
      <w:r>
        <w:rPr>
          <w:rFonts w:hint="default" w:ascii="Times New Roman" w:hAnsi="Times New Roman" w:eastAsia="等线" w:cs="Times New Roman"/>
          <w:color w:val="auto"/>
          <w:kern w:val="24"/>
          <w:sz w:val="18"/>
          <w:szCs w:val="18"/>
          <w:lang w:eastAsia="zh-CN"/>
        </w:rPr>
        <w:t> 1.88</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 xml:space="preserve">× BMI </w:t>
      </w:r>
      <w:r>
        <w:rPr>
          <w:rFonts w:hint="default" w:ascii="Times New Roman" w:hAnsi="Times New Roman" w:eastAsia="等线" w:cs="Times New Roman"/>
          <w:color w:val="auto"/>
          <w:kern w:val="24"/>
          <w:sz w:val="18"/>
          <w:szCs w:val="18"/>
          <w:vertAlign w:val="subscript"/>
          <w:lang w:eastAsia="zh-CN"/>
        </w:rPr>
        <w:t>kg/m</w:t>
      </w:r>
      <w:r>
        <w:rPr>
          <w:rFonts w:hint="default" w:ascii="Times New Roman" w:hAnsi="Times New Roman" w:eastAsia="等线" w:cs="Times New Roman"/>
          <w:color w:val="auto"/>
          <w:kern w:val="24"/>
          <w:sz w:val="18"/>
          <w:szCs w:val="18"/>
          <w:vertAlign w:val="superscript"/>
          <w:lang w:eastAsia="zh-CN"/>
        </w:rPr>
        <w:fldChar w:fldCharType="begin"/>
      </w:r>
      <w:r>
        <w:rPr>
          <w:rFonts w:hint="default" w:ascii="Times New Roman" w:hAnsi="Times New Roman" w:eastAsia="等线" w:cs="Times New Roman"/>
          <w:color w:val="auto"/>
          <w:kern w:val="24"/>
          <w:sz w:val="18"/>
          <w:szCs w:val="18"/>
          <w:vertAlign w:val="superscript"/>
          <w:lang w:eastAsia="zh-CN"/>
        </w:rPr>
        <w:instrText xml:space="preserve"> HYPERLINK "https://www.nature.com/articles/s41598-022-25005-8" \l "ref-CR2" \o "Mottillo, S. et al. The metabolic syndrome and cardiovascular risk: a systematic review and meta-analysis. J. Am. Coll. Cardiol. 56, 1113–1132 (2010)." </w:instrText>
      </w:r>
      <w:r>
        <w:rPr>
          <w:rFonts w:hint="default" w:ascii="Times New Roman" w:hAnsi="Times New Roman" w:eastAsia="等线" w:cs="Times New Roman"/>
          <w:color w:val="auto"/>
          <w:kern w:val="24"/>
          <w:sz w:val="18"/>
          <w:szCs w:val="18"/>
          <w:vertAlign w:val="superscript"/>
          <w:lang w:eastAsia="zh-CN"/>
        </w:rPr>
        <w:fldChar w:fldCharType="separate"/>
      </w:r>
      <w:r>
        <w:rPr>
          <w:rFonts w:hint="default" w:ascii="Times New Roman" w:hAnsi="Times New Roman" w:eastAsia="等线" w:cs="Times New Roman"/>
          <w:color w:val="auto"/>
          <w:kern w:val="24"/>
          <w:sz w:val="18"/>
          <w:szCs w:val="18"/>
          <w:vertAlign w:val="superscript"/>
          <w:lang w:eastAsia="zh-CN"/>
        </w:rPr>
        <w:t>2</w:t>
      </w:r>
      <w:r>
        <w:rPr>
          <w:rFonts w:hint="default" w:ascii="Times New Roman" w:hAnsi="Times New Roman" w:eastAsia="等线" w:cs="Times New Roman"/>
          <w:color w:val="auto"/>
          <w:kern w:val="24"/>
          <w:sz w:val="18"/>
          <w:szCs w:val="18"/>
          <w:vertAlign w:val="superscript"/>
          <w:lang w:eastAsia="zh-CN"/>
        </w:rPr>
        <w:fldChar w:fldCharType="end"/>
      </w:r>
      <w:r>
        <w:rPr>
          <w:rFonts w:hint="eastAsia" w:ascii="Times New Roman" w:hAnsi="Times New Roman" w:eastAsia="等线" w:cs="Times New Roman"/>
          <w:color w:val="auto"/>
          <w:kern w:val="24"/>
          <w:sz w:val="18"/>
          <w:szCs w:val="18"/>
          <w:lang w:val="en-US" w:eastAsia="zh-CN"/>
        </w:rPr>
        <w:t>)</w:t>
      </w:r>
      <w:r>
        <w:rPr>
          <w:rFonts w:hint="default" w:ascii="Times New Roman" w:hAnsi="Times New Roman" w:eastAsia="等线" w:cs="Times New Roman"/>
          <w:color w:val="auto"/>
          <w:kern w:val="24"/>
          <w:sz w:val="18"/>
          <w:szCs w:val="18"/>
          <w:lang w:eastAsia="zh-CN"/>
        </w:rPr>
        <w:t>] ×</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 xml:space="preserve">[TG </w:t>
      </w:r>
      <w:r>
        <w:rPr>
          <w:rFonts w:hint="default" w:ascii="Times New Roman" w:hAnsi="Times New Roman" w:eastAsia="等线" w:cs="Times New Roman"/>
          <w:color w:val="auto"/>
          <w:kern w:val="24"/>
          <w:sz w:val="18"/>
          <w:szCs w:val="18"/>
          <w:vertAlign w:val="subscript"/>
          <w:lang w:eastAsia="zh-CN"/>
        </w:rPr>
        <w:t>mmol/L</w:t>
      </w:r>
      <w:r>
        <w:rPr>
          <w:rFonts w:hint="default" w:ascii="Times New Roman" w:hAnsi="Times New Roman" w:eastAsia="等线" w:cs="Times New Roman"/>
          <w:color w:val="auto"/>
          <w:kern w:val="24"/>
          <w:sz w:val="18"/>
          <w:szCs w:val="18"/>
          <w:vertAlign w:val="subscript"/>
          <w:lang w:val="en-US" w:eastAsia="zh-CN"/>
        </w:rPr>
        <w:t xml:space="preserve"> </w:t>
      </w:r>
      <w:r>
        <w:rPr>
          <w:rFonts w:hint="default" w:ascii="Times New Roman" w:hAnsi="Times New Roman" w:eastAsia="等线" w:cs="Times New Roman"/>
          <w:color w:val="auto"/>
          <w:kern w:val="24"/>
          <w:sz w:val="18"/>
          <w:szCs w:val="18"/>
          <w:lang w:eastAsia="zh-CN"/>
        </w:rPr>
        <w:t>/</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1.03]</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 [1.31</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HDL</w:t>
      </w:r>
      <w:r>
        <w:rPr>
          <w:rFonts w:hint="eastAsia" w:ascii="Times New Roman" w:hAnsi="Times New Roman" w:eastAsia="等线" w:cs="Times New Roman"/>
          <w:color w:val="auto"/>
          <w:kern w:val="24"/>
          <w:sz w:val="18"/>
          <w:szCs w:val="18"/>
          <w:lang w:val="en-US" w:eastAsia="zh-CN"/>
        </w:rPr>
        <w:t>-C</w:t>
      </w:r>
      <w:r>
        <w:rPr>
          <w:rFonts w:hint="default" w:ascii="Times New Roman" w:hAnsi="Times New Roman" w:eastAsia="等线" w:cs="Times New Roman"/>
          <w:color w:val="auto"/>
          <w:kern w:val="24"/>
          <w:sz w:val="18"/>
          <w:szCs w:val="18"/>
          <w:lang w:eastAsia="zh-CN"/>
        </w:rPr>
        <w:t xml:space="preserve"> </w:t>
      </w:r>
      <w:r>
        <w:rPr>
          <w:rFonts w:hint="default" w:ascii="Times New Roman" w:hAnsi="Times New Roman" w:eastAsia="等线" w:cs="Times New Roman"/>
          <w:color w:val="auto"/>
          <w:kern w:val="24"/>
          <w:sz w:val="18"/>
          <w:szCs w:val="18"/>
          <w:vertAlign w:val="subscript"/>
          <w:lang w:eastAsia="zh-CN"/>
        </w:rPr>
        <w:t>mmol/L</w:t>
      </w:r>
      <w:r>
        <w:rPr>
          <w:rFonts w:hint="default" w:ascii="Times New Roman" w:hAnsi="Times New Roman" w:eastAsia="等线" w:cs="Times New Roman"/>
          <w:color w:val="auto"/>
          <w:kern w:val="24"/>
          <w:sz w:val="18"/>
          <w:szCs w:val="18"/>
          <w:lang w:eastAsia="zh-CN"/>
        </w:rPr>
        <w:t>]</w:t>
      </w:r>
    </w:p>
    <w:p w14:paraId="219C4ED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eastAsia="等线" w:cs="Times New Roman"/>
          <w:color w:val="auto"/>
          <w:kern w:val="24"/>
          <w:sz w:val="18"/>
          <w:szCs w:val="18"/>
          <w:lang w:val="en-US" w:eastAsia="zh-CN"/>
        </w:rPr>
      </w:pPr>
      <w:r>
        <w:rPr>
          <w:rFonts w:hint="eastAsia" w:ascii="宋体" w:hAnsi="宋体" w:eastAsia="宋体" w:cs="宋体"/>
          <w:color w:val="auto"/>
          <w:kern w:val="24"/>
          <w:sz w:val="21"/>
          <w:szCs w:val="21"/>
          <w:lang w:val="en-US" w:eastAsia="zh-CN"/>
        </w:rPr>
        <w:t>女性</w:t>
      </w:r>
      <w:r>
        <w:rPr>
          <w:rFonts w:hint="default" w:ascii="Times New Roman" w:hAnsi="Times New Roman" w:eastAsia="等线" w:cs="Times New Roman"/>
          <w:color w:val="auto"/>
          <w:kern w:val="24"/>
          <w:sz w:val="18"/>
          <w:szCs w:val="18"/>
          <w:lang w:eastAsia="zh-CN"/>
        </w:rPr>
        <w:t>:</w:t>
      </w:r>
      <w:r>
        <w:rPr>
          <w:rFonts w:hint="default" w:ascii="Times New Roman" w:hAnsi="Times New Roman" w:eastAsia="等线" w:cs="Times New Roman"/>
          <w:color w:val="auto"/>
          <w:kern w:val="24"/>
          <w:sz w:val="18"/>
          <w:szCs w:val="18"/>
          <w:lang w:val="en-US" w:eastAsia="zh-CN"/>
        </w:rPr>
        <w:t xml:space="preserve"> VAI = [WC </w:t>
      </w:r>
      <w:r>
        <w:rPr>
          <w:rFonts w:hint="default" w:ascii="Times New Roman" w:hAnsi="Times New Roman" w:eastAsia="等线" w:cs="Times New Roman"/>
          <w:color w:val="auto"/>
          <w:kern w:val="24"/>
          <w:sz w:val="18"/>
          <w:szCs w:val="18"/>
          <w:vertAlign w:val="subscript"/>
          <w:lang w:val="en-US" w:eastAsia="zh-CN"/>
        </w:rPr>
        <w:t xml:space="preserve">cm </w:t>
      </w:r>
      <w:r>
        <w:rPr>
          <w:rFonts w:hint="default" w:ascii="Times New Roman" w:hAnsi="Times New Roman" w:eastAsia="等线" w:cs="Times New Roman"/>
          <w:color w:val="auto"/>
          <w:kern w:val="24"/>
          <w:sz w:val="18"/>
          <w:szCs w:val="18"/>
          <w:lang w:val="en-US" w:eastAsia="zh-CN"/>
        </w:rPr>
        <w:t xml:space="preserve">/ (36.58 + 1.89 </w:t>
      </w:r>
      <w:r>
        <w:rPr>
          <w:rFonts w:hint="default" w:ascii="Times New Roman" w:hAnsi="Times New Roman" w:eastAsia="等线" w:cs="Times New Roman"/>
          <w:color w:val="auto"/>
          <w:kern w:val="24"/>
          <w:sz w:val="18"/>
          <w:szCs w:val="18"/>
          <w:lang w:eastAsia="zh-CN"/>
        </w:rPr>
        <w:t xml:space="preserve">× </w:t>
      </w:r>
      <w:r>
        <w:rPr>
          <w:rFonts w:hint="default" w:ascii="Times New Roman" w:hAnsi="Times New Roman" w:eastAsia="等线" w:cs="Times New Roman"/>
          <w:color w:val="auto"/>
          <w:kern w:val="24"/>
          <w:sz w:val="18"/>
          <w:szCs w:val="18"/>
          <w:lang w:val="en-US" w:eastAsia="zh-CN"/>
        </w:rPr>
        <w:t xml:space="preserve">BMI </w:t>
      </w:r>
      <w:r>
        <w:rPr>
          <w:rFonts w:hint="default" w:ascii="Times New Roman" w:hAnsi="Times New Roman" w:eastAsia="等线" w:cs="Times New Roman"/>
          <w:color w:val="auto"/>
          <w:kern w:val="24"/>
          <w:sz w:val="18"/>
          <w:szCs w:val="18"/>
          <w:vertAlign w:val="subscript"/>
          <w:lang w:val="en-US" w:eastAsia="zh-CN"/>
        </w:rPr>
        <w:t>kg/m</w:t>
      </w:r>
      <w:r>
        <w:rPr>
          <w:rFonts w:hint="default" w:ascii="Times New Roman" w:hAnsi="Times New Roman" w:eastAsia="等线" w:cs="Times New Roman"/>
          <w:color w:val="auto"/>
          <w:kern w:val="24"/>
          <w:sz w:val="18"/>
          <w:szCs w:val="18"/>
          <w:vertAlign w:val="superscript"/>
          <w:lang w:val="en-US" w:eastAsia="zh-CN"/>
        </w:rPr>
        <w:t>2</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w:t>
      </w:r>
      <w:r>
        <w:rPr>
          <w:rFonts w:hint="default" w:ascii="Times New Roman" w:hAnsi="Times New Roman" w:eastAsia="等线" w:cs="Times New Roman"/>
          <w:color w:val="auto"/>
          <w:kern w:val="24"/>
          <w:sz w:val="18"/>
          <w:szCs w:val="18"/>
          <w:lang w:val="en-US" w:eastAsia="zh-CN"/>
        </w:rPr>
        <w:t xml:space="preserve"> [TG </w:t>
      </w:r>
      <w:r>
        <w:rPr>
          <w:rFonts w:hint="default" w:ascii="Times New Roman" w:hAnsi="Times New Roman" w:eastAsia="等线" w:cs="Times New Roman"/>
          <w:color w:val="auto"/>
          <w:kern w:val="24"/>
          <w:sz w:val="18"/>
          <w:szCs w:val="18"/>
          <w:vertAlign w:val="subscript"/>
          <w:lang w:val="en-US" w:eastAsia="zh-CN"/>
        </w:rPr>
        <w:t xml:space="preserve">mmol/L </w:t>
      </w:r>
      <w:r>
        <w:rPr>
          <w:rFonts w:hint="default" w:ascii="Times New Roman" w:hAnsi="Times New Roman" w:eastAsia="等线" w:cs="Times New Roman"/>
          <w:color w:val="auto"/>
          <w:kern w:val="24"/>
          <w:sz w:val="18"/>
          <w:szCs w:val="18"/>
          <w:lang w:val="en-US" w:eastAsia="zh-CN"/>
        </w:rPr>
        <w:t xml:space="preserve">/ 0.81] </w:t>
      </w:r>
      <w:r>
        <w:rPr>
          <w:rFonts w:hint="default" w:ascii="Times New Roman" w:hAnsi="Times New Roman" w:eastAsia="等线" w:cs="Times New Roman"/>
          <w:color w:val="auto"/>
          <w:kern w:val="24"/>
          <w:sz w:val="18"/>
          <w:szCs w:val="18"/>
          <w:lang w:eastAsia="zh-CN"/>
        </w:rPr>
        <w:t>×</w:t>
      </w:r>
      <w:r>
        <w:rPr>
          <w:rFonts w:hint="default" w:ascii="Times New Roman" w:hAnsi="Times New Roman" w:eastAsia="等线" w:cs="Times New Roman"/>
          <w:color w:val="auto"/>
          <w:kern w:val="24"/>
          <w:sz w:val="18"/>
          <w:szCs w:val="18"/>
          <w:lang w:val="en-US" w:eastAsia="zh-CN"/>
        </w:rPr>
        <w:t xml:space="preserve"> [1.52 / HDL</w:t>
      </w:r>
      <w:r>
        <w:rPr>
          <w:rFonts w:hint="eastAsia" w:ascii="Times New Roman" w:hAnsi="Times New Roman" w:eastAsia="等线" w:cs="Times New Roman"/>
          <w:color w:val="auto"/>
          <w:kern w:val="24"/>
          <w:sz w:val="18"/>
          <w:szCs w:val="18"/>
          <w:lang w:val="en-US" w:eastAsia="zh-CN"/>
        </w:rPr>
        <w:t>-C</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vertAlign w:val="subscript"/>
          <w:lang w:val="en-US" w:eastAsia="zh-CN"/>
        </w:rPr>
        <w:t>mmol/L</w:t>
      </w:r>
      <w:r>
        <w:rPr>
          <w:rFonts w:hint="default" w:ascii="Times New Roman" w:hAnsi="Times New Roman" w:eastAsia="等线" w:cs="Times New Roman"/>
          <w:color w:val="auto"/>
          <w:kern w:val="24"/>
          <w:sz w:val="18"/>
          <w:szCs w:val="18"/>
          <w:lang w:val="en-US" w:eastAsia="zh-CN"/>
        </w:rPr>
        <w:t>]</w:t>
      </w:r>
    </w:p>
    <w:p w14:paraId="0444D06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eastAsia="等线" w:cs="Times New Roman"/>
          <w:color w:val="auto"/>
          <w:kern w:val="24"/>
          <w:position w:val="-7"/>
          <w:sz w:val="18"/>
          <w:szCs w:val="18"/>
          <w:vertAlign w:val="subscript"/>
          <w:lang w:val="en-US" w:eastAsia="zh-CN"/>
        </w:rPr>
      </w:pPr>
      <w:r>
        <w:rPr>
          <w:rFonts w:hint="eastAsia" w:ascii="宋体" w:hAnsi="宋体" w:eastAsia="宋体" w:cs="宋体"/>
          <w:color w:val="auto"/>
          <w:kern w:val="24"/>
          <w:sz w:val="21"/>
          <w:szCs w:val="21"/>
          <w:lang w:val="en-US" w:eastAsia="zh-CN"/>
        </w:rPr>
        <w:t>男性</w:t>
      </w:r>
      <w:r>
        <w:rPr>
          <w:rFonts w:hint="default" w:ascii="Times New Roman" w:hAnsi="Times New Roman" w:eastAsia="等线" w:cs="Times New Roman"/>
          <w:color w:val="auto"/>
          <w:kern w:val="24"/>
          <w:sz w:val="18"/>
          <w:szCs w:val="18"/>
          <w:lang w:eastAsia="zh-CN"/>
        </w:rPr>
        <w:t>: CVAI = -</w:t>
      </w:r>
      <w:r>
        <w:rPr>
          <w:rFonts w:hint="eastAsia"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 xml:space="preserve">267.93 + 0.68 × age </w:t>
      </w:r>
      <w:r>
        <w:rPr>
          <w:rFonts w:hint="default" w:ascii="Times New Roman" w:hAnsi="Times New Roman" w:eastAsia="等线" w:cs="Times New Roman"/>
          <w:color w:val="auto"/>
          <w:kern w:val="24"/>
          <w:position w:val="-7"/>
          <w:sz w:val="18"/>
          <w:szCs w:val="18"/>
          <w:vertAlign w:val="subscript"/>
          <w:lang w:eastAsia="zh-CN"/>
        </w:rPr>
        <w:t>y</w:t>
      </w:r>
      <w:r>
        <w:rPr>
          <w:rFonts w:hint="default" w:ascii="Times New Roman" w:hAnsi="Times New Roman" w:eastAsia="等线" w:cs="Times New Roman"/>
          <w:color w:val="auto"/>
          <w:kern w:val="24"/>
          <w:position w:val="-7"/>
          <w:sz w:val="18"/>
          <w:szCs w:val="18"/>
          <w:vertAlign w:val="subscript"/>
          <w:lang w:val="en-US" w:eastAsia="zh-CN"/>
        </w:rPr>
        <w:t>ear</w:t>
      </w:r>
      <w:r>
        <w:rPr>
          <w:rFonts w:hint="default" w:ascii="Times New Roman" w:hAnsi="Times New Roman" w:eastAsia="等线" w:cs="Times New Roman"/>
          <w:color w:val="auto"/>
          <w:kern w:val="24"/>
          <w:position w:val="-7"/>
          <w:sz w:val="18"/>
          <w:szCs w:val="18"/>
          <w:vertAlign w:val="subscript"/>
          <w:lang w:eastAsia="zh-CN"/>
        </w:rPr>
        <w:t xml:space="preserve"> </w:t>
      </w:r>
      <w:r>
        <w:rPr>
          <w:rFonts w:hint="default" w:ascii="Times New Roman" w:hAnsi="Times New Roman" w:eastAsia="等线" w:cs="Times New Roman"/>
          <w:color w:val="auto"/>
          <w:kern w:val="24"/>
          <w:sz w:val="18"/>
          <w:szCs w:val="18"/>
          <w:lang w:eastAsia="zh-CN"/>
        </w:rPr>
        <w:t xml:space="preserve">+ 0.03 × BMI </w:t>
      </w:r>
      <w:r>
        <w:rPr>
          <w:rFonts w:hint="default" w:ascii="Times New Roman" w:hAnsi="Times New Roman" w:eastAsia="等线" w:cs="Times New Roman"/>
          <w:color w:val="auto"/>
          <w:kern w:val="24"/>
          <w:position w:val="-7"/>
          <w:sz w:val="18"/>
          <w:szCs w:val="18"/>
          <w:vertAlign w:val="subscript"/>
          <w:lang w:eastAsia="zh-CN"/>
        </w:rPr>
        <w:t>kg/m</w:t>
      </w:r>
      <w:r>
        <w:rPr>
          <w:rFonts w:hint="default" w:ascii="Times New Roman" w:hAnsi="Times New Roman" w:eastAsia="等线" w:cs="Times New Roman"/>
          <w:color w:val="auto"/>
          <w:kern w:val="24"/>
          <w:position w:val="-4"/>
          <w:sz w:val="18"/>
          <w:szCs w:val="18"/>
          <w:vertAlign w:val="superscript"/>
          <w:lang w:eastAsia="zh-CN"/>
        </w:rPr>
        <w:t>2</w:t>
      </w:r>
      <w:r>
        <w:rPr>
          <w:rFonts w:hint="default" w:ascii="Times New Roman" w:hAnsi="Times New Roman" w:eastAsia="等线" w:cs="Times New Roman"/>
          <w:color w:val="auto"/>
          <w:kern w:val="24"/>
          <w:position w:val="-7"/>
          <w:sz w:val="18"/>
          <w:szCs w:val="18"/>
          <w:vertAlign w:val="subscript"/>
          <w:lang w:eastAsia="zh-CN"/>
        </w:rPr>
        <w:t xml:space="preserve"> </w:t>
      </w:r>
      <w:r>
        <w:rPr>
          <w:rFonts w:hint="default" w:ascii="Times New Roman" w:hAnsi="Times New Roman" w:eastAsia="等线" w:cs="Times New Roman"/>
          <w:color w:val="auto"/>
          <w:kern w:val="24"/>
          <w:sz w:val="18"/>
          <w:szCs w:val="18"/>
          <w:lang w:eastAsia="zh-CN"/>
        </w:rPr>
        <w:t xml:space="preserve">+ 4.00 × WC </w:t>
      </w:r>
      <w:r>
        <w:rPr>
          <w:rFonts w:hint="default" w:ascii="Times New Roman" w:hAnsi="Times New Roman" w:eastAsia="等线" w:cs="Times New Roman"/>
          <w:color w:val="auto"/>
          <w:kern w:val="24"/>
          <w:position w:val="-7"/>
          <w:sz w:val="18"/>
          <w:szCs w:val="18"/>
          <w:vertAlign w:val="subscript"/>
          <w:lang w:eastAsia="zh-CN"/>
        </w:rPr>
        <w:t xml:space="preserve">cm </w:t>
      </w:r>
      <w:r>
        <w:rPr>
          <w:rFonts w:hint="default" w:ascii="Times New Roman" w:hAnsi="Times New Roman" w:eastAsia="等线" w:cs="Times New Roman"/>
          <w:color w:val="auto"/>
          <w:kern w:val="24"/>
          <w:sz w:val="18"/>
          <w:szCs w:val="18"/>
          <w:lang w:eastAsia="zh-CN"/>
        </w:rPr>
        <w:t xml:space="preserve">+ 22.00 × </w:t>
      </w:r>
      <w:r>
        <w:rPr>
          <w:rFonts w:hint="eastAsia" w:ascii="Times New Roman" w:hAnsi="Times New Roman" w:eastAsia="等线" w:cs="Times New Roman"/>
          <w:color w:val="auto"/>
          <w:kern w:val="24"/>
          <w:sz w:val="18"/>
          <w:szCs w:val="18"/>
          <w:lang w:val="en-US" w:eastAsia="zh-CN"/>
        </w:rPr>
        <w:t>l</w:t>
      </w:r>
      <w:r>
        <w:rPr>
          <w:rFonts w:hint="default" w:ascii="Times New Roman" w:hAnsi="Times New Roman" w:eastAsia="等线" w:cs="Times New Roman"/>
          <w:color w:val="auto"/>
          <w:kern w:val="24"/>
          <w:sz w:val="18"/>
          <w:szCs w:val="18"/>
          <w:lang w:eastAsia="zh-CN"/>
        </w:rPr>
        <w:t xml:space="preserve">g TG </w:t>
      </w:r>
      <w:r>
        <w:rPr>
          <w:rFonts w:hint="default" w:ascii="Times New Roman" w:hAnsi="Times New Roman" w:eastAsia="等线" w:cs="Times New Roman"/>
          <w:color w:val="auto"/>
          <w:kern w:val="24"/>
          <w:position w:val="-7"/>
          <w:sz w:val="18"/>
          <w:szCs w:val="18"/>
          <w:vertAlign w:val="subscript"/>
          <w:lang w:eastAsia="zh-CN"/>
        </w:rPr>
        <w:t>mmol/L</w:t>
      </w:r>
      <w:r>
        <w:rPr>
          <w:rFonts w:hint="default" w:ascii="Times New Roman" w:hAnsi="Times New Roman" w:eastAsia="等线" w:cs="Times New Roman"/>
          <w:color w:val="auto"/>
          <w:kern w:val="24"/>
          <w:sz w:val="18"/>
          <w:szCs w:val="18"/>
          <w:lang w:eastAsia="zh-CN"/>
        </w:rPr>
        <w:t>- 16.32 × HDL</w:t>
      </w:r>
      <w:r>
        <w:rPr>
          <w:rFonts w:hint="eastAsia" w:ascii="Times New Roman" w:hAnsi="Times New Roman" w:eastAsia="等线" w:cs="Times New Roman"/>
          <w:color w:val="auto"/>
          <w:kern w:val="24"/>
          <w:sz w:val="18"/>
          <w:szCs w:val="18"/>
          <w:lang w:val="en-US" w:eastAsia="zh-CN"/>
        </w:rPr>
        <w:t>-C</w:t>
      </w:r>
      <w:r>
        <w:rPr>
          <w:rFonts w:hint="default" w:ascii="Times New Roman" w:hAnsi="Times New Roman" w:eastAsia="等线" w:cs="Times New Roman"/>
          <w:color w:val="auto"/>
          <w:kern w:val="24"/>
          <w:sz w:val="18"/>
          <w:szCs w:val="18"/>
          <w:lang w:eastAsia="zh-CN"/>
        </w:rPr>
        <w:t xml:space="preserve"> </w:t>
      </w:r>
      <w:r>
        <w:rPr>
          <w:rFonts w:hint="default" w:ascii="Times New Roman" w:hAnsi="Times New Roman" w:eastAsia="等线" w:cs="Times New Roman"/>
          <w:color w:val="auto"/>
          <w:kern w:val="24"/>
          <w:position w:val="-7"/>
          <w:sz w:val="18"/>
          <w:szCs w:val="18"/>
          <w:vertAlign w:val="subscript"/>
          <w:lang w:eastAsia="zh-CN"/>
        </w:rPr>
        <w:t>mmol/L</w:t>
      </w:r>
      <w:r>
        <w:rPr>
          <w:rFonts w:hint="default" w:ascii="Times New Roman" w:hAnsi="Times New Roman" w:eastAsia="等线" w:cs="Times New Roman"/>
          <w:color w:val="auto"/>
          <w:kern w:val="24"/>
          <w:position w:val="-7"/>
          <w:sz w:val="18"/>
          <w:szCs w:val="18"/>
          <w:vertAlign w:val="subscript"/>
          <w:lang w:val="en-US" w:eastAsia="zh-CN"/>
        </w:rPr>
        <w:t xml:space="preserve"> </w:t>
      </w:r>
    </w:p>
    <w:p w14:paraId="759ED0E2">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eastAsia="等线" w:cs="Times New Roman"/>
          <w:color w:val="auto"/>
          <w:kern w:val="24"/>
          <w:position w:val="-7"/>
          <w:sz w:val="18"/>
          <w:szCs w:val="18"/>
          <w:vertAlign w:val="subscript"/>
          <w:lang w:eastAsia="zh-CN"/>
        </w:rPr>
      </w:pPr>
      <w:r>
        <w:rPr>
          <w:rFonts w:hint="eastAsia" w:ascii="宋体" w:hAnsi="宋体" w:eastAsia="宋体" w:cs="宋体"/>
          <w:color w:val="auto"/>
          <w:kern w:val="24"/>
          <w:sz w:val="21"/>
          <w:szCs w:val="21"/>
          <w:lang w:val="en-US" w:eastAsia="zh-CN"/>
        </w:rPr>
        <w:t>女性</w:t>
      </w:r>
      <w:r>
        <w:rPr>
          <w:rFonts w:hint="default" w:ascii="Times New Roman" w:hAnsi="Times New Roman" w:eastAsia="等线" w:cs="Times New Roman"/>
          <w:color w:val="auto"/>
          <w:kern w:val="24"/>
          <w:sz w:val="18"/>
          <w:szCs w:val="18"/>
          <w:lang w:eastAsia="zh-CN"/>
        </w:rPr>
        <w:t>: CVAI = -</w:t>
      </w:r>
      <w:r>
        <w:rPr>
          <w:rFonts w:hint="eastAsia"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sz w:val="18"/>
          <w:szCs w:val="18"/>
          <w:lang w:eastAsia="zh-CN"/>
        </w:rPr>
        <w:t>187.32 + 1.71 × age</w:t>
      </w:r>
      <w:r>
        <w:rPr>
          <w:rFonts w:hint="default" w:ascii="Times New Roman" w:hAnsi="Times New Roman" w:eastAsia="等线" w:cs="Times New Roman"/>
          <w:color w:val="auto"/>
          <w:kern w:val="24"/>
          <w:position w:val="-7"/>
          <w:sz w:val="18"/>
          <w:szCs w:val="18"/>
          <w:vertAlign w:val="subscript"/>
          <w:lang w:eastAsia="zh-CN"/>
        </w:rPr>
        <w:t xml:space="preserve"> y</w:t>
      </w:r>
      <w:r>
        <w:rPr>
          <w:rFonts w:hint="default" w:ascii="Times New Roman" w:hAnsi="Times New Roman" w:eastAsia="等线" w:cs="Times New Roman"/>
          <w:color w:val="auto"/>
          <w:kern w:val="24"/>
          <w:position w:val="-7"/>
          <w:sz w:val="18"/>
          <w:szCs w:val="18"/>
          <w:vertAlign w:val="subscript"/>
          <w:lang w:val="en-US" w:eastAsia="zh-CN"/>
        </w:rPr>
        <w:t>ear</w:t>
      </w:r>
      <w:r>
        <w:rPr>
          <w:rFonts w:hint="default" w:ascii="Times New Roman" w:hAnsi="Times New Roman" w:eastAsia="等线" w:cs="Times New Roman"/>
          <w:color w:val="auto"/>
          <w:kern w:val="24"/>
          <w:position w:val="-7"/>
          <w:sz w:val="18"/>
          <w:szCs w:val="18"/>
          <w:vertAlign w:val="subscript"/>
          <w:lang w:eastAsia="zh-CN"/>
        </w:rPr>
        <w:t xml:space="preserve"> </w:t>
      </w:r>
      <w:r>
        <w:rPr>
          <w:rFonts w:hint="default" w:ascii="Times New Roman" w:hAnsi="Times New Roman" w:eastAsia="等线" w:cs="Times New Roman"/>
          <w:color w:val="auto"/>
          <w:kern w:val="24"/>
          <w:sz w:val="18"/>
          <w:szCs w:val="18"/>
          <w:lang w:eastAsia="zh-CN"/>
        </w:rPr>
        <w:t>+ 4.32 × BMI</w:t>
      </w:r>
      <w:r>
        <w:rPr>
          <w:rFonts w:hint="default" w:ascii="Times New Roman" w:hAnsi="Times New Roman" w:eastAsia="等线" w:cs="Times New Roman"/>
          <w:color w:val="auto"/>
          <w:kern w:val="24"/>
          <w:position w:val="-7"/>
          <w:sz w:val="18"/>
          <w:szCs w:val="18"/>
          <w:vertAlign w:val="subscript"/>
          <w:lang w:eastAsia="zh-CN"/>
        </w:rPr>
        <w:t xml:space="preserve"> kg/m</w:t>
      </w:r>
      <w:r>
        <w:rPr>
          <w:rFonts w:hint="default" w:ascii="Times New Roman" w:hAnsi="Times New Roman" w:eastAsia="等线" w:cs="Times New Roman"/>
          <w:color w:val="auto"/>
          <w:kern w:val="24"/>
          <w:position w:val="-4"/>
          <w:sz w:val="18"/>
          <w:szCs w:val="18"/>
          <w:vertAlign w:val="superscript"/>
          <w:lang w:eastAsia="zh-CN"/>
        </w:rPr>
        <w:t>2</w:t>
      </w:r>
      <w:r>
        <w:rPr>
          <w:rFonts w:hint="default" w:ascii="Times New Roman" w:hAnsi="Times New Roman" w:eastAsia="等线" w:cs="Times New Roman"/>
          <w:color w:val="auto"/>
          <w:kern w:val="24"/>
          <w:position w:val="-3"/>
          <w:sz w:val="18"/>
          <w:szCs w:val="18"/>
          <w:vertAlign w:val="subscript"/>
          <w:lang w:eastAsia="zh-CN"/>
        </w:rPr>
        <w:t xml:space="preserve"> </w:t>
      </w:r>
      <w:r>
        <w:rPr>
          <w:rFonts w:hint="default" w:ascii="Times New Roman" w:hAnsi="Times New Roman" w:eastAsia="等线" w:cs="Times New Roman"/>
          <w:color w:val="auto"/>
          <w:kern w:val="24"/>
          <w:sz w:val="18"/>
          <w:szCs w:val="18"/>
          <w:lang w:eastAsia="zh-CN"/>
        </w:rPr>
        <w:t>+ 1.12 × WC</w:t>
      </w:r>
      <w:r>
        <w:rPr>
          <w:rFonts w:hint="default" w:ascii="Times New Roman" w:hAnsi="Times New Roman" w:eastAsia="等线" w:cs="Times New Roman"/>
          <w:color w:val="auto"/>
          <w:kern w:val="24"/>
          <w:position w:val="-7"/>
          <w:sz w:val="18"/>
          <w:szCs w:val="18"/>
          <w:vertAlign w:val="subscript"/>
          <w:lang w:eastAsia="zh-CN"/>
        </w:rPr>
        <w:t xml:space="preserve"> cm </w:t>
      </w:r>
      <w:r>
        <w:rPr>
          <w:rFonts w:hint="default" w:ascii="Times New Roman" w:hAnsi="Times New Roman" w:eastAsia="等线" w:cs="Times New Roman"/>
          <w:color w:val="auto"/>
          <w:kern w:val="24"/>
          <w:sz w:val="18"/>
          <w:szCs w:val="18"/>
          <w:lang w:eastAsia="zh-CN"/>
        </w:rPr>
        <w:t xml:space="preserve">+ 39.76 × </w:t>
      </w:r>
      <w:r>
        <w:rPr>
          <w:rFonts w:hint="eastAsia" w:ascii="Times New Roman" w:hAnsi="Times New Roman" w:eastAsia="等线" w:cs="Times New Roman"/>
          <w:color w:val="auto"/>
          <w:kern w:val="24"/>
          <w:sz w:val="18"/>
          <w:szCs w:val="18"/>
          <w:lang w:val="en-US" w:eastAsia="zh-CN"/>
        </w:rPr>
        <w:t>l</w:t>
      </w:r>
      <w:r>
        <w:rPr>
          <w:rFonts w:hint="default" w:ascii="Times New Roman" w:hAnsi="Times New Roman" w:eastAsia="等线" w:cs="Times New Roman"/>
          <w:color w:val="auto"/>
          <w:kern w:val="24"/>
          <w:sz w:val="18"/>
          <w:szCs w:val="18"/>
          <w:lang w:eastAsia="zh-CN"/>
        </w:rPr>
        <w:t xml:space="preserve">g TG </w:t>
      </w:r>
      <w:r>
        <w:rPr>
          <w:rFonts w:hint="default" w:ascii="Times New Roman" w:hAnsi="Times New Roman" w:eastAsia="等线" w:cs="Times New Roman"/>
          <w:color w:val="auto"/>
          <w:kern w:val="24"/>
          <w:position w:val="-7"/>
          <w:sz w:val="18"/>
          <w:szCs w:val="18"/>
          <w:vertAlign w:val="subscript"/>
          <w:lang w:eastAsia="zh-CN"/>
        </w:rPr>
        <w:t>mmol/L</w:t>
      </w:r>
      <w:r>
        <w:rPr>
          <w:rFonts w:hint="default" w:ascii="Times New Roman" w:hAnsi="Times New Roman" w:eastAsia="等线" w:cs="Times New Roman"/>
          <w:color w:val="auto"/>
          <w:kern w:val="24"/>
          <w:sz w:val="18"/>
          <w:szCs w:val="18"/>
          <w:lang w:eastAsia="zh-CN"/>
        </w:rPr>
        <w:t>- 11.66 × HDL</w:t>
      </w:r>
      <w:r>
        <w:rPr>
          <w:rFonts w:hint="eastAsia" w:ascii="Times New Roman" w:hAnsi="Times New Roman" w:eastAsia="等线" w:cs="Times New Roman"/>
          <w:color w:val="auto"/>
          <w:kern w:val="24"/>
          <w:sz w:val="18"/>
          <w:szCs w:val="18"/>
          <w:lang w:val="en-US" w:eastAsia="zh-CN"/>
        </w:rPr>
        <w:t>-C</w:t>
      </w:r>
      <w:r>
        <w:rPr>
          <w:rFonts w:hint="default" w:ascii="Times New Roman" w:hAnsi="Times New Roman" w:eastAsia="等线" w:cs="Times New Roman"/>
          <w:color w:val="auto"/>
          <w:kern w:val="24"/>
          <w:sz w:val="18"/>
          <w:szCs w:val="18"/>
          <w:lang w:eastAsia="zh-CN"/>
        </w:rPr>
        <w:t xml:space="preserve"> </w:t>
      </w:r>
      <w:r>
        <w:rPr>
          <w:rFonts w:hint="default" w:ascii="Times New Roman" w:hAnsi="Times New Roman" w:eastAsia="等线" w:cs="Times New Roman"/>
          <w:color w:val="auto"/>
          <w:kern w:val="24"/>
          <w:position w:val="-7"/>
          <w:sz w:val="18"/>
          <w:szCs w:val="18"/>
          <w:vertAlign w:val="subscript"/>
          <w:lang w:eastAsia="zh-CN"/>
        </w:rPr>
        <w:t>mmol/L</w:t>
      </w:r>
    </w:p>
    <w:p w14:paraId="054A8BA6">
      <w:pPr>
        <w:keepNext w:val="0"/>
        <w:keepLines w:val="0"/>
        <w:pageBreakBefore w:val="0"/>
        <w:widowControl w:val="0"/>
        <w:kinsoku/>
        <w:wordWrap/>
        <w:overflowPunct/>
        <w:topLinePunct w:val="0"/>
        <w:autoSpaceDE/>
        <w:autoSpaceDN/>
        <w:bidi w:val="0"/>
        <w:adjustRightInd/>
        <w:snapToGrid/>
        <w:spacing w:after="0" w:line="360" w:lineRule="auto"/>
        <w:ind w:firstLine="360" w:firstLineChars="200"/>
        <w:jc w:val="both"/>
        <w:textAlignment w:val="auto"/>
        <w:rPr>
          <w:rFonts w:hint="default" w:ascii="Times New Roman" w:hAnsi="Times New Roman" w:eastAsia="等线" w:cs="Times New Roman"/>
          <w:color w:val="auto"/>
          <w:kern w:val="24"/>
          <w:position w:val="-7"/>
          <w:sz w:val="18"/>
          <w:szCs w:val="18"/>
          <w:vertAlign w:val="subscript"/>
          <w:lang w:eastAsia="zh-CN"/>
        </w:rPr>
      </w:pPr>
      <w:r>
        <w:rPr>
          <w:rFonts w:hint="default" w:ascii="Times New Roman" w:hAnsi="Times New Roman" w:eastAsia="宋体" w:cs="Times New Roman"/>
          <w:b w:val="0"/>
          <w:bCs w:val="0"/>
          <w:color w:val="auto"/>
          <w:kern w:val="2"/>
          <w:sz w:val="18"/>
          <w:szCs w:val="18"/>
          <w:lang w:val="en-US" w:eastAsia="zh-CN"/>
        </w:rPr>
        <w:t xml:space="preserve">WTI = </w:t>
      </w:r>
      <w:r>
        <w:rPr>
          <w:rFonts w:hint="default" w:ascii="Times New Roman" w:hAnsi="Times New Roman" w:eastAsia="等线" w:cs="Times New Roman"/>
          <w:b w:val="0"/>
          <w:bCs w:val="0"/>
          <w:color w:val="auto"/>
          <w:kern w:val="24"/>
          <w:sz w:val="18"/>
          <w:szCs w:val="18"/>
          <w:lang w:val="en-US" w:eastAsia="zh-CN"/>
        </w:rPr>
        <w:t xml:space="preserve">WC </w:t>
      </w:r>
      <w:r>
        <w:rPr>
          <w:rFonts w:hint="default" w:ascii="Times New Roman" w:hAnsi="Times New Roman" w:eastAsia="等线" w:cs="Times New Roman"/>
          <w:b w:val="0"/>
          <w:bCs w:val="0"/>
          <w:color w:val="auto"/>
          <w:kern w:val="24"/>
          <w:sz w:val="18"/>
          <w:szCs w:val="18"/>
          <w:vertAlign w:val="subscript"/>
          <w:lang w:val="en-US" w:eastAsia="zh-CN"/>
        </w:rPr>
        <w:t>cm</w:t>
      </w:r>
      <w:r>
        <w:rPr>
          <w:rFonts w:hint="default" w:ascii="Times New Roman" w:hAnsi="Times New Roman" w:eastAsia="宋体" w:cs="Times New Roman"/>
          <w:b w:val="0"/>
          <w:bCs w:val="0"/>
          <w:color w:val="auto"/>
          <w:kern w:val="2"/>
          <w:sz w:val="18"/>
          <w:szCs w:val="18"/>
          <w:lang w:val="en-US" w:eastAsia="zh-CN"/>
        </w:rPr>
        <w:t xml:space="preserve"> </w:t>
      </w:r>
      <w:r>
        <w:rPr>
          <w:rFonts w:hint="default" w:ascii="Times New Roman" w:hAnsi="Times New Roman" w:eastAsia="等线" w:cs="Times New Roman"/>
          <w:b w:val="0"/>
          <w:bCs w:val="0"/>
          <w:color w:val="auto"/>
          <w:kern w:val="24"/>
          <w:sz w:val="18"/>
          <w:szCs w:val="18"/>
          <w:lang w:eastAsia="zh-CN"/>
        </w:rPr>
        <w:t>×</w:t>
      </w:r>
      <w:r>
        <w:rPr>
          <w:rFonts w:hint="default" w:ascii="Times New Roman" w:hAnsi="Times New Roman" w:eastAsia="等线" w:cs="Times New Roman"/>
          <w:b w:val="0"/>
          <w:bCs w:val="0"/>
          <w:color w:val="auto"/>
          <w:kern w:val="24"/>
          <w:sz w:val="18"/>
          <w:szCs w:val="18"/>
          <w:lang w:val="en-US" w:eastAsia="zh-CN"/>
        </w:rPr>
        <w:t xml:space="preserve"> </w:t>
      </w:r>
      <w:r>
        <w:rPr>
          <w:rFonts w:hint="default" w:ascii="Times New Roman" w:hAnsi="Times New Roman" w:eastAsia="等线" w:cs="Times New Roman"/>
          <w:b w:val="0"/>
          <w:bCs w:val="0"/>
          <w:color w:val="auto"/>
          <w:kern w:val="24"/>
          <w:sz w:val="18"/>
          <w:szCs w:val="18"/>
          <w:lang w:eastAsia="zh-CN"/>
        </w:rPr>
        <w:t xml:space="preserve">TG </w:t>
      </w:r>
      <w:r>
        <w:rPr>
          <w:rFonts w:hint="default" w:ascii="Times New Roman" w:hAnsi="Times New Roman" w:eastAsia="等线" w:cs="Times New Roman"/>
          <w:b w:val="0"/>
          <w:bCs w:val="0"/>
          <w:color w:val="auto"/>
          <w:kern w:val="24"/>
          <w:sz w:val="18"/>
          <w:szCs w:val="18"/>
          <w:vertAlign w:val="subscript"/>
          <w:lang w:eastAsia="zh-CN"/>
        </w:rPr>
        <w:t>mmol/L</w:t>
      </w:r>
    </w:p>
    <w:p w14:paraId="251440C9">
      <w:pPr>
        <w:keepNext w:val="0"/>
        <w:keepLines w:val="0"/>
        <w:pageBreakBefore w:val="0"/>
        <w:widowControl w:val="0"/>
        <w:kinsoku/>
        <w:wordWrap/>
        <w:overflowPunct/>
        <w:topLinePunct w:val="0"/>
        <w:autoSpaceDE/>
        <w:autoSpaceDN/>
        <w:bidi w:val="0"/>
        <w:adjustRightInd/>
        <w:snapToGrid/>
        <w:spacing w:after="0" w:line="360" w:lineRule="auto"/>
        <w:ind w:firstLine="360" w:firstLineChars="200"/>
        <w:jc w:val="both"/>
        <w:textAlignment w:val="auto"/>
        <w:rPr>
          <w:rFonts w:hint="default" w:ascii="Times New Roman" w:hAnsi="Times New Roman" w:eastAsia="等线" w:cs="Times New Roman"/>
          <w:color w:val="auto"/>
          <w:kern w:val="24"/>
          <w:position w:val="-7"/>
          <w:sz w:val="18"/>
          <w:szCs w:val="18"/>
          <w:vertAlign w:val="subscript"/>
          <w:lang w:eastAsia="zh-CN"/>
        </w:rPr>
      </w:pPr>
      <w:r>
        <w:rPr>
          <w:rFonts w:hint="default" w:ascii="Times New Roman" w:hAnsi="Times New Roman" w:eastAsia="等线" w:cs="Times New Roman"/>
          <w:color w:val="auto"/>
          <w:kern w:val="24"/>
          <w:sz w:val="18"/>
          <w:szCs w:val="18"/>
          <w:lang w:val="en-US" w:eastAsia="zh-CN"/>
        </w:rPr>
        <w:t xml:space="preserve">CMI = </w:t>
      </w:r>
      <w:r>
        <w:rPr>
          <w:rFonts w:hint="eastAsia" w:ascii="Times New Roman" w:hAnsi="Times New Roman" w:eastAsia="等线" w:cs="Times New Roman"/>
          <w:color w:val="auto"/>
          <w:kern w:val="24"/>
          <w:sz w:val="18"/>
          <w:szCs w:val="18"/>
          <w:lang w:val="en-US" w:eastAsia="zh-CN"/>
        </w:rPr>
        <w:t>(</w:t>
      </w:r>
      <w:r>
        <w:rPr>
          <w:rFonts w:hint="default" w:ascii="Times New Roman" w:hAnsi="Times New Roman" w:eastAsia="等线" w:cs="Times New Roman"/>
          <w:color w:val="auto"/>
          <w:kern w:val="24"/>
          <w:sz w:val="18"/>
          <w:szCs w:val="18"/>
          <w:lang w:val="en-US" w:eastAsia="zh-CN"/>
        </w:rPr>
        <w:t xml:space="preserve">WC </w:t>
      </w:r>
      <w:r>
        <w:rPr>
          <w:rFonts w:hint="default" w:ascii="Times New Roman" w:hAnsi="Times New Roman" w:eastAsia="等线" w:cs="Times New Roman"/>
          <w:color w:val="auto"/>
          <w:kern w:val="24"/>
          <w:sz w:val="18"/>
          <w:szCs w:val="18"/>
          <w:vertAlign w:val="subscript"/>
          <w:lang w:val="en-US" w:eastAsia="zh-CN"/>
        </w:rPr>
        <w:t>cm</w:t>
      </w:r>
      <w:r>
        <w:rPr>
          <w:rFonts w:hint="default" w:ascii="Times New Roman" w:hAnsi="Times New Roman" w:eastAsia="等线" w:cs="Times New Roman"/>
          <w:color w:val="auto"/>
          <w:kern w:val="24"/>
          <w:sz w:val="18"/>
          <w:szCs w:val="18"/>
          <w:lang w:val="en-US" w:eastAsia="zh-CN"/>
        </w:rPr>
        <w:t xml:space="preserve"> /BH </w:t>
      </w:r>
      <w:r>
        <w:rPr>
          <w:rFonts w:hint="default" w:ascii="Times New Roman" w:hAnsi="Times New Roman" w:eastAsia="等线" w:cs="Times New Roman"/>
          <w:color w:val="auto"/>
          <w:kern w:val="24"/>
          <w:sz w:val="18"/>
          <w:szCs w:val="18"/>
          <w:vertAlign w:val="subscript"/>
          <w:lang w:val="en-US" w:eastAsia="zh-CN"/>
        </w:rPr>
        <w:t>cm</w:t>
      </w:r>
      <w:r>
        <w:rPr>
          <w:rFonts w:hint="eastAsia" w:ascii="Times New Roman" w:hAnsi="Times New Roman" w:eastAsia="等线" w:cs="Times New Roman"/>
          <w:color w:val="auto"/>
          <w:kern w:val="24"/>
          <w:sz w:val="18"/>
          <w:szCs w:val="18"/>
          <w:lang w:val="en-US" w:eastAsia="zh-CN"/>
        </w:rPr>
        <w:t>)</w:t>
      </w:r>
      <w:r>
        <w:rPr>
          <w:rFonts w:hint="default" w:ascii="Times New Roman" w:hAnsi="Times New Roman" w:eastAsia="等线" w:cs="Times New Roman"/>
          <w:color w:val="auto"/>
          <w:kern w:val="24"/>
          <w:sz w:val="18"/>
          <w:szCs w:val="18"/>
          <w:lang w:val="en-US" w:eastAsia="zh-CN"/>
        </w:rPr>
        <w:t xml:space="preserve"> × </w:t>
      </w:r>
      <w:r>
        <w:rPr>
          <w:rFonts w:hint="eastAsia" w:ascii="Times New Roman" w:hAnsi="Times New Roman" w:eastAsia="等线" w:cs="Times New Roman"/>
          <w:color w:val="auto"/>
          <w:kern w:val="24"/>
          <w:sz w:val="18"/>
          <w:szCs w:val="18"/>
          <w:lang w:val="en-US" w:eastAsia="zh-CN"/>
        </w:rPr>
        <w:t>(</w:t>
      </w:r>
      <w:r>
        <w:rPr>
          <w:rFonts w:hint="default" w:ascii="Times New Roman" w:hAnsi="Times New Roman" w:eastAsia="等线" w:cs="Times New Roman"/>
          <w:color w:val="auto"/>
          <w:kern w:val="24"/>
          <w:sz w:val="18"/>
          <w:szCs w:val="18"/>
          <w:lang w:val="en-US" w:eastAsia="zh-CN"/>
        </w:rPr>
        <w:t>TG</w:t>
      </w:r>
      <w:r>
        <w:rPr>
          <w:rFonts w:hint="default" w:ascii="Times New Roman" w:hAnsi="Times New Roman" w:eastAsia="等线" w:cs="Times New Roman"/>
          <w:color w:val="auto"/>
          <w:kern w:val="24"/>
          <w:sz w:val="18"/>
          <w:szCs w:val="18"/>
          <w:lang w:eastAsia="zh-CN"/>
        </w:rPr>
        <w:t xml:space="preserve"> </w:t>
      </w:r>
      <w:r>
        <w:rPr>
          <w:rFonts w:hint="default" w:ascii="Times New Roman" w:hAnsi="Times New Roman" w:eastAsia="等线" w:cs="Times New Roman"/>
          <w:color w:val="auto"/>
          <w:kern w:val="24"/>
          <w:position w:val="-7"/>
          <w:sz w:val="18"/>
          <w:szCs w:val="18"/>
          <w:vertAlign w:val="subscript"/>
          <w:lang w:eastAsia="zh-CN"/>
        </w:rPr>
        <w:t>mmol/L</w:t>
      </w:r>
      <w:r>
        <w:rPr>
          <w:rFonts w:hint="default" w:ascii="Times New Roman" w:hAnsi="Times New Roman" w:eastAsia="等线" w:cs="Times New Roman"/>
          <w:color w:val="auto"/>
          <w:kern w:val="24"/>
          <w:sz w:val="18"/>
          <w:szCs w:val="18"/>
          <w:lang w:val="en-US" w:eastAsia="zh-CN"/>
        </w:rPr>
        <w:t>/HDL</w:t>
      </w:r>
      <w:r>
        <w:rPr>
          <w:rFonts w:hint="eastAsia" w:ascii="Times New Roman" w:hAnsi="Times New Roman" w:eastAsia="等线" w:cs="Times New Roman"/>
          <w:color w:val="auto"/>
          <w:kern w:val="24"/>
          <w:sz w:val="18"/>
          <w:szCs w:val="18"/>
          <w:lang w:val="en-US" w:eastAsia="zh-CN"/>
        </w:rPr>
        <w:t>-C</w:t>
      </w:r>
      <w:r>
        <w:rPr>
          <w:rFonts w:hint="default" w:ascii="Times New Roman" w:hAnsi="Times New Roman" w:eastAsia="等线" w:cs="Times New Roman"/>
          <w:color w:val="auto"/>
          <w:kern w:val="24"/>
          <w:sz w:val="18"/>
          <w:szCs w:val="18"/>
          <w:lang w:val="en-US" w:eastAsia="zh-CN"/>
        </w:rPr>
        <w:t xml:space="preserve"> </w:t>
      </w:r>
      <w:r>
        <w:rPr>
          <w:rFonts w:hint="default" w:ascii="Times New Roman" w:hAnsi="Times New Roman" w:eastAsia="等线" w:cs="Times New Roman"/>
          <w:color w:val="auto"/>
          <w:kern w:val="24"/>
          <w:position w:val="-7"/>
          <w:sz w:val="18"/>
          <w:szCs w:val="18"/>
          <w:vertAlign w:val="subscript"/>
          <w:lang w:eastAsia="zh-CN"/>
        </w:rPr>
        <w:t>mmol/L</w:t>
      </w:r>
      <w:r>
        <w:rPr>
          <w:rFonts w:hint="eastAsia" w:ascii="Times New Roman" w:hAnsi="Times New Roman" w:eastAsia="等线" w:cs="Times New Roman"/>
          <w:color w:val="auto"/>
          <w:kern w:val="24"/>
          <w:sz w:val="18"/>
          <w:szCs w:val="18"/>
          <w:lang w:val="en-US" w:eastAsia="zh-CN"/>
        </w:rPr>
        <w:t>)</w:t>
      </w:r>
    </w:p>
    <w:p w14:paraId="07F692F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default" w:ascii="Times New Roman" w:hAnsi="Times New Roman" w:cs="Times New Roman" w:eastAsiaTheme="majorEastAsia"/>
          <w:b w:val="0"/>
          <w:i w:val="0"/>
          <w:strike w:val="0"/>
          <w:color w:val="auto"/>
          <w:kern w:val="2"/>
          <w:sz w:val="21"/>
          <w:szCs w:val="21"/>
          <w:u w:val="none"/>
          <w:lang w:val="en-US" w:eastAsia="zh-CN" w:bidi="ar-SA"/>
        </w:rPr>
      </w:pPr>
      <w:r>
        <w:rPr>
          <w:rFonts w:hint="default" w:ascii="Times New Roman" w:hAnsi="Times New Roman" w:cs="Times New Roman"/>
          <w:b w:val="0"/>
          <w:bCs w:val="0"/>
          <w:color w:val="auto"/>
          <w:lang w:val="en-US" w:eastAsia="zh-CN"/>
        </w:rPr>
        <w:t>吸烟、饮酒</w:t>
      </w:r>
      <w:r>
        <w:rPr>
          <w:rFonts w:hint="default" w:ascii="Times New Roman" w:hAnsi="Times New Roman" w:cs="Times New Roman"/>
          <w:color w:val="auto"/>
          <w:lang w:val="en-US" w:eastAsia="zh-CN"/>
        </w:rPr>
        <w:t>、</w:t>
      </w:r>
      <w:r>
        <w:rPr>
          <w:rFonts w:hint="eastAsia" w:ascii="Times New Roman" w:hAnsi="Times New Roman" w:cs="Times New Roman"/>
          <w:color w:val="auto"/>
          <w:lang w:val="en-US" w:eastAsia="zh-CN"/>
        </w:rPr>
        <w:t>饮茶、</w:t>
      </w:r>
      <w:r>
        <w:rPr>
          <w:rFonts w:hint="default" w:ascii="Times New Roman" w:hAnsi="Times New Roman" w:cs="Times New Roman"/>
          <w:b w:val="0"/>
          <w:bCs w:val="0"/>
          <w:color w:val="auto"/>
          <w:lang w:val="en-US" w:eastAsia="zh-CN"/>
        </w:rPr>
        <w:t>蔬菜水果摄入</w:t>
      </w:r>
      <w:r>
        <w:rPr>
          <w:rFonts w:hint="eastAsia" w:ascii="Times New Roman" w:hAnsi="Times New Roman" w:cs="Times New Roman"/>
          <w:b w:val="0"/>
          <w:bCs w:val="0"/>
          <w:color w:val="auto"/>
          <w:lang w:val="en-US" w:eastAsia="zh-CN"/>
        </w:rPr>
        <w:t>充足</w:t>
      </w:r>
      <w:r>
        <w:rPr>
          <w:rFonts w:hint="default" w:ascii="Times New Roman" w:hAnsi="Times New Roman" w:cs="Times New Roman"/>
          <w:color w:val="auto"/>
          <w:lang w:val="en-US" w:eastAsia="zh-CN"/>
        </w:rPr>
        <w:t>、</w:t>
      </w:r>
      <w:r>
        <w:rPr>
          <w:rFonts w:hint="default" w:ascii="Times New Roman" w:hAnsi="Times New Roman" w:cs="Times New Roman"/>
          <w:b w:val="0"/>
          <w:i w:val="0"/>
          <w:strike w:val="0"/>
          <w:color w:val="auto"/>
          <w:kern w:val="2"/>
          <w:sz w:val="21"/>
          <w:szCs w:val="21"/>
          <w:u w:val="none"/>
          <w:lang w:val="en-US" w:eastAsia="zh-CN" w:bidi="ar-SA"/>
        </w:rPr>
        <w:t>畜肉及其制品</w:t>
      </w:r>
      <w:r>
        <w:rPr>
          <w:rFonts w:hint="eastAsia" w:ascii="Times New Roman" w:hAnsi="Times New Roman" w:cs="Times New Roman"/>
          <w:b w:val="0"/>
          <w:i w:val="0"/>
          <w:strike w:val="0"/>
          <w:color w:val="auto"/>
          <w:kern w:val="2"/>
          <w:sz w:val="21"/>
          <w:szCs w:val="21"/>
          <w:u w:val="none"/>
          <w:lang w:val="en-US" w:eastAsia="zh-CN" w:bidi="ar-SA"/>
        </w:rPr>
        <w:t>、</w:t>
      </w:r>
      <w:r>
        <w:rPr>
          <w:rFonts w:hint="default" w:ascii="Times New Roman" w:hAnsi="Times New Roman" w:cs="Times New Roman"/>
          <w:color w:val="auto"/>
          <w:lang w:val="en-US" w:eastAsia="zh-CN"/>
        </w:rPr>
        <w:t>腌制品、饮食不规律、深度油炸食品、剩菜剩饭、霉变食物、进食过快、高盐饮食</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辛辣食物、体育锻炼</w:t>
      </w:r>
      <w:r>
        <w:rPr>
          <w:rFonts w:hint="eastAsia" w:ascii="Times New Roman" w:hAnsi="Times New Roman" w:cs="Times New Roman"/>
          <w:color w:val="auto"/>
          <w:lang w:val="en-US" w:eastAsia="zh-CN"/>
        </w:rPr>
        <w:t>、癌症家族史、慢性病家族史、幽门螺杆菌（</w:t>
      </w:r>
      <w:r>
        <w:rPr>
          <w:rFonts w:hint="eastAsia" w:ascii="Times New Roman" w:hAnsi="Times New Roman" w:cs="Times New Roman"/>
          <w:i/>
          <w:iCs/>
          <w:color w:val="auto"/>
          <w:lang w:val="en-US" w:eastAsia="zh-CN"/>
        </w:rPr>
        <w:t>Helicobacter pylori</w:t>
      </w:r>
      <w:r>
        <w:rPr>
          <w:rFonts w:hint="eastAsia" w:ascii="Times New Roman" w:hAnsi="Times New Roman" w:cs="Times New Roman"/>
          <w:color w:val="auto"/>
          <w:lang w:val="en-US" w:eastAsia="zh-CN"/>
        </w:rPr>
        <w:t>, Hp）感染和胃部疾病史</w:t>
      </w:r>
      <w:r>
        <w:rPr>
          <w:rFonts w:hint="default" w:ascii="Times New Roman" w:hAnsi="Times New Roman" w:cs="Times New Roman"/>
          <w:color w:val="auto"/>
          <w:lang w:val="en-US" w:eastAsia="zh-CN"/>
        </w:rPr>
        <w:t>指标的定义与既往文献保持一致</w:t>
      </w:r>
      <w:r>
        <w:rPr>
          <w:rFonts w:hint="default" w:ascii="Times New Roman" w:hAnsi="Times New Roman" w:eastAsia="宋体" w:cs="Times New Roman"/>
          <w:b w:val="0"/>
          <w:i w:val="0"/>
          <w:color w:val="auto"/>
          <w:sz w:val="21"/>
          <w:u w:val="none"/>
          <w:lang w:val="en-US" w:eastAsia="zh-CN"/>
        </w:rPr>
        <w:fldChar w:fldCharType="begin"/>
      </w:r>
      <w:r>
        <w:rPr>
          <w:rFonts w:hint="eastAsia" w:ascii="Times New Roman" w:hAnsi="Times New Roman" w:eastAsia="宋体" w:cs="Times New Roman"/>
          <w:b w:val="0"/>
          <w:i w:val="0"/>
          <w:color w:val="auto"/>
          <w:sz w:val="21"/>
          <w:u w:val="none"/>
          <w:lang w:val="en-US" w:eastAsia="zh-CN"/>
        </w:rPr>
        <w:instrText xml:space="preserve"> ADDIN KYMRREF{8F215C65-BADE-4FD0-B26F-6DF5A5DBD711}1169,{8F215C65-BADE-4FD0-B26F-6DF5A5DBD711}1399,{96D92876-0348-451D-8565-038C0D43D940}1162</w:instrText>
      </w:r>
      <w:r>
        <w:rPr>
          <w:rFonts w:hint="default" w:ascii="Times New Roman" w:hAnsi="Times New Roman" w:eastAsia="宋体" w:cs="Times New Roman"/>
          <w:b w:val="0"/>
          <w:i w:val="0"/>
          <w:color w:val="auto"/>
          <w:sz w:val="21"/>
          <w:u w:val="none"/>
          <w:lang w:val="en-US" w:eastAsia="zh-CN"/>
        </w:rPr>
        <w:fldChar w:fldCharType="separate"/>
      </w:r>
      <w:r>
        <w:rPr>
          <w:rFonts w:hint="eastAsia" w:ascii="Times New Roman" w:hAnsi="Times New Roman" w:eastAsia="宋体" w:cs="Times New Roman"/>
          <w:b w:val="0"/>
          <w:i w:val="0"/>
          <w:color w:val="auto"/>
          <w:sz w:val="21"/>
          <w:u w:val="none"/>
          <w:vertAlign w:val="superscript"/>
          <w:lang w:val="en-US" w:eastAsia="zh-CN"/>
        </w:rPr>
        <w:t>[17, 24, 25]</w:t>
      </w:r>
      <w:r>
        <w:rPr>
          <w:rFonts w:hint="default" w:ascii="Times New Roman" w:hAnsi="Times New Roman" w:eastAsia="宋体" w:cs="Times New Roman"/>
          <w:b w:val="0"/>
          <w:i w:val="0"/>
          <w:color w:val="auto"/>
          <w:sz w:val="21"/>
          <w:u w:val="none"/>
          <w:lang w:val="en-US" w:eastAsia="zh-CN"/>
        </w:rPr>
        <w:fldChar w:fldCharType="end"/>
      </w:r>
      <w:r>
        <w:rPr>
          <w:rFonts w:hint="default" w:ascii="Times New Roman" w:hAnsi="Times New Roman" w:cs="Times New Roman"/>
          <w:b w:val="0"/>
          <w:i w:val="0"/>
          <w:strike w:val="0"/>
          <w:color w:val="auto"/>
          <w:kern w:val="2"/>
          <w:sz w:val="21"/>
          <w:szCs w:val="21"/>
          <w:u w:val="none"/>
          <w:lang w:val="en-US" w:eastAsia="zh-CN" w:bidi="ar-SA"/>
        </w:rPr>
        <w:t>。服药史指当前服用降压、降脂或降糖药物。</w:t>
      </w:r>
    </w:p>
    <w:p w14:paraId="612B2257">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Times New Roman" w:hAnsi="Times New Roman" w:eastAsia="楷体" w:cs="Times New Roman"/>
          <w:color w:val="auto"/>
          <w:sz w:val="21"/>
          <w:szCs w:val="21"/>
          <w:lang w:val="en-US" w:eastAsia="zh-CN"/>
        </w:rPr>
      </w:pPr>
      <w:r>
        <w:rPr>
          <w:rFonts w:hint="default" w:ascii="Times New Roman" w:hAnsi="Times New Roman" w:eastAsia="楷体" w:cs="Times New Roman"/>
          <w:color w:val="auto"/>
          <w:sz w:val="21"/>
          <w:szCs w:val="21"/>
          <w:lang w:val="en-US" w:eastAsia="zh-CN"/>
        </w:rPr>
        <w:t xml:space="preserve">1.4统计学分析  </w:t>
      </w:r>
    </w:p>
    <w:p w14:paraId="59444930">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vertAlign w:val="baseline"/>
          <w:lang w:val="en-US" w:eastAsia="zh-CN"/>
        </w:rPr>
      </w:pPr>
      <w:r>
        <w:rPr>
          <w:rFonts w:hint="default" w:ascii="Times New Roman" w:hAnsi="Times New Roman" w:cs="Times New Roman"/>
          <w:color w:val="auto"/>
          <w:lang w:val="en-US" w:eastAsia="zh-CN"/>
        </w:rPr>
        <w:t>采用SPSS</w:t>
      </w:r>
      <w:r>
        <w:rPr>
          <w:rFonts w:hint="eastAsia" w:ascii="Times New Roman" w:hAnsi="Times New Roman" w:cs="Times New Roman"/>
          <w:color w:val="auto"/>
          <w:lang w:val="en-US" w:eastAsia="zh-CN"/>
        </w:rPr>
        <w:t xml:space="preserve"> </w:t>
      </w:r>
      <w:r>
        <w:rPr>
          <w:rFonts w:hint="default" w:ascii="Times New Roman" w:hAnsi="Times New Roman" w:cs="Times New Roman"/>
          <w:color w:val="auto"/>
          <w:lang w:val="en-US" w:eastAsia="zh-CN"/>
        </w:rPr>
        <w:t>27.0</w:t>
      </w:r>
      <w:r>
        <w:rPr>
          <w:rFonts w:hint="eastAsia" w:ascii="Times New Roman" w:hAnsi="Times New Roman" w:cs="Times New Roman"/>
          <w:color w:val="auto"/>
          <w:lang w:val="en-US" w:eastAsia="zh-CN"/>
        </w:rPr>
        <w:t>和R version 3.4.0软件</w:t>
      </w:r>
      <w:r>
        <w:rPr>
          <w:rFonts w:hint="default" w:ascii="Times New Roman" w:hAnsi="Times New Roman" w:cs="Times New Roman"/>
          <w:color w:val="auto"/>
          <w:lang w:val="en-US" w:eastAsia="zh-CN"/>
        </w:rPr>
        <w:t>进行数据整理和分析。</w:t>
      </w:r>
      <w:r>
        <w:rPr>
          <w:rFonts w:hint="eastAsia" w:ascii="Times New Roman" w:hAnsi="Times New Roman" w:cs="Times New Roman"/>
          <w:color w:val="auto"/>
          <w:lang w:val="en-US" w:eastAsia="zh-CN"/>
        </w:rPr>
        <w:t>计</w:t>
      </w:r>
      <w:r>
        <w:rPr>
          <w:rFonts w:hint="default" w:ascii="Times New Roman" w:hAnsi="Times New Roman" w:cs="Times New Roman"/>
          <w:color w:val="auto"/>
          <w:lang w:val="en-US" w:eastAsia="zh-CN"/>
        </w:rPr>
        <w:t>量资料</w:t>
      </w:r>
      <w:r>
        <w:rPr>
          <w:rFonts w:hint="eastAsia" w:ascii="Times New Roman" w:hAnsi="Times New Roman" w:cs="Times New Roman"/>
          <w:color w:val="auto"/>
          <w:lang w:val="en-US" w:eastAsia="zh-CN"/>
        </w:rPr>
        <w:t>不符合</w:t>
      </w:r>
      <w:r>
        <w:rPr>
          <w:rFonts w:hint="default" w:ascii="Times New Roman" w:hAnsi="Times New Roman" w:cs="Times New Roman"/>
          <w:color w:val="auto"/>
          <w:lang w:val="en-US" w:eastAsia="zh-CN"/>
        </w:rPr>
        <w:t>正态</w:t>
      </w:r>
      <w:r>
        <w:rPr>
          <w:rFonts w:hint="eastAsia" w:ascii="Times New Roman" w:hAnsi="Times New Roman" w:cs="Times New Roman"/>
          <w:color w:val="auto"/>
          <w:lang w:val="en-US" w:eastAsia="zh-CN"/>
        </w:rPr>
        <w:t>分布，</w:t>
      </w:r>
      <w:r>
        <w:rPr>
          <w:rFonts w:hint="default" w:ascii="Times New Roman" w:hAnsi="Times New Roman" w:cs="Times New Roman"/>
          <w:color w:val="auto"/>
          <w:lang w:val="en-US" w:eastAsia="zh-CN"/>
        </w:rPr>
        <w:t>用</w:t>
      </w:r>
      <w:r>
        <w:rPr>
          <w:rFonts w:hint="default" w:ascii="Times New Roman" w:hAnsi="Times New Roman" w:cs="Times New Roman"/>
          <w:i/>
          <w:iCs/>
          <w:color w:val="auto"/>
          <w:lang w:val="en-US" w:eastAsia="zh-CN"/>
        </w:rPr>
        <w:t>M</w:t>
      </w:r>
      <w:r>
        <w:rPr>
          <w:rFonts w:hint="default" w:ascii="Times New Roman" w:hAnsi="Times New Roman" w:cs="Times New Roman"/>
          <w:color w:val="auto"/>
          <w:lang w:val="en-US" w:eastAsia="zh-CN"/>
        </w:rPr>
        <w:t>（</w:t>
      </w:r>
      <w:r>
        <w:rPr>
          <w:rFonts w:hint="default" w:ascii="Times New Roman" w:hAnsi="Times New Roman" w:cs="Times New Roman"/>
          <w:i/>
          <w:iCs/>
          <w:color w:val="auto"/>
          <w:lang w:val="en-US" w:eastAsia="zh-CN"/>
        </w:rPr>
        <w:t>Q</w:t>
      </w:r>
      <w:r>
        <w:rPr>
          <w:rFonts w:hint="default" w:ascii="Times New Roman" w:hAnsi="Times New Roman" w:cs="Times New Roman"/>
          <w:i w:val="0"/>
          <w:iCs w:val="0"/>
          <w:color w:val="auto"/>
          <w:vertAlign w:val="subscript"/>
          <w:lang w:val="en-US" w:eastAsia="zh-CN"/>
        </w:rPr>
        <w:t>1,</w:t>
      </w:r>
      <w:r>
        <w:rPr>
          <w:rFonts w:hint="default" w:ascii="Times New Roman" w:hAnsi="Times New Roman" w:cs="Times New Roman"/>
          <w:i/>
          <w:iCs/>
          <w:color w:val="auto"/>
          <w:lang w:val="en-US" w:eastAsia="zh-CN"/>
        </w:rPr>
        <w:t>Q</w:t>
      </w:r>
      <w:r>
        <w:rPr>
          <w:rFonts w:hint="default" w:ascii="Times New Roman" w:hAnsi="Times New Roman" w:cs="Times New Roman"/>
          <w:i w:val="0"/>
          <w:iCs w:val="0"/>
          <w:color w:val="auto"/>
          <w:vertAlign w:val="subscript"/>
          <w:lang w:val="en-US" w:eastAsia="zh-CN"/>
        </w:rPr>
        <w:t>3</w:t>
      </w:r>
      <w:r>
        <w:rPr>
          <w:rFonts w:hint="default" w:ascii="Times New Roman" w:hAnsi="Times New Roman" w:cs="Times New Roman"/>
          <w:color w:val="auto"/>
          <w:lang w:val="en-US" w:eastAsia="zh-CN"/>
        </w:rPr>
        <w:t>）描述</w:t>
      </w:r>
      <w:r>
        <w:rPr>
          <w:rFonts w:hint="eastAsia" w:ascii="Times New Roman" w:hAnsi="Times New Roman" w:cs="Times New Roman"/>
          <w:color w:val="auto"/>
          <w:lang w:val="en-US" w:eastAsia="zh-CN"/>
        </w:rPr>
        <w:t>；</w:t>
      </w:r>
      <w:r>
        <w:rPr>
          <w:rFonts w:hint="default" w:ascii="Times New Roman" w:hAnsi="Times New Roman" w:cs="Times New Roman"/>
          <w:color w:val="auto"/>
          <w:lang w:val="en-US" w:eastAsia="zh-CN"/>
        </w:rPr>
        <w:t>计数资料用n（%）表示</w:t>
      </w:r>
      <w:r>
        <w:rPr>
          <w:rFonts w:hint="eastAsia" w:ascii="Times New Roman" w:hAnsi="Times New Roman" w:cs="Times New Roman"/>
          <w:color w:val="auto"/>
          <w:lang w:val="en-US" w:eastAsia="zh-CN"/>
        </w:rPr>
        <w:t>，组间比较采用非参数检验</w:t>
      </w:r>
      <w:r>
        <w:rPr>
          <w:rFonts w:hint="default" w:ascii="Times New Roman" w:hAnsi="Times New Roman" w:cs="Times New Roman"/>
          <w:color w:val="auto"/>
          <w:sz w:val="21"/>
          <w:szCs w:val="21"/>
          <w:vertAlign w:val="baseline"/>
          <w:lang w:val="en-US" w:eastAsia="zh-CN"/>
        </w:rPr>
        <w:t>或</w:t>
      </w:r>
      <w:r>
        <w:rPr>
          <w:rFonts w:hint="default" w:ascii="Times New Roman" w:hAnsi="Times New Roman" w:eastAsia="宋体" w:cs="Times New Roman"/>
          <w:i/>
          <w:iCs/>
          <w:color w:val="auto"/>
          <w:sz w:val="21"/>
          <w:szCs w:val="21"/>
          <w:lang w:val="en-US" w:eastAsia="zh-CN"/>
        </w:rPr>
        <w:t>χ</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cs="Times New Roman"/>
          <w:i w:val="0"/>
          <w:iCs w:val="0"/>
          <w:color w:val="auto"/>
          <w:sz w:val="21"/>
          <w:szCs w:val="21"/>
          <w:vertAlign w:val="baseline"/>
          <w:lang w:val="en-US" w:eastAsia="zh-CN"/>
        </w:rPr>
        <w:t>检验</w:t>
      </w:r>
      <w:r>
        <w:rPr>
          <w:rFonts w:hint="default" w:ascii="Times New Roman" w:hAnsi="Times New Roman" w:cs="Times New Roman"/>
          <w:color w:val="auto"/>
          <w:sz w:val="21"/>
          <w:szCs w:val="21"/>
          <w:vertAlign w:val="baseline"/>
          <w:lang w:val="en-US" w:eastAsia="zh-CN"/>
        </w:rPr>
        <w:t>。排除与</w:t>
      </w:r>
      <w:r>
        <w:rPr>
          <w:rFonts w:hint="eastAsia" w:ascii="Times New Roman" w:hAnsi="Times New Roman" w:eastAsia="宋体" w:cs="Times New Roman"/>
          <w:b w:val="0"/>
          <w:bCs w:val="0"/>
          <w:i w:val="0"/>
          <w:iCs w:val="0"/>
          <w:color w:val="auto"/>
          <w:sz w:val="21"/>
          <w:szCs w:val="21"/>
          <w:lang w:val="en-US" w:eastAsia="zh-CN"/>
        </w:rPr>
        <w:t>N</w:t>
      </w:r>
      <w:r>
        <w:rPr>
          <w:rFonts w:hint="default" w:ascii="Times New Roman" w:hAnsi="Times New Roman" w:eastAsia="宋体" w:cs="Times New Roman"/>
          <w:b w:val="0"/>
          <w:bCs w:val="0"/>
          <w:i w:val="0"/>
          <w:iCs w:val="0"/>
          <w:color w:val="auto"/>
          <w:sz w:val="21"/>
          <w:szCs w:val="21"/>
          <w:lang w:val="en-US" w:eastAsia="zh-CN"/>
        </w:rPr>
        <w:t>ORI组分相关的因素后，</w:t>
      </w:r>
      <w:r>
        <w:rPr>
          <w:rFonts w:hint="default" w:ascii="Times New Roman" w:hAnsi="Times New Roman" w:cs="Times New Roman"/>
          <w:color w:val="auto"/>
          <w:sz w:val="21"/>
          <w:szCs w:val="21"/>
          <w:vertAlign w:val="baseline"/>
          <w:lang w:val="en-US" w:eastAsia="zh-CN"/>
        </w:rPr>
        <w:t>将单因素分析有意义的变量</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i/>
          <w:iCs/>
          <w:color w:val="auto"/>
          <w:sz w:val="21"/>
          <w:szCs w:val="21"/>
          <w:lang w:val="en-US" w:eastAsia="zh-CN"/>
        </w:rPr>
        <w:t>P</w:t>
      </w:r>
      <w:r>
        <w:rPr>
          <w:rFonts w:hint="default" w:ascii="Times New Roman" w:hAnsi="Times New Roman" w:eastAsia="宋体" w:cs="Times New Roman"/>
          <w:b w:val="0"/>
          <w:bCs w:val="0"/>
          <w:i w:val="0"/>
          <w:iCs w:val="0"/>
          <w:color w:val="auto"/>
          <w:sz w:val="21"/>
          <w:szCs w:val="21"/>
          <w:lang w:val="en-US" w:eastAsia="zh-CN"/>
        </w:rPr>
        <w:t>&lt;0.05</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cs="Times New Roman"/>
          <w:color w:val="auto"/>
          <w:sz w:val="21"/>
          <w:szCs w:val="21"/>
          <w:vertAlign w:val="baseline"/>
          <w:lang w:val="en-US" w:eastAsia="zh-CN"/>
        </w:rPr>
        <w:t>纳入</w:t>
      </w:r>
      <w:r>
        <w:rPr>
          <w:rFonts w:hint="eastAsia" w:ascii="Times New Roman" w:hAnsi="Times New Roman" w:cs="Times New Roman"/>
          <w:color w:val="auto"/>
          <w:sz w:val="21"/>
          <w:szCs w:val="21"/>
          <w:vertAlign w:val="baseline"/>
          <w:lang w:val="en-US" w:eastAsia="zh-CN"/>
        </w:rPr>
        <w:t>以</w:t>
      </w:r>
      <w:r>
        <w:rPr>
          <w:rFonts w:hint="default" w:ascii="Times New Roman" w:hAnsi="Times New Roman" w:cs="Times New Roman"/>
          <w:color w:val="auto"/>
          <w:szCs w:val="21"/>
          <w:u w:val="none"/>
        </w:rPr>
        <w:t>非GC及癌前病变/疾病</w:t>
      </w:r>
      <w:r>
        <w:rPr>
          <w:rFonts w:hint="eastAsia" w:ascii="Times New Roman" w:hAnsi="Times New Roman" w:cs="Times New Roman"/>
          <w:color w:val="auto"/>
          <w:szCs w:val="21"/>
          <w:u w:val="none"/>
          <w:lang w:val="en-US" w:eastAsia="zh-CN"/>
        </w:rPr>
        <w:t>组为参照的</w:t>
      </w:r>
      <w:r>
        <w:rPr>
          <w:rFonts w:hint="default" w:ascii="Times New Roman" w:hAnsi="Times New Roman" w:cs="Times New Roman"/>
          <w:color w:val="auto"/>
          <w:sz w:val="21"/>
          <w:szCs w:val="21"/>
          <w:vertAlign w:val="baseline"/>
          <w:lang w:val="en-US" w:eastAsia="zh-CN"/>
        </w:rPr>
        <w:t>无序</w:t>
      </w:r>
      <w:r>
        <w:rPr>
          <w:rFonts w:hint="eastAsia" w:ascii="Times New Roman" w:hAnsi="Times New Roman" w:cs="Times New Roman"/>
          <w:color w:val="auto"/>
          <w:sz w:val="21"/>
          <w:szCs w:val="21"/>
          <w:vertAlign w:val="baseline"/>
          <w:lang w:val="en-US" w:eastAsia="zh-CN"/>
        </w:rPr>
        <w:t>多分类</w:t>
      </w:r>
      <w:r>
        <w:rPr>
          <w:rFonts w:hint="default" w:ascii="Times New Roman" w:hAnsi="Times New Roman" w:cs="Times New Roman"/>
          <w:color w:val="auto"/>
          <w:sz w:val="21"/>
          <w:szCs w:val="21"/>
          <w:vertAlign w:val="baseline"/>
          <w:lang w:val="en-US" w:eastAsia="zh-CN"/>
        </w:rPr>
        <w:t>logistic回归模型探索各</w:t>
      </w:r>
      <w:r>
        <w:rPr>
          <w:rFonts w:hint="eastAsia" w:ascii="Times New Roman" w:hAnsi="Times New Roman" w:eastAsia="宋体" w:cs="Times New Roman"/>
          <w:b w:val="0"/>
          <w:bCs w:val="0"/>
          <w:i w:val="0"/>
          <w:iCs w:val="0"/>
          <w:color w:val="auto"/>
          <w:sz w:val="21"/>
          <w:szCs w:val="21"/>
          <w:lang w:val="en-US" w:eastAsia="zh-CN"/>
        </w:rPr>
        <w:t>N</w:t>
      </w:r>
      <w:r>
        <w:rPr>
          <w:rFonts w:hint="default" w:ascii="Times New Roman" w:hAnsi="Times New Roman" w:eastAsia="宋体" w:cs="Times New Roman"/>
          <w:b w:val="0"/>
          <w:bCs w:val="0"/>
          <w:i w:val="0"/>
          <w:iCs w:val="0"/>
          <w:color w:val="auto"/>
          <w:sz w:val="21"/>
          <w:szCs w:val="21"/>
          <w:lang w:val="en-US" w:eastAsia="zh-CN"/>
        </w:rPr>
        <w:t>ORI</w:t>
      </w:r>
      <w:r>
        <w:rPr>
          <w:rFonts w:hint="default" w:ascii="Times New Roman" w:hAnsi="Times New Roman" w:cs="Times New Roman"/>
          <w:b w:val="0"/>
          <w:i w:val="0"/>
          <w:strike w:val="0"/>
          <w:color w:val="auto"/>
          <w:kern w:val="2"/>
          <w:sz w:val="21"/>
          <w:szCs w:val="21"/>
          <w:u w:val="none"/>
          <w:lang w:val="en-US" w:eastAsia="zh-CN" w:bidi="ar-SA"/>
        </w:rPr>
        <w:t>四分位数和z-score评分[Z=（观察值-平均值）/标准差]</w:t>
      </w:r>
      <w:r>
        <w:rPr>
          <w:rFonts w:hint="eastAsia" w:ascii="Times New Roman" w:hAnsi="Times New Roman" w:cs="Times New Roman"/>
          <w:b w:val="0"/>
          <w:i w:val="0"/>
          <w:strike w:val="0"/>
          <w:color w:val="auto"/>
          <w:kern w:val="2"/>
          <w:sz w:val="21"/>
          <w:szCs w:val="21"/>
          <w:u w:val="none"/>
          <w:lang w:val="en-US" w:eastAsia="zh-CN" w:bidi="ar-SA"/>
        </w:rPr>
        <w:t>分别</w:t>
      </w:r>
      <w:r>
        <w:rPr>
          <w:rFonts w:hint="default" w:ascii="Times New Roman" w:hAnsi="Times New Roman" w:cs="Times New Roman"/>
          <w:color w:val="auto"/>
          <w:sz w:val="21"/>
          <w:szCs w:val="21"/>
          <w:vertAlign w:val="baseline"/>
          <w:lang w:val="en-US" w:eastAsia="zh-CN"/>
        </w:rPr>
        <w:t>与</w:t>
      </w:r>
      <w:r>
        <w:rPr>
          <w:rFonts w:hint="eastAsia" w:ascii="Times New Roman" w:hAnsi="Times New Roman" w:cs="Times New Roman"/>
          <w:color w:val="auto"/>
          <w:sz w:val="21"/>
          <w:szCs w:val="21"/>
          <w:vertAlign w:val="baseline"/>
          <w:lang w:val="en-US" w:eastAsia="zh-CN"/>
        </w:rPr>
        <w:t>GC、</w:t>
      </w:r>
      <w:r>
        <w:rPr>
          <w:rFonts w:hint="default" w:ascii="Times New Roman" w:hAnsi="Times New Roman" w:cs="Times New Roman"/>
          <w:color w:val="auto"/>
          <w:sz w:val="21"/>
          <w:szCs w:val="21"/>
          <w:vertAlign w:val="baseline"/>
          <w:lang w:val="en-US" w:eastAsia="zh-CN"/>
        </w:rPr>
        <w:t>癌前病变</w:t>
      </w:r>
      <w:r>
        <w:rPr>
          <w:rFonts w:hint="eastAsia" w:ascii="Times New Roman" w:hAnsi="Times New Roman" w:cs="Times New Roman"/>
          <w:color w:val="auto"/>
          <w:sz w:val="21"/>
          <w:szCs w:val="21"/>
          <w:vertAlign w:val="baseline"/>
          <w:lang w:val="en-US" w:eastAsia="zh-CN"/>
        </w:rPr>
        <w:t>和癌前</w:t>
      </w:r>
      <w:r>
        <w:rPr>
          <w:rFonts w:hint="default" w:ascii="Times New Roman" w:hAnsi="Times New Roman" w:cs="Times New Roman"/>
          <w:color w:val="auto"/>
          <w:sz w:val="21"/>
          <w:szCs w:val="21"/>
          <w:vertAlign w:val="baseline"/>
          <w:lang w:val="en-US" w:eastAsia="zh-CN"/>
        </w:rPr>
        <w:t>疾病的关联。此外，为探讨病变部位的异质性，本研究按贲门部与非贲门部病变进行</w:t>
      </w:r>
      <w:r>
        <w:rPr>
          <w:rFonts w:hint="eastAsia" w:ascii="Times New Roman" w:hAnsi="Times New Roman" w:cs="Times New Roman"/>
          <w:color w:val="auto"/>
          <w:sz w:val="21"/>
          <w:szCs w:val="21"/>
          <w:vertAlign w:val="baseline"/>
          <w:lang w:val="en-US" w:eastAsia="zh-CN"/>
        </w:rPr>
        <w:t>探索性分层</w:t>
      </w:r>
      <w:r>
        <w:rPr>
          <w:rFonts w:hint="default" w:ascii="Times New Roman" w:hAnsi="Times New Roman" w:cs="Times New Roman"/>
          <w:color w:val="auto"/>
          <w:sz w:val="21"/>
          <w:szCs w:val="21"/>
          <w:vertAlign w:val="baseline"/>
          <w:lang w:val="en-US" w:eastAsia="zh-CN"/>
        </w:rPr>
        <w:t>分析，分别剔除另一组</w:t>
      </w:r>
      <w:r>
        <w:rPr>
          <w:rFonts w:hint="eastAsia" w:ascii="Times New Roman" w:hAnsi="Times New Roman" w:cs="Times New Roman"/>
          <w:color w:val="auto"/>
          <w:sz w:val="21"/>
          <w:szCs w:val="21"/>
          <w:vertAlign w:val="baseline"/>
          <w:lang w:val="en-US" w:eastAsia="zh-CN"/>
        </w:rPr>
        <w:t>患病</w:t>
      </w:r>
      <w:r>
        <w:rPr>
          <w:rFonts w:hint="default" w:ascii="Times New Roman" w:hAnsi="Times New Roman" w:cs="Times New Roman"/>
          <w:color w:val="auto"/>
          <w:sz w:val="21"/>
          <w:szCs w:val="21"/>
          <w:vertAlign w:val="baseline"/>
          <w:lang w:val="en-US" w:eastAsia="zh-CN"/>
        </w:rPr>
        <w:t>对象后，在校正所有潜在混杂因素的基础上，采用无序多分类logistic回归分析</w:t>
      </w:r>
      <w:r>
        <w:rPr>
          <w:rFonts w:hint="eastAsia" w:ascii="Times New Roman" w:hAnsi="Times New Roman" w:cs="Times New Roman"/>
          <w:color w:val="auto"/>
          <w:sz w:val="21"/>
          <w:szCs w:val="21"/>
          <w:vertAlign w:val="baseline"/>
          <w:lang w:val="en-US" w:eastAsia="zh-CN"/>
        </w:rPr>
        <w:t>探索</w:t>
      </w:r>
      <w:r>
        <w:rPr>
          <w:rFonts w:hint="eastAsia" w:ascii="Times New Roman" w:hAnsi="Times New Roman" w:eastAsia="宋体" w:cs="Times New Roman"/>
          <w:b w:val="0"/>
          <w:bCs w:val="0"/>
          <w:i w:val="0"/>
          <w:iCs w:val="0"/>
          <w:color w:val="auto"/>
          <w:sz w:val="21"/>
          <w:szCs w:val="21"/>
          <w:lang w:val="en-US" w:eastAsia="zh-CN"/>
        </w:rPr>
        <w:t>N</w:t>
      </w:r>
      <w:r>
        <w:rPr>
          <w:rFonts w:hint="default" w:ascii="Times New Roman" w:hAnsi="Times New Roman" w:eastAsia="宋体" w:cs="Times New Roman"/>
          <w:b w:val="0"/>
          <w:bCs w:val="0"/>
          <w:i w:val="0"/>
          <w:iCs w:val="0"/>
          <w:color w:val="auto"/>
          <w:sz w:val="21"/>
          <w:szCs w:val="21"/>
          <w:lang w:val="en-US" w:eastAsia="zh-CN"/>
        </w:rPr>
        <w:t>ORI</w:t>
      </w:r>
      <w:r>
        <w:rPr>
          <w:rFonts w:hint="default" w:ascii="Times New Roman" w:hAnsi="Times New Roman" w:cs="Times New Roman"/>
          <w:color w:val="auto"/>
          <w:sz w:val="21"/>
          <w:szCs w:val="21"/>
          <w:vertAlign w:val="baseline"/>
          <w:lang w:val="en-US" w:eastAsia="zh-CN"/>
        </w:rPr>
        <w:t>与不同部位病变的关联。</w:t>
      </w:r>
      <w:r>
        <w:rPr>
          <w:rFonts w:hint="default" w:ascii="Times New Roman" w:hAnsi="Times New Roman" w:cs="Times New Roman"/>
          <w:color w:val="auto"/>
          <w:vertAlign w:val="baseline"/>
          <w:lang w:val="en-US" w:eastAsia="zh-CN"/>
        </w:rPr>
        <w:t>检验水准</w:t>
      </w:r>
      <w:r>
        <w:rPr>
          <w:rFonts w:hint="default" w:ascii="Times New Roman" w:hAnsi="Times New Roman" w:cs="Times New Roman"/>
          <w:i/>
          <w:iCs/>
          <w:color w:val="auto"/>
          <w:vertAlign w:val="baseline"/>
          <w:lang w:val="en-US" w:eastAsia="zh-CN"/>
        </w:rPr>
        <w:t>α</w:t>
      </w:r>
      <w:r>
        <w:rPr>
          <w:rFonts w:hint="default" w:ascii="Times New Roman" w:hAnsi="Times New Roman" w:cs="Times New Roman"/>
          <w:color w:val="auto"/>
          <w:vertAlign w:val="baseline"/>
          <w:lang w:val="en-US" w:eastAsia="zh-CN"/>
        </w:rPr>
        <w:t>=0.05，双侧。</w:t>
      </w:r>
    </w:p>
    <w:p w14:paraId="4CD1CDD1">
      <w:pPr>
        <w:spacing w:line="240" w:lineRule="auto"/>
        <w:rPr>
          <w:rFonts w:hint="default" w:ascii="Times New Roman" w:hAnsi="Times New Roman" w:cs="Times New Roman"/>
          <w:b/>
          <w:bCs/>
          <w:color w:val="auto"/>
        </w:rPr>
      </w:pPr>
      <w:r>
        <w:rPr>
          <w:rFonts w:hint="default" w:ascii="Times New Roman" w:hAnsi="Times New Roman" w:cs="Times New Roman"/>
          <w:b/>
          <w:bCs/>
          <w:color w:val="auto"/>
        </w:rPr>
        <w:t>2 结 果</w:t>
      </w:r>
    </w:p>
    <w:p w14:paraId="5F7D8F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楷体" w:cs="Times New Roman"/>
          <w:color w:val="auto"/>
          <w:lang w:val="en-US" w:eastAsia="zh-CN"/>
        </w:rPr>
      </w:pPr>
      <w:r>
        <w:rPr>
          <w:rFonts w:hint="default" w:ascii="Times New Roman" w:hAnsi="Times New Roman" w:cs="Times New Roman"/>
          <w:color w:val="auto"/>
        </w:rPr>
        <w:t xml:space="preserve">2.1 </w:t>
      </w:r>
      <w:r>
        <w:rPr>
          <w:rFonts w:hint="default" w:ascii="Times New Roman" w:hAnsi="Times New Roman" w:eastAsia="楷体" w:cs="Times New Roman"/>
          <w:color w:val="auto"/>
        </w:rPr>
        <w:t>基本</w:t>
      </w:r>
      <w:r>
        <w:rPr>
          <w:rFonts w:hint="default" w:ascii="Times New Roman" w:hAnsi="Times New Roman" w:eastAsia="楷体" w:cs="Times New Roman"/>
          <w:color w:val="auto"/>
          <w:lang w:val="en-US" w:eastAsia="zh-CN"/>
        </w:rPr>
        <w:t xml:space="preserve">信息  </w:t>
      </w:r>
    </w:p>
    <w:p w14:paraId="4972D03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cs="Times New Roman"/>
          <w:color w:val="auto"/>
          <w:lang w:val="en-US" w:eastAsia="zh-CN"/>
        </w:rPr>
      </w:pPr>
      <w:r>
        <w:rPr>
          <w:rFonts w:hint="default" w:ascii="Times New Roman" w:hAnsi="Times New Roman" w:cs="Times New Roman"/>
          <w:color w:val="auto"/>
          <w:sz w:val="21"/>
          <w:szCs w:val="21"/>
          <w:vertAlign w:val="baseline"/>
          <w:lang w:val="en-US" w:eastAsia="zh-CN"/>
        </w:rPr>
        <w:t>本研究中9243名调查对象的</w:t>
      </w:r>
      <w:r>
        <w:rPr>
          <w:rFonts w:hint="eastAsia" w:ascii="Times New Roman" w:hAnsi="Times New Roman" w:cs="Times New Roman"/>
          <w:color w:val="auto"/>
          <w:sz w:val="21"/>
          <w:szCs w:val="21"/>
          <w:vertAlign w:val="baseline"/>
          <w:lang w:val="en-US" w:eastAsia="zh-CN"/>
        </w:rPr>
        <w:t>中位</w:t>
      </w:r>
      <w:r>
        <w:rPr>
          <w:rFonts w:hint="default" w:ascii="Times New Roman" w:hAnsi="Times New Roman" w:cs="Times New Roman"/>
          <w:color w:val="auto"/>
          <w:sz w:val="21"/>
          <w:szCs w:val="21"/>
          <w:vertAlign w:val="baseline"/>
          <w:lang w:val="en-US" w:eastAsia="zh-CN"/>
        </w:rPr>
        <w:t>年龄为55.00岁，其中以女性</w:t>
      </w:r>
      <w:r>
        <w:rPr>
          <w:rFonts w:hint="default" w:ascii="Times New Roman" w:hAnsi="Times New Roman" w:eastAsia="宋体" w:cs="Times New Roman"/>
          <w:i w:val="0"/>
          <w:iCs w:val="0"/>
          <w:color w:val="auto"/>
          <w:kern w:val="0"/>
          <w:sz w:val="21"/>
          <w:szCs w:val="21"/>
          <w:u w:val="none"/>
          <w:lang w:val="en-US" w:eastAsia="zh-CN" w:bidi="ar"/>
        </w:rPr>
        <w:t>（57.48%）、</w:t>
      </w:r>
      <w:r>
        <w:rPr>
          <w:rFonts w:hint="default" w:ascii="Times New Roman" w:hAnsi="Times New Roman" w:cs="Times New Roman"/>
          <w:color w:val="auto"/>
          <w:sz w:val="21"/>
          <w:szCs w:val="21"/>
          <w:vertAlign w:val="baseline"/>
          <w:lang w:val="en-US" w:eastAsia="zh-CN"/>
        </w:rPr>
        <w:t>农村居民</w:t>
      </w:r>
      <w:r>
        <w:rPr>
          <w:rFonts w:hint="default" w:ascii="Times New Roman" w:hAnsi="Times New Roman" w:eastAsia="宋体" w:cs="Times New Roman"/>
          <w:i w:val="0"/>
          <w:iCs w:val="0"/>
          <w:color w:val="auto"/>
          <w:kern w:val="0"/>
          <w:sz w:val="21"/>
          <w:szCs w:val="21"/>
          <w:u w:val="none"/>
          <w:lang w:val="en-US" w:eastAsia="zh-CN" w:bidi="ar"/>
        </w:rPr>
        <w:t>（80.14%）、</w:t>
      </w:r>
      <w:r>
        <w:rPr>
          <w:rFonts w:hint="default" w:ascii="Times New Roman" w:hAnsi="Times New Roman" w:cs="Times New Roman"/>
          <w:color w:val="auto"/>
          <w:sz w:val="21"/>
          <w:szCs w:val="21"/>
          <w:vertAlign w:val="baseline"/>
          <w:lang w:val="en-US" w:eastAsia="zh-CN"/>
        </w:rPr>
        <w:t>已婚</w:t>
      </w:r>
      <w:r>
        <w:rPr>
          <w:rFonts w:hint="default" w:ascii="Times New Roman" w:hAnsi="Times New Roman" w:eastAsia="宋体" w:cs="Times New Roman"/>
          <w:i w:val="0"/>
          <w:iCs w:val="0"/>
          <w:color w:val="auto"/>
          <w:kern w:val="0"/>
          <w:sz w:val="21"/>
          <w:szCs w:val="21"/>
          <w:u w:val="none"/>
          <w:lang w:val="en-US" w:eastAsia="zh-CN" w:bidi="ar"/>
        </w:rPr>
        <w:t>（93.72%）</w:t>
      </w:r>
      <w:r>
        <w:rPr>
          <w:rFonts w:hint="default" w:ascii="Times New Roman" w:hAnsi="Times New Roman" w:cs="Times New Roman"/>
          <w:color w:val="auto"/>
          <w:sz w:val="21"/>
          <w:szCs w:val="21"/>
          <w:vertAlign w:val="baseline"/>
          <w:lang w:val="en-US" w:eastAsia="zh-CN"/>
        </w:rPr>
        <w:t>和初中教育程度者</w:t>
      </w:r>
      <w:r>
        <w:rPr>
          <w:rFonts w:hint="default" w:ascii="Times New Roman" w:hAnsi="Times New Roman" w:eastAsia="宋体" w:cs="Times New Roman"/>
          <w:i w:val="0"/>
          <w:iCs w:val="0"/>
          <w:color w:val="auto"/>
          <w:kern w:val="0"/>
          <w:sz w:val="21"/>
          <w:szCs w:val="21"/>
          <w:u w:val="none"/>
          <w:lang w:val="en-US" w:eastAsia="zh-CN" w:bidi="ar"/>
        </w:rPr>
        <w:t>（50.09%）</w:t>
      </w:r>
      <w:r>
        <w:rPr>
          <w:rFonts w:hint="default" w:ascii="Times New Roman" w:hAnsi="Times New Roman" w:cs="Times New Roman"/>
          <w:color w:val="auto"/>
          <w:sz w:val="21"/>
          <w:szCs w:val="21"/>
          <w:vertAlign w:val="baseline"/>
          <w:lang w:val="en-US" w:eastAsia="zh-CN"/>
        </w:rPr>
        <w:t>居多。非</w:t>
      </w:r>
      <w:r>
        <w:rPr>
          <w:rFonts w:hint="eastAsia" w:ascii="Times New Roman" w:hAnsi="Times New Roman" w:cs="Times New Roman"/>
          <w:color w:val="auto"/>
          <w:sz w:val="21"/>
          <w:szCs w:val="21"/>
          <w:vertAlign w:val="baseline"/>
          <w:lang w:val="en-US" w:eastAsia="zh-CN"/>
        </w:rPr>
        <w:t>GC/</w:t>
      </w:r>
      <w:r>
        <w:rPr>
          <w:rFonts w:hint="default" w:ascii="Times New Roman" w:hAnsi="Times New Roman" w:cs="Times New Roman"/>
          <w:color w:val="auto"/>
          <w:sz w:val="21"/>
          <w:szCs w:val="21"/>
          <w:vertAlign w:val="baseline"/>
          <w:lang w:val="en-US" w:eastAsia="zh-CN"/>
        </w:rPr>
        <w:t>癌前病变</w:t>
      </w:r>
      <w:r>
        <w:rPr>
          <w:rFonts w:hint="eastAsia" w:ascii="Times New Roman" w:hAnsi="Times New Roman" w:cs="Times New Roman"/>
          <w:color w:val="auto"/>
          <w:sz w:val="21"/>
          <w:szCs w:val="21"/>
          <w:vertAlign w:val="baseline"/>
          <w:lang w:val="en-US" w:eastAsia="zh-CN"/>
        </w:rPr>
        <w:t>/癌前疾病</w:t>
      </w:r>
      <w:r>
        <w:rPr>
          <w:rFonts w:hint="default" w:ascii="Times New Roman" w:hAnsi="Times New Roman" w:cs="Times New Roman"/>
          <w:color w:val="auto"/>
          <w:sz w:val="21"/>
          <w:szCs w:val="21"/>
          <w:vertAlign w:val="baseline"/>
          <w:lang w:val="en-US" w:eastAsia="zh-CN"/>
        </w:rPr>
        <w:t>5637例（60.99%），癌前疾病3382例（36.59%），</w:t>
      </w:r>
      <w:r>
        <w:rPr>
          <w:rFonts w:hint="default" w:ascii="Times New Roman" w:hAnsi="Times New Roman" w:eastAsia="宋体" w:cs="Times New Roman"/>
          <w:b w:val="0"/>
          <w:bCs w:val="0"/>
          <w:i w:val="0"/>
          <w:iCs w:val="0"/>
          <w:color w:val="auto"/>
          <w:kern w:val="0"/>
          <w:sz w:val="21"/>
          <w:szCs w:val="21"/>
          <w:u w:val="none"/>
          <w:lang w:val="en-US" w:eastAsia="zh-CN" w:bidi="ar"/>
        </w:rPr>
        <w:t>癌前病变180例（1.95%），</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GC </w:t>
      </w:r>
      <w:r>
        <w:rPr>
          <w:rFonts w:hint="default" w:ascii="Times New Roman" w:hAnsi="Times New Roman" w:eastAsia="宋体" w:cs="Times New Roman"/>
          <w:b w:val="0"/>
          <w:bCs w:val="0"/>
          <w:i w:val="0"/>
          <w:iCs w:val="0"/>
          <w:color w:val="auto"/>
          <w:kern w:val="0"/>
          <w:sz w:val="21"/>
          <w:szCs w:val="21"/>
          <w:u w:val="none"/>
          <w:lang w:val="en-US" w:eastAsia="zh-CN" w:bidi="ar"/>
        </w:rPr>
        <w:t>44例（0.48%）。不同胃部健康者在性别、年龄、常住地、教育程度、家庭人口数、家庭年平均收入、吸烟、饮酒、饮茶、H</w:t>
      </w:r>
      <w:r>
        <w:rPr>
          <w:rFonts w:hint="eastAsia" w:ascii="Times New Roman" w:hAnsi="Times New Roman" w:eastAsia="宋体" w:cs="Times New Roman"/>
          <w:b w:val="0"/>
          <w:bCs w:val="0"/>
          <w:i w:val="0"/>
          <w:iCs w:val="0"/>
          <w:color w:val="auto"/>
          <w:kern w:val="0"/>
          <w:sz w:val="21"/>
          <w:szCs w:val="21"/>
          <w:u w:val="none"/>
          <w:lang w:val="en-US" w:eastAsia="zh-CN" w:bidi="ar"/>
        </w:rPr>
        <w:t>p</w:t>
      </w:r>
      <w:r>
        <w:rPr>
          <w:rFonts w:hint="default" w:ascii="Times New Roman" w:hAnsi="Times New Roman" w:eastAsia="宋体" w:cs="Times New Roman"/>
          <w:b w:val="0"/>
          <w:bCs w:val="0"/>
          <w:i w:val="0"/>
          <w:iCs w:val="0"/>
          <w:color w:val="auto"/>
          <w:kern w:val="0"/>
          <w:sz w:val="21"/>
          <w:szCs w:val="21"/>
          <w:u w:val="none"/>
          <w:lang w:val="en-US" w:eastAsia="zh-CN" w:bidi="ar"/>
        </w:rPr>
        <w:t>感染、胃部疾病史、服药史、身高、体重、BMI、WC和HDL-C中差异有统计学意义</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i/>
          <w:iCs/>
          <w:color w:val="auto"/>
          <w:sz w:val="21"/>
          <w:szCs w:val="21"/>
          <w:lang w:val="en-US" w:eastAsia="zh-CN"/>
        </w:rPr>
        <w:t>P</w:t>
      </w:r>
      <w:r>
        <w:rPr>
          <w:rFonts w:hint="eastAsia" w:ascii="Times New Roman" w:hAnsi="Times New Roman" w:eastAsia="宋体" w:cs="Times New Roman"/>
          <w:b w:val="0"/>
          <w:bCs w:val="0"/>
          <w:i w:val="0"/>
          <w:iCs w:val="0"/>
          <w:color w:val="auto"/>
          <w:sz w:val="21"/>
          <w:szCs w:val="21"/>
          <w:lang w:val="en-US" w:eastAsia="zh-CN"/>
        </w:rPr>
        <w:t>均</w:t>
      </w:r>
      <w:r>
        <w:rPr>
          <w:rFonts w:hint="default" w:ascii="Times New Roman" w:hAnsi="Times New Roman" w:eastAsia="宋体" w:cs="Times New Roman"/>
          <w:b w:val="0"/>
          <w:bCs w:val="0"/>
          <w:i w:val="0"/>
          <w:iCs w:val="0"/>
          <w:color w:val="auto"/>
          <w:sz w:val="21"/>
          <w:szCs w:val="21"/>
          <w:lang w:val="en-US" w:eastAsia="zh-CN"/>
        </w:rPr>
        <w:t>&lt;0.05</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i w:val="0"/>
          <w:iCs w:val="0"/>
          <w:color w:val="auto"/>
          <w:kern w:val="0"/>
          <w:sz w:val="21"/>
          <w:szCs w:val="21"/>
          <w:u w:val="none"/>
          <w:lang w:val="en-US" w:eastAsia="zh-CN" w:bidi="ar"/>
        </w:rPr>
        <w:t>。见表1。</w:t>
      </w:r>
    </w:p>
    <w:p w14:paraId="58D1D752">
      <w:pPr>
        <w:numPr>
          <w:ilvl w:val="0"/>
          <w:numId w:val="0"/>
        </w:numPr>
        <w:ind w:leftChars="0"/>
        <w:rPr>
          <w:rFonts w:hint="default" w:ascii="Times New Roman" w:hAnsi="Times New Roman" w:cs="Times New Roman"/>
          <w:color w:val="auto"/>
          <w:lang w:val="en-US" w:eastAsia="zh-CN"/>
        </w:rPr>
        <w:sectPr>
          <w:footnotePr>
            <w:numFmt w:val="decimal"/>
          </w:footnote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0822B48A">
      <w:pPr>
        <w:numPr>
          <w:ilvl w:val="0"/>
          <w:numId w:val="0"/>
        </w:numPr>
        <w:ind w:leftChars="0"/>
        <w:rPr>
          <w:rFonts w:hint="default" w:ascii="Times New Roman" w:hAnsi="Times New Roman" w:cs="Times New Roman"/>
          <w:color w:val="auto"/>
          <w:lang w:val="en-US" w:eastAsia="zh-CN"/>
        </w:rPr>
      </w:pPr>
    </w:p>
    <w:p w14:paraId="211A2561">
      <w:pPr>
        <w:numPr>
          <w:ilvl w:val="0"/>
          <w:numId w:val="0"/>
        </w:numPr>
        <w:ind w:leftChars="0"/>
        <w:rPr>
          <w:rFonts w:hint="default" w:ascii="Times New Roman" w:hAnsi="Times New Roman" w:cs="Times New Roman"/>
          <w:color w:val="auto"/>
          <w:lang w:val="en-US" w:eastAsia="zh-CN"/>
        </w:rPr>
      </w:pPr>
    </w:p>
    <w:tbl>
      <w:tblPr>
        <w:tblStyle w:val="4"/>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066"/>
        <w:gridCol w:w="1271"/>
        <w:gridCol w:w="3493"/>
        <w:gridCol w:w="1875"/>
        <w:gridCol w:w="1746"/>
        <w:gridCol w:w="1465"/>
        <w:gridCol w:w="678"/>
        <w:gridCol w:w="580"/>
      </w:tblGrid>
      <w:tr w14:paraId="59202FB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5000" w:type="pct"/>
            <w:gridSpan w:val="8"/>
            <w:tcBorders>
              <w:bottom w:val="single" w:color="auto" w:sz="4" w:space="0"/>
            </w:tcBorders>
            <w:shd w:val="clear" w:color="auto" w:fill="auto"/>
            <w:noWrap/>
            <w:vAlign w:val="bottom"/>
          </w:tcPr>
          <w:p w14:paraId="79B8CD5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Style w:val="8"/>
                <w:rFonts w:hint="default" w:ascii="Times New Roman" w:hAnsi="Times New Roman" w:eastAsia="宋体" w:cs="Times New Roman"/>
                <w:b w:val="0"/>
                <w:bCs w:val="0"/>
                <w:color w:val="auto"/>
                <w:sz w:val="21"/>
                <w:szCs w:val="21"/>
                <w:lang w:val="en-US" w:eastAsia="zh-CN" w:bidi="ar"/>
              </w:rPr>
            </w:pPr>
            <w:r>
              <w:rPr>
                <w:rFonts w:hint="default" w:ascii="Times New Roman" w:hAnsi="Times New Roman" w:cs="Times New Roman"/>
                <w:b w:val="0"/>
                <w:bCs w:val="0"/>
                <w:color w:val="auto"/>
                <w:sz w:val="21"/>
                <w:szCs w:val="21"/>
                <w:lang w:val="en-US" w:eastAsia="zh-CN"/>
              </w:rPr>
              <w:t>Table 1 Basic information of the study subjects [n (%)/</w:t>
            </w:r>
            <w:r>
              <w:rPr>
                <w:rFonts w:hint="default" w:ascii="Times New Roman" w:hAnsi="Times New Roman" w:cs="Times New Roman"/>
                <w:b w:val="0"/>
                <w:bCs w:val="0"/>
                <w:i w:val="0"/>
                <w:iCs w:val="0"/>
                <w:color w:val="auto"/>
                <w:lang w:val="en-US" w:eastAsia="zh-CN"/>
              </w:rPr>
              <w:t>M (</w:t>
            </w:r>
            <w:r>
              <w:rPr>
                <w:rFonts w:hint="default" w:ascii="Times New Roman" w:hAnsi="Times New Roman" w:cs="Times New Roman"/>
                <w:b w:val="0"/>
                <w:bCs w:val="0"/>
                <w:i/>
                <w:iCs/>
                <w:color w:val="auto"/>
                <w:lang w:val="en-US" w:eastAsia="zh-CN"/>
              </w:rPr>
              <w:t>Q</w:t>
            </w:r>
            <w:r>
              <w:rPr>
                <w:rFonts w:hint="default" w:ascii="Times New Roman" w:hAnsi="Times New Roman" w:cs="Times New Roman"/>
                <w:b w:val="0"/>
                <w:bCs w:val="0"/>
                <w:i w:val="0"/>
                <w:iCs w:val="0"/>
                <w:color w:val="auto"/>
                <w:vertAlign w:val="subscript"/>
                <w:lang w:val="en-US" w:eastAsia="zh-CN"/>
              </w:rPr>
              <w:t xml:space="preserve">1, </w:t>
            </w:r>
            <w:r>
              <w:rPr>
                <w:rFonts w:hint="default" w:ascii="Times New Roman" w:hAnsi="Times New Roman" w:cs="Times New Roman"/>
                <w:b w:val="0"/>
                <w:bCs w:val="0"/>
                <w:i/>
                <w:iCs/>
                <w:color w:val="auto"/>
                <w:lang w:val="en-US" w:eastAsia="zh-CN"/>
              </w:rPr>
              <w:t>Q</w:t>
            </w:r>
            <w:r>
              <w:rPr>
                <w:rFonts w:hint="default" w:ascii="Times New Roman" w:hAnsi="Times New Roman" w:cs="Times New Roman"/>
                <w:b w:val="0"/>
                <w:bCs w:val="0"/>
                <w:i w:val="0"/>
                <w:iCs w:val="0"/>
                <w:color w:val="auto"/>
                <w:vertAlign w:val="subscript"/>
                <w:lang w:val="en-US" w:eastAsia="zh-CN"/>
              </w:rPr>
              <w:t>3)</w:t>
            </w:r>
            <w:r>
              <w:rPr>
                <w:rFonts w:hint="default" w:ascii="Times New Roman" w:hAnsi="Times New Roman" w:cs="Times New Roman"/>
                <w:b w:val="0"/>
                <w:bCs w:val="0"/>
                <w:color w:val="auto"/>
                <w:sz w:val="21"/>
                <w:szCs w:val="21"/>
                <w:lang w:val="en-US" w:eastAsia="zh-CN"/>
              </w:rPr>
              <w:t>]</w:t>
            </w:r>
          </w:p>
        </w:tc>
      </w:tr>
      <w:tr w14:paraId="33CBEC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bottom w:val="single" w:color="auto" w:sz="4" w:space="0"/>
            </w:tcBorders>
            <w:shd w:val="clear" w:color="auto" w:fill="auto"/>
            <w:noWrap/>
            <w:vAlign w:val="bottom"/>
          </w:tcPr>
          <w:p w14:paraId="749FB6B6">
            <w:pPr>
              <w:keepNext w:val="0"/>
              <w:keepLines w:val="0"/>
              <w:widowControl/>
              <w:suppressLineNumbers w:val="0"/>
              <w:jc w:val="left"/>
              <w:textAlignment w:val="bottom"/>
              <w:rPr>
                <w:rFonts w:hint="eastAsia"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Variable</w:t>
            </w:r>
          </w:p>
        </w:tc>
        <w:tc>
          <w:tcPr>
            <w:tcW w:w="468" w:type="pct"/>
            <w:tcBorders>
              <w:bottom w:val="single" w:color="auto" w:sz="4" w:space="0"/>
            </w:tcBorders>
            <w:shd w:val="clear" w:color="auto" w:fill="auto"/>
            <w:noWrap/>
            <w:vAlign w:val="bottom"/>
          </w:tcPr>
          <w:p w14:paraId="5E5A573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Style w:val="8"/>
                <w:rFonts w:hint="eastAsia" w:ascii="Times New Roman" w:hAnsi="Times New Roman" w:eastAsia="宋体" w:cs="Times New Roman"/>
                <w:b w:val="0"/>
                <w:bCs w:val="0"/>
                <w:color w:val="auto"/>
                <w:sz w:val="21"/>
                <w:szCs w:val="21"/>
                <w:lang w:val="en-US" w:eastAsia="zh-CN" w:bidi="ar"/>
              </w:rPr>
              <w:t xml:space="preserve">Overall </w:t>
            </w:r>
            <w:r>
              <w:rPr>
                <w:rStyle w:val="8"/>
                <w:rFonts w:hint="default" w:ascii="Times New Roman" w:hAnsi="Times New Roman" w:eastAsia="宋体" w:cs="Times New Roman"/>
                <w:b w:val="0"/>
                <w:bCs w:val="0"/>
                <w:color w:val="auto"/>
                <w:sz w:val="21"/>
                <w:szCs w:val="21"/>
                <w:lang w:val="en-US" w:eastAsia="zh-CN" w:bidi="ar"/>
              </w:rPr>
              <w:t>(n=9243)</w:t>
            </w:r>
          </w:p>
        </w:tc>
        <w:tc>
          <w:tcPr>
            <w:tcW w:w="1293" w:type="pct"/>
            <w:tcBorders>
              <w:bottom w:val="single" w:color="auto" w:sz="4" w:space="0"/>
            </w:tcBorders>
            <w:shd w:val="clear" w:color="auto" w:fill="auto"/>
            <w:noWrap/>
            <w:vAlign w:val="bottom"/>
          </w:tcPr>
          <w:p w14:paraId="7F69F8D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Style w:val="7"/>
                <w:rFonts w:hint="default" w:ascii="Times New Roman" w:hAnsi="Times New Roman" w:cs="Times New Roman"/>
                <w:b w:val="0"/>
                <w:bCs w:val="0"/>
                <w:color w:val="auto"/>
                <w:sz w:val="21"/>
                <w:szCs w:val="21"/>
                <w:lang w:val="en-US" w:eastAsia="zh-CN" w:bidi="ar"/>
              </w:rPr>
              <w:t>Non-gastric cancer and precancerous lesions/diseases</w:t>
            </w:r>
            <w:r>
              <w:rPr>
                <w:rStyle w:val="8"/>
                <w:rFonts w:hint="default" w:ascii="Times New Roman" w:hAnsi="Times New Roman" w:eastAsia="宋体" w:cs="Times New Roman"/>
                <w:b w:val="0"/>
                <w:bCs w:val="0"/>
                <w:color w:val="auto"/>
                <w:sz w:val="21"/>
                <w:szCs w:val="21"/>
                <w:lang w:val="en-US" w:eastAsia="zh-CN" w:bidi="ar"/>
              </w:rPr>
              <w:t xml:space="preserve"> (n=5637)</w:t>
            </w:r>
          </w:p>
        </w:tc>
        <w:tc>
          <w:tcPr>
            <w:tcW w:w="692" w:type="pct"/>
            <w:tcBorders>
              <w:bottom w:val="single" w:color="auto" w:sz="4" w:space="0"/>
            </w:tcBorders>
            <w:shd w:val="clear" w:color="auto" w:fill="auto"/>
            <w:noWrap/>
            <w:vAlign w:val="bottom"/>
          </w:tcPr>
          <w:p w14:paraId="028C792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diseases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(n=3382)</w:t>
            </w:r>
          </w:p>
        </w:tc>
        <w:tc>
          <w:tcPr>
            <w:tcW w:w="644" w:type="pct"/>
            <w:tcBorders>
              <w:bottom w:val="single" w:color="auto" w:sz="4" w:space="0"/>
            </w:tcBorders>
            <w:shd w:val="clear" w:color="auto" w:fill="auto"/>
            <w:noWrap/>
            <w:vAlign w:val="bottom"/>
          </w:tcPr>
          <w:p w14:paraId="2BA4497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lesions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(n=180)</w:t>
            </w:r>
          </w:p>
        </w:tc>
        <w:tc>
          <w:tcPr>
            <w:tcW w:w="468" w:type="pct"/>
            <w:tcBorders>
              <w:bottom w:val="single" w:color="auto" w:sz="4" w:space="0"/>
            </w:tcBorders>
            <w:shd w:val="clear" w:color="auto" w:fill="auto"/>
            <w:noWrap/>
            <w:vAlign w:val="bottom"/>
          </w:tcPr>
          <w:p w14:paraId="7280F41C">
            <w:pPr>
              <w:keepNext w:val="0"/>
              <w:keepLines w:val="0"/>
              <w:widowControl/>
              <w:suppressLineNumbers w:val="0"/>
              <w:jc w:val="left"/>
              <w:textAlignment w:val="bottom"/>
              <w:rPr>
                <w:rFonts w:hint="eastAsia"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val="0"/>
                <w:iCs w:val="0"/>
                <w:color w:val="auto"/>
                <w:kern w:val="0"/>
                <w:sz w:val="21"/>
                <w:szCs w:val="21"/>
                <w:u w:val="none"/>
                <w:lang w:val="en-US" w:eastAsia="zh-CN" w:bidi="ar"/>
              </w:rPr>
              <w:t>GC</w:t>
            </w:r>
          </w:p>
          <w:p w14:paraId="5730053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(n=44)</w:t>
            </w:r>
          </w:p>
        </w:tc>
        <w:tc>
          <w:tcPr>
            <w:tcW w:w="247" w:type="pct"/>
            <w:tcBorders>
              <w:bottom w:val="single" w:color="auto" w:sz="4" w:space="0"/>
            </w:tcBorders>
            <w:shd w:val="clear" w:color="auto" w:fill="auto"/>
            <w:noWrap/>
            <w:vAlign w:val="bottom"/>
          </w:tcPr>
          <w:p w14:paraId="7703952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iCs/>
                <w:color w:val="auto"/>
                <w:kern w:val="0"/>
                <w:sz w:val="21"/>
                <w:szCs w:val="21"/>
                <w:u w:val="none"/>
                <w:lang w:val="en-US" w:eastAsia="zh-CN" w:bidi="ar"/>
              </w:rPr>
              <w:t>χ²/</w:t>
            </w:r>
            <w:r>
              <w:rPr>
                <w:rFonts w:hint="eastAsia" w:ascii="Times New Roman" w:hAnsi="Times New Roman" w:eastAsia="宋体" w:cs="Times New Roman"/>
                <w:b w:val="0"/>
                <w:bCs w:val="0"/>
                <w:i/>
                <w:iCs/>
                <w:color w:val="auto"/>
                <w:kern w:val="0"/>
                <w:sz w:val="21"/>
                <w:szCs w:val="21"/>
                <w:u w:val="none"/>
                <w:lang w:val="en-US" w:eastAsia="zh-CN" w:bidi="ar"/>
              </w:rPr>
              <w:t>H</w:t>
            </w:r>
          </w:p>
        </w:tc>
        <w:tc>
          <w:tcPr>
            <w:tcW w:w="211" w:type="pct"/>
            <w:tcBorders>
              <w:bottom w:val="single" w:color="auto" w:sz="4" w:space="0"/>
            </w:tcBorders>
            <w:shd w:val="clear" w:color="auto" w:fill="auto"/>
            <w:noWrap/>
            <w:vAlign w:val="bottom"/>
          </w:tcPr>
          <w:p w14:paraId="2934888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Style w:val="8"/>
                <w:rFonts w:hint="default" w:ascii="Times New Roman" w:hAnsi="Times New Roman" w:eastAsia="宋体" w:cs="Times New Roman"/>
                <w:b w:val="0"/>
                <w:bCs w:val="0"/>
                <w:i/>
                <w:iCs/>
                <w:color w:val="auto"/>
                <w:sz w:val="21"/>
                <w:szCs w:val="21"/>
                <w:lang w:val="en-US" w:eastAsia="zh-CN" w:bidi="ar"/>
              </w:rPr>
              <w:t>P</w:t>
            </w:r>
          </w:p>
        </w:tc>
      </w:tr>
      <w:tr w14:paraId="2B050B6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op w:val="single" w:color="auto" w:sz="4" w:space="0"/>
              <w:tl2br w:val="nil"/>
              <w:tr2bl w:val="nil"/>
            </w:tcBorders>
            <w:shd w:val="clear" w:color="auto" w:fill="auto"/>
            <w:noWrap/>
            <w:vAlign w:val="bottom"/>
          </w:tcPr>
          <w:p w14:paraId="77A6A10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eastAsia" w:ascii="Times New Roman" w:hAnsi="Times New Roman" w:eastAsia="宋体" w:cs="Times New Roman"/>
                <w:b w:val="0"/>
                <w:bCs w:val="0"/>
                <w:i w:val="0"/>
                <w:iCs w:val="0"/>
                <w:color w:val="auto"/>
                <w:kern w:val="0"/>
                <w:sz w:val="21"/>
                <w:szCs w:val="21"/>
                <w:u w:val="none"/>
                <w:lang w:val="en-US" w:eastAsia="zh-CN" w:bidi="ar"/>
              </w:rPr>
              <w:t>Gender</w:t>
            </w:r>
          </w:p>
        </w:tc>
        <w:tc>
          <w:tcPr>
            <w:tcW w:w="468" w:type="pct"/>
            <w:tcBorders>
              <w:top w:val="single" w:color="auto" w:sz="4" w:space="0"/>
              <w:tl2br w:val="nil"/>
              <w:tr2bl w:val="nil"/>
            </w:tcBorders>
            <w:shd w:val="clear" w:color="auto" w:fill="auto"/>
            <w:noWrap/>
            <w:vAlign w:val="bottom"/>
          </w:tcPr>
          <w:p w14:paraId="645F9E61">
            <w:pPr>
              <w:rPr>
                <w:rFonts w:hint="default" w:ascii="Times New Roman" w:hAnsi="Times New Roman" w:eastAsia="宋体" w:cs="Times New Roman"/>
                <w:b w:val="0"/>
                <w:bCs w:val="0"/>
                <w:i w:val="0"/>
                <w:iCs w:val="0"/>
                <w:color w:val="auto"/>
                <w:sz w:val="21"/>
                <w:szCs w:val="21"/>
                <w:u w:val="none"/>
              </w:rPr>
            </w:pPr>
          </w:p>
        </w:tc>
        <w:tc>
          <w:tcPr>
            <w:tcW w:w="1293" w:type="pct"/>
            <w:tcBorders>
              <w:top w:val="single" w:color="auto" w:sz="4" w:space="0"/>
              <w:tl2br w:val="nil"/>
              <w:tr2bl w:val="nil"/>
            </w:tcBorders>
            <w:shd w:val="clear" w:color="auto" w:fill="auto"/>
            <w:noWrap/>
            <w:vAlign w:val="bottom"/>
          </w:tcPr>
          <w:p w14:paraId="79F692CF">
            <w:pPr>
              <w:rPr>
                <w:rFonts w:hint="default" w:ascii="Times New Roman" w:hAnsi="Times New Roman" w:eastAsia="宋体" w:cs="Times New Roman"/>
                <w:b w:val="0"/>
                <w:bCs w:val="0"/>
                <w:i w:val="0"/>
                <w:iCs w:val="0"/>
                <w:color w:val="auto"/>
                <w:sz w:val="21"/>
                <w:szCs w:val="21"/>
                <w:u w:val="none"/>
              </w:rPr>
            </w:pPr>
          </w:p>
        </w:tc>
        <w:tc>
          <w:tcPr>
            <w:tcW w:w="692" w:type="pct"/>
            <w:tcBorders>
              <w:top w:val="single" w:color="auto" w:sz="4" w:space="0"/>
              <w:tl2br w:val="nil"/>
              <w:tr2bl w:val="nil"/>
            </w:tcBorders>
            <w:shd w:val="clear" w:color="auto" w:fill="auto"/>
            <w:noWrap/>
            <w:vAlign w:val="bottom"/>
          </w:tcPr>
          <w:p w14:paraId="1B4719E2">
            <w:pPr>
              <w:rPr>
                <w:rFonts w:hint="default" w:ascii="Times New Roman" w:hAnsi="Times New Roman" w:eastAsia="宋体" w:cs="Times New Roman"/>
                <w:b w:val="0"/>
                <w:bCs w:val="0"/>
                <w:i w:val="0"/>
                <w:iCs w:val="0"/>
                <w:color w:val="auto"/>
                <w:sz w:val="21"/>
                <w:szCs w:val="21"/>
                <w:u w:val="none"/>
              </w:rPr>
            </w:pPr>
          </w:p>
        </w:tc>
        <w:tc>
          <w:tcPr>
            <w:tcW w:w="644" w:type="pct"/>
            <w:tcBorders>
              <w:top w:val="single" w:color="auto" w:sz="4" w:space="0"/>
              <w:tl2br w:val="nil"/>
              <w:tr2bl w:val="nil"/>
            </w:tcBorders>
            <w:shd w:val="clear" w:color="auto" w:fill="auto"/>
            <w:noWrap/>
            <w:vAlign w:val="bottom"/>
          </w:tcPr>
          <w:p w14:paraId="5FCECA36">
            <w:pPr>
              <w:rPr>
                <w:rFonts w:hint="default" w:ascii="Times New Roman" w:hAnsi="Times New Roman" w:eastAsia="宋体" w:cs="Times New Roman"/>
                <w:b w:val="0"/>
                <w:bCs w:val="0"/>
                <w:i w:val="0"/>
                <w:iCs w:val="0"/>
                <w:color w:val="auto"/>
                <w:sz w:val="21"/>
                <w:szCs w:val="21"/>
                <w:u w:val="none"/>
              </w:rPr>
            </w:pPr>
          </w:p>
        </w:tc>
        <w:tc>
          <w:tcPr>
            <w:tcW w:w="468" w:type="pct"/>
            <w:tcBorders>
              <w:top w:val="single" w:color="auto" w:sz="4" w:space="0"/>
              <w:tl2br w:val="nil"/>
              <w:tr2bl w:val="nil"/>
            </w:tcBorders>
            <w:shd w:val="clear" w:color="auto" w:fill="auto"/>
            <w:noWrap/>
            <w:vAlign w:val="bottom"/>
          </w:tcPr>
          <w:p w14:paraId="06AE84DF">
            <w:pPr>
              <w:rPr>
                <w:rFonts w:hint="default" w:ascii="Times New Roman" w:hAnsi="Times New Roman" w:eastAsia="宋体" w:cs="Times New Roman"/>
                <w:b w:val="0"/>
                <w:bCs w:val="0"/>
                <w:i w:val="0"/>
                <w:iCs w:val="0"/>
                <w:color w:val="auto"/>
                <w:sz w:val="21"/>
                <w:szCs w:val="21"/>
                <w:u w:val="none"/>
              </w:rPr>
            </w:pPr>
          </w:p>
        </w:tc>
        <w:tc>
          <w:tcPr>
            <w:tcW w:w="247" w:type="pct"/>
            <w:tcBorders>
              <w:top w:val="single" w:color="auto" w:sz="4" w:space="0"/>
              <w:tl2br w:val="nil"/>
              <w:tr2bl w:val="nil"/>
            </w:tcBorders>
            <w:shd w:val="clear" w:color="auto" w:fill="auto"/>
            <w:noWrap/>
            <w:vAlign w:val="bottom"/>
          </w:tcPr>
          <w:p w14:paraId="7F25C14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84.818</w:t>
            </w:r>
          </w:p>
        </w:tc>
        <w:tc>
          <w:tcPr>
            <w:tcW w:w="211" w:type="pct"/>
            <w:tcBorders>
              <w:top w:val="single" w:color="auto" w:sz="4" w:space="0"/>
              <w:tl2br w:val="nil"/>
              <w:tr2bl w:val="nil"/>
            </w:tcBorders>
            <w:shd w:val="clear" w:color="auto" w:fill="auto"/>
            <w:noWrap/>
            <w:vAlign w:val="bottom"/>
          </w:tcPr>
          <w:p w14:paraId="15D50E9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highlight w:val="none"/>
                <w:u w:val="none"/>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&lt;0.001</w:t>
            </w:r>
          </w:p>
        </w:tc>
      </w:tr>
      <w:tr w14:paraId="329EF0C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81AF072">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Male</w:t>
            </w:r>
          </w:p>
        </w:tc>
        <w:tc>
          <w:tcPr>
            <w:tcW w:w="468" w:type="pct"/>
            <w:tcBorders>
              <w:tl2br w:val="nil"/>
              <w:tr2bl w:val="nil"/>
            </w:tcBorders>
            <w:shd w:val="clear" w:color="auto" w:fill="auto"/>
            <w:noWrap/>
            <w:vAlign w:val="bottom"/>
          </w:tcPr>
          <w:p w14:paraId="6A2FBD8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3930 (42.52)</w:t>
            </w:r>
          </w:p>
        </w:tc>
        <w:tc>
          <w:tcPr>
            <w:tcW w:w="1293" w:type="pct"/>
            <w:tcBorders>
              <w:tl2br w:val="nil"/>
              <w:tr2bl w:val="nil"/>
            </w:tcBorders>
            <w:shd w:val="clear" w:color="auto" w:fill="auto"/>
            <w:noWrap/>
            <w:vAlign w:val="bottom"/>
          </w:tcPr>
          <w:p w14:paraId="32F98DE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2234 (39.63)</w:t>
            </w:r>
          </w:p>
        </w:tc>
        <w:tc>
          <w:tcPr>
            <w:tcW w:w="692" w:type="pct"/>
            <w:tcBorders>
              <w:tl2br w:val="nil"/>
              <w:tr2bl w:val="nil"/>
            </w:tcBorders>
            <w:shd w:val="clear" w:color="auto" w:fill="auto"/>
            <w:noWrap/>
            <w:vAlign w:val="bottom"/>
          </w:tcPr>
          <w:p w14:paraId="22B5C19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1548 (45.77)</w:t>
            </w:r>
          </w:p>
        </w:tc>
        <w:tc>
          <w:tcPr>
            <w:tcW w:w="644" w:type="pct"/>
            <w:tcBorders>
              <w:tl2br w:val="nil"/>
              <w:tr2bl w:val="nil"/>
            </w:tcBorders>
            <w:shd w:val="clear" w:color="auto" w:fill="auto"/>
            <w:noWrap/>
            <w:vAlign w:val="bottom"/>
          </w:tcPr>
          <w:p w14:paraId="7F74892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118 (65.56)</w:t>
            </w:r>
          </w:p>
        </w:tc>
        <w:tc>
          <w:tcPr>
            <w:tcW w:w="468" w:type="pct"/>
            <w:tcBorders>
              <w:tl2br w:val="nil"/>
              <w:tr2bl w:val="nil"/>
            </w:tcBorders>
            <w:shd w:val="clear" w:color="auto" w:fill="auto"/>
            <w:noWrap/>
            <w:vAlign w:val="bottom"/>
          </w:tcPr>
          <w:p w14:paraId="5EA99DD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30 (68.18)</w:t>
            </w:r>
          </w:p>
        </w:tc>
        <w:tc>
          <w:tcPr>
            <w:tcW w:w="247" w:type="pct"/>
            <w:tcBorders>
              <w:tl2br w:val="nil"/>
              <w:tr2bl w:val="nil"/>
            </w:tcBorders>
            <w:shd w:val="clear" w:color="auto" w:fill="auto"/>
            <w:noWrap/>
            <w:vAlign w:val="bottom"/>
          </w:tcPr>
          <w:p w14:paraId="0C3AE3A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2753D61">
            <w:pPr>
              <w:rPr>
                <w:rFonts w:hint="default" w:ascii="Times New Roman" w:hAnsi="Times New Roman" w:eastAsia="宋体" w:cs="Times New Roman"/>
                <w:b w:val="0"/>
                <w:bCs w:val="0"/>
                <w:i w:val="0"/>
                <w:iCs w:val="0"/>
                <w:color w:val="auto"/>
                <w:sz w:val="21"/>
                <w:szCs w:val="21"/>
                <w:highlight w:val="none"/>
                <w:u w:val="none"/>
              </w:rPr>
            </w:pPr>
          </w:p>
        </w:tc>
      </w:tr>
      <w:tr w14:paraId="524AF53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F6BEA1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Female</w:t>
            </w:r>
          </w:p>
        </w:tc>
        <w:tc>
          <w:tcPr>
            <w:tcW w:w="468" w:type="pct"/>
            <w:tcBorders>
              <w:tl2br w:val="nil"/>
              <w:tr2bl w:val="nil"/>
            </w:tcBorders>
            <w:shd w:val="clear" w:color="auto" w:fill="auto"/>
            <w:noWrap/>
            <w:vAlign w:val="bottom"/>
          </w:tcPr>
          <w:p w14:paraId="09AA018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5313 (57.48)</w:t>
            </w:r>
          </w:p>
        </w:tc>
        <w:tc>
          <w:tcPr>
            <w:tcW w:w="1293" w:type="pct"/>
            <w:tcBorders>
              <w:tl2br w:val="nil"/>
              <w:tr2bl w:val="nil"/>
            </w:tcBorders>
            <w:shd w:val="clear" w:color="auto" w:fill="auto"/>
            <w:noWrap/>
            <w:vAlign w:val="bottom"/>
          </w:tcPr>
          <w:p w14:paraId="6506508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3403 (60.37)</w:t>
            </w:r>
          </w:p>
        </w:tc>
        <w:tc>
          <w:tcPr>
            <w:tcW w:w="692" w:type="pct"/>
            <w:tcBorders>
              <w:tl2br w:val="nil"/>
              <w:tr2bl w:val="nil"/>
            </w:tcBorders>
            <w:shd w:val="clear" w:color="auto" w:fill="auto"/>
            <w:noWrap/>
            <w:vAlign w:val="bottom"/>
          </w:tcPr>
          <w:p w14:paraId="4D120D5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1834 (54.23)</w:t>
            </w:r>
          </w:p>
        </w:tc>
        <w:tc>
          <w:tcPr>
            <w:tcW w:w="644" w:type="pct"/>
            <w:tcBorders>
              <w:tl2br w:val="nil"/>
              <w:tr2bl w:val="nil"/>
            </w:tcBorders>
            <w:shd w:val="clear" w:color="auto" w:fill="auto"/>
            <w:noWrap/>
            <w:vAlign w:val="bottom"/>
          </w:tcPr>
          <w:p w14:paraId="0E32768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62 (34.44)</w:t>
            </w:r>
          </w:p>
        </w:tc>
        <w:tc>
          <w:tcPr>
            <w:tcW w:w="468" w:type="pct"/>
            <w:tcBorders>
              <w:tl2br w:val="nil"/>
              <w:tr2bl w:val="nil"/>
            </w:tcBorders>
            <w:shd w:val="clear" w:color="auto" w:fill="auto"/>
            <w:noWrap/>
            <w:vAlign w:val="bottom"/>
          </w:tcPr>
          <w:p w14:paraId="592BD82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 (31.82)</w:t>
            </w:r>
          </w:p>
        </w:tc>
        <w:tc>
          <w:tcPr>
            <w:tcW w:w="247" w:type="pct"/>
            <w:tcBorders>
              <w:tl2br w:val="nil"/>
              <w:tr2bl w:val="nil"/>
            </w:tcBorders>
            <w:shd w:val="clear" w:color="auto" w:fill="auto"/>
            <w:noWrap/>
            <w:vAlign w:val="bottom"/>
          </w:tcPr>
          <w:p w14:paraId="25CCC11F">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3F4388A7">
            <w:pPr>
              <w:rPr>
                <w:rFonts w:hint="default" w:ascii="Times New Roman" w:hAnsi="Times New Roman" w:eastAsia="宋体" w:cs="Times New Roman"/>
                <w:b w:val="0"/>
                <w:bCs w:val="0"/>
                <w:i w:val="0"/>
                <w:iCs w:val="0"/>
                <w:color w:val="auto"/>
                <w:sz w:val="21"/>
                <w:szCs w:val="21"/>
                <w:highlight w:val="none"/>
                <w:u w:val="none"/>
              </w:rPr>
            </w:pPr>
          </w:p>
        </w:tc>
      </w:tr>
      <w:tr w14:paraId="29CE6BF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AECE8C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val="0"/>
                <w:iCs w:val="0"/>
                <w:color w:val="auto"/>
                <w:kern w:val="0"/>
                <w:sz w:val="21"/>
                <w:szCs w:val="21"/>
                <w:u w:val="none"/>
                <w:lang w:val="en-US" w:eastAsia="zh-CN" w:bidi="ar"/>
              </w:rPr>
              <w:t>Age (years)</w:t>
            </w:r>
          </w:p>
        </w:tc>
        <w:tc>
          <w:tcPr>
            <w:tcW w:w="468" w:type="pct"/>
            <w:tcBorders>
              <w:tl2br w:val="nil"/>
              <w:tr2bl w:val="nil"/>
            </w:tcBorders>
            <w:shd w:val="clear" w:color="auto" w:fill="auto"/>
            <w:noWrap/>
            <w:vAlign w:val="bottom"/>
          </w:tcPr>
          <w:p w14:paraId="7ACB302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 xml:space="preserve">55.00 </w:t>
            </w:r>
          </w:p>
          <w:p w14:paraId="25FDEF6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(51.00, 62.00)</w:t>
            </w:r>
          </w:p>
        </w:tc>
        <w:tc>
          <w:tcPr>
            <w:tcW w:w="1293" w:type="pct"/>
            <w:tcBorders>
              <w:tl2br w:val="nil"/>
              <w:tr2bl w:val="nil"/>
            </w:tcBorders>
            <w:shd w:val="clear" w:color="auto" w:fill="auto"/>
            <w:noWrap/>
            <w:vAlign w:val="bottom"/>
          </w:tcPr>
          <w:p w14:paraId="76BDE02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54.00 (50.00, 61.00)</w:t>
            </w:r>
          </w:p>
        </w:tc>
        <w:tc>
          <w:tcPr>
            <w:tcW w:w="692" w:type="pct"/>
            <w:tcBorders>
              <w:tl2br w:val="nil"/>
              <w:tr2bl w:val="nil"/>
            </w:tcBorders>
            <w:shd w:val="clear" w:color="auto" w:fill="auto"/>
            <w:noWrap/>
            <w:vAlign w:val="bottom"/>
          </w:tcPr>
          <w:p w14:paraId="57D5A95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57.00 (52.00, 63.00)</w:t>
            </w:r>
          </w:p>
        </w:tc>
        <w:tc>
          <w:tcPr>
            <w:tcW w:w="644" w:type="pct"/>
            <w:tcBorders>
              <w:tl2br w:val="nil"/>
              <w:tr2bl w:val="nil"/>
            </w:tcBorders>
            <w:shd w:val="clear" w:color="auto" w:fill="auto"/>
            <w:noWrap/>
            <w:vAlign w:val="bottom"/>
          </w:tcPr>
          <w:p w14:paraId="1968259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61.00 (54.</w:t>
            </w:r>
            <w:r>
              <w:rPr>
                <w:rFonts w:hint="eastAsia" w:ascii="Times New Roman" w:hAnsi="Times New Roman" w:eastAsia="宋体" w:cs="Times New Roman"/>
                <w:b w:val="0"/>
                <w:bCs w:val="0"/>
                <w:i w:val="0"/>
                <w:iCs w:val="0"/>
                <w:color w:val="auto"/>
                <w:kern w:val="0"/>
                <w:sz w:val="21"/>
                <w:szCs w:val="21"/>
                <w:u w:val="none"/>
                <w:lang w:val="en-US" w:eastAsia="zh-CN" w:bidi="ar"/>
              </w:rPr>
              <w:t>7</w:t>
            </w:r>
            <w:r>
              <w:rPr>
                <w:rFonts w:hint="default" w:ascii="Times New Roman" w:hAnsi="Times New Roman" w:eastAsia="宋体" w:cs="Times New Roman"/>
                <w:b w:val="0"/>
                <w:bCs w:val="0"/>
                <w:i w:val="0"/>
                <w:iCs w:val="0"/>
                <w:color w:val="auto"/>
                <w:kern w:val="0"/>
                <w:sz w:val="21"/>
                <w:szCs w:val="21"/>
                <w:u w:val="none"/>
                <w:lang w:val="en-US" w:eastAsia="zh-CN" w:bidi="ar"/>
              </w:rPr>
              <w:t>5, 66.00)</w:t>
            </w:r>
          </w:p>
        </w:tc>
        <w:tc>
          <w:tcPr>
            <w:tcW w:w="468" w:type="pct"/>
            <w:tcBorders>
              <w:tl2br w:val="nil"/>
              <w:tr2bl w:val="nil"/>
            </w:tcBorders>
            <w:shd w:val="clear" w:color="auto" w:fill="auto"/>
            <w:noWrap/>
            <w:vAlign w:val="bottom"/>
          </w:tcPr>
          <w:p w14:paraId="7EA5310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61.00 (56.00, 65.00)</w:t>
            </w:r>
          </w:p>
        </w:tc>
        <w:tc>
          <w:tcPr>
            <w:tcW w:w="247" w:type="pct"/>
            <w:tcBorders>
              <w:tl2br w:val="nil"/>
              <w:tr2bl w:val="nil"/>
            </w:tcBorders>
            <w:shd w:val="clear" w:color="auto" w:fill="auto"/>
            <w:noWrap/>
            <w:vAlign w:val="bottom"/>
          </w:tcPr>
          <w:p w14:paraId="6588813C">
            <w:pPr>
              <w:keepNext w:val="0"/>
              <w:keepLines w:val="0"/>
              <w:widowControl/>
              <w:suppressLineNumbers w:val="0"/>
              <w:jc w:val="center"/>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231.686</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17EE9495">
            <w:pPr>
              <w:keepNext w:val="0"/>
              <w:keepLines w:val="0"/>
              <w:widowControl/>
              <w:suppressLineNumbers w:val="0"/>
              <w:jc w:val="center"/>
              <w:textAlignment w:val="bottom"/>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&lt;0.001</w:t>
            </w:r>
          </w:p>
        </w:tc>
      </w:tr>
      <w:tr w14:paraId="3BACE90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A83E2D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eastAsia" w:ascii="Times New Roman" w:hAnsi="Times New Roman" w:eastAsia="宋体" w:cs="Times New Roman"/>
                <w:b w:val="0"/>
                <w:bCs w:val="0"/>
                <w:i w:val="0"/>
                <w:iCs w:val="0"/>
                <w:color w:val="auto"/>
                <w:kern w:val="0"/>
                <w:sz w:val="21"/>
                <w:szCs w:val="21"/>
                <w:u w:val="none"/>
                <w:lang w:val="en-US" w:eastAsia="zh-CN" w:bidi="ar"/>
              </w:rPr>
              <w:t>Residence</w:t>
            </w:r>
          </w:p>
        </w:tc>
        <w:tc>
          <w:tcPr>
            <w:tcW w:w="468" w:type="pct"/>
            <w:tcBorders>
              <w:tl2br w:val="nil"/>
              <w:tr2bl w:val="nil"/>
            </w:tcBorders>
            <w:shd w:val="clear" w:color="auto" w:fill="auto"/>
            <w:noWrap/>
            <w:vAlign w:val="bottom"/>
          </w:tcPr>
          <w:p w14:paraId="2E28CC2D">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630E5A67">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B4DEC67">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77C4F936">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5E8DA798">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094F7BD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18.367</w:t>
            </w:r>
          </w:p>
        </w:tc>
        <w:tc>
          <w:tcPr>
            <w:tcW w:w="211" w:type="pct"/>
            <w:tcBorders>
              <w:tl2br w:val="nil"/>
              <w:tr2bl w:val="nil"/>
            </w:tcBorders>
            <w:shd w:val="clear" w:color="auto" w:fill="auto"/>
            <w:noWrap/>
            <w:vAlign w:val="bottom"/>
          </w:tcPr>
          <w:p w14:paraId="616370B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highlight w:val="none"/>
                <w:u w:val="none"/>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&lt;0.001</w:t>
            </w:r>
          </w:p>
        </w:tc>
      </w:tr>
      <w:tr w14:paraId="47A63A4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81CBE0C">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Rural</w:t>
            </w:r>
          </w:p>
        </w:tc>
        <w:tc>
          <w:tcPr>
            <w:tcW w:w="468" w:type="pct"/>
            <w:tcBorders>
              <w:tl2br w:val="nil"/>
              <w:tr2bl w:val="nil"/>
            </w:tcBorders>
            <w:shd w:val="clear" w:color="auto" w:fill="auto"/>
            <w:noWrap/>
            <w:vAlign w:val="bottom"/>
          </w:tcPr>
          <w:p w14:paraId="2D3E71C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7407 (80.14)</w:t>
            </w:r>
          </w:p>
        </w:tc>
        <w:tc>
          <w:tcPr>
            <w:tcW w:w="1293" w:type="pct"/>
            <w:tcBorders>
              <w:tl2br w:val="nil"/>
              <w:tr2bl w:val="nil"/>
            </w:tcBorders>
            <w:shd w:val="clear" w:color="auto" w:fill="auto"/>
            <w:noWrap/>
            <w:vAlign w:val="bottom"/>
          </w:tcPr>
          <w:p w14:paraId="6EE63D7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4452 (78.98)</w:t>
            </w:r>
          </w:p>
        </w:tc>
        <w:tc>
          <w:tcPr>
            <w:tcW w:w="692" w:type="pct"/>
            <w:tcBorders>
              <w:tl2br w:val="nil"/>
              <w:tr2bl w:val="nil"/>
            </w:tcBorders>
            <w:shd w:val="clear" w:color="auto" w:fill="auto"/>
            <w:noWrap/>
            <w:vAlign w:val="bottom"/>
          </w:tcPr>
          <w:p w14:paraId="3A5252A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2768 (81.85)</w:t>
            </w:r>
          </w:p>
        </w:tc>
        <w:tc>
          <w:tcPr>
            <w:tcW w:w="644" w:type="pct"/>
            <w:tcBorders>
              <w:tl2br w:val="nil"/>
              <w:tr2bl w:val="nil"/>
            </w:tcBorders>
            <w:shd w:val="clear" w:color="auto" w:fill="auto"/>
            <w:noWrap/>
            <w:vAlign w:val="bottom"/>
          </w:tcPr>
          <w:p w14:paraId="4409A02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156 (86.67)</w:t>
            </w:r>
          </w:p>
        </w:tc>
        <w:tc>
          <w:tcPr>
            <w:tcW w:w="468" w:type="pct"/>
            <w:tcBorders>
              <w:tl2br w:val="nil"/>
              <w:tr2bl w:val="nil"/>
            </w:tcBorders>
            <w:shd w:val="clear" w:color="auto" w:fill="auto"/>
            <w:noWrap/>
            <w:vAlign w:val="bottom"/>
          </w:tcPr>
          <w:p w14:paraId="17B2F88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 (70.45)</w:t>
            </w:r>
          </w:p>
        </w:tc>
        <w:tc>
          <w:tcPr>
            <w:tcW w:w="247" w:type="pct"/>
            <w:tcBorders>
              <w:tl2br w:val="nil"/>
              <w:tr2bl w:val="nil"/>
            </w:tcBorders>
            <w:shd w:val="clear" w:color="auto" w:fill="auto"/>
            <w:noWrap/>
            <w:vAlign w:val="bottom"/>
          </w:tcPr>
          <w:p w14:paraId="52C6CF1D">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2F79BF7">
            <w:pPr>
              <w:rPr>
                <w:rFonts w:hint="default" w:ascii="Times New Roman" w:hAnsi="Times New Roman" w:eastAsia="宋体" w:cs="Times New Roman"/>
                <w:b w:val="0"/>
                <w:bCs w:val="0"/>
                <w:i w:val="0"/>
                <w:iCs w:val="0"/>
                <w:color w:val="auto"/>
                <w:sz w:val="21"/>
                <w:szCs w:val="21"/>
                <w:u w:val="none"/>
              </w:rPr>
            </w:pPr>
          </w:p>
        </w:tc>
      </w:tr>
      <w:tr w14:paraId="0FBF591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03E711C">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Urban</w:t>
            </w:r>
          </w:p>
        </w:tc>
        <w:tc>
          <w:tcPr>
            <w:tcW w:w="468" w:type="pct"/>
            <w:tcBorders>
              <w:tl2br w:val="nil"/>
              <w:tr2bl w:val="nil"/>
            </w:tcBorders>
            <w:shd w:val="clear" w:color="auto" w:fill="auto"/>
            <w:noWrap/>
            <w:vAlign w:val="bottom"/>
          </w:tcPr>
          <w:p w14:paraId="09DE71A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1836 (19.86)</w:t>
            </w:r>
          </w:p>
        </w:tc>
        <w:tc>
          <w:tcPr>
            <w:tcW w:w="1293" w:type="pct"/>
            <w:tcBorders>
              <w:tl2br w:val="nil"/>
              <w:tr2bl w:val="nil"/>
            </w:tcBorders>
            <w:shd w:val="clear" w:color="auto" w:fill="auto"/>
            <w:noWrap/>
            <w:vAlign w:val="bottom"/>
          </w:tcPr>
          <w:p w14:paraId="2FBD8F7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1185 (21.02)</w:t>
            </w:r>
          </w:p>
        </w:tc>
        <w:tc>
          <w:tcPr>
            <w:tcW w:w="692" w:type="pct"/>
            <w:tcBorders>
              <w:tl2br w:val="nil"/>
              <w:tr2bl w:val="nil"/>
            </w:tcBorders>
            <w:shd w:val="clear" w:color="auto" w:fill="auto"/>
            <w:noWrap/>
            <w:vAlign w:val="bottom"/>
          </w:tcPr>
          <w:p w14:paraId="5C062D1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614 (18.15)</w:t>
            </w:r>
          </w:p>
        </w:tc>
        <w:tc>
          <w:tcPr>
            <w:tcW w:w="644" w:type="pct"/>
            <w:tcBorders>
              <w:tl2br w:val="nil"/>
              <w:tr2bl w:val="nil"/>
            </w:tcBorders>
            <w:shd w:val="clear" w:color="auto" w:fill="auto"/>
            <w:noWrap/>
            <w:vAlign w:val="bottom"/>
          </w:tcPr>
          <w:p w14:paraId="11284D2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24 (13.33)</w:t>
            </w:r>
          </w:p>
        </w:tc>
        <w:tc>
          <w:tcPr>
            <w:tcW w:w="468" w:type="pct"/>
            <w:tcBorders>
              <w:tl2br w:val="nil"/>
              <w:tr2bl w:val="nil"/>
            </w:tcBorders>
            <w:shd w:val="clear" w:color="auto" w:fill="auto"/>
            <w:noWrap/>
            <w:vAlign w:val="bottom"/>
          </w:tcPr>
          <w:p w14:paraId="3A61CB1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 (29.55)</w:t>
            </w:r>
          </w:p>
        </w:tc>
        <w:tc>
          <w:tcPr>
            <w:tcW w:w="247" w:type="pct"/>
            <w:tcBorders>
              <w:tl2br w:val="nil"/>
              <w:tr2bl w:val="nil"/>
            </w:tcBorders>
            <w:shd w:val="clear" w:color="auto" w:fill="auto"/>
            <w:noWrap/>
            <w:vAlign w:val="bottom"/>
          </w:tcPr>
          <w:p w14:paraId="5BC921A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1FCA4F43">
            <w:pPr>
              <w:rPr>
                <w:rFonts w:hint="default" w:ascii="Times New Roman" w:hAnsi="Times New Roman" w:eastAsia="宋体" w:cs="Times New Roman"/>
                <w:b w:val="0"/>
                <w:bCs w:val="0"/>
                <w:i w:val="0"/>
                <w:iCs w:val="0"/>
                <w:color w:val="auto"/>
                <w:sz w:val="21"/>
                <w:szCs w:val="21"/>
                <w:u w:val="none"/>
              </w:rPr>
            </w:pPr>
          </w:p>
        </w:tc>
      </w:tr>
      <w:tr w14:paraId="5338F55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6D24EA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eastAsia" w:ascii="Times New Roman" w:hAnsi="Times New Roman" w:eastAsia="宋体" w:cs="Times New Roman"/>
                <w:b w:val="0"/>
                <w:bCs w:val="0"/>
                <w:i w:val="0"/>
                <w:iCs w:val="0"/>
                <w:color w:val="auto"/>
                <w:kern w:val="0"/>
                <w:sz w:val="21"/>
                <w:szCs w:val="21"/>
                <w:u w:val="none"/>
                <w:lang w:val="en-US" w:eastAsia="zh-CN" w:bidi="ar"/>
              </w:rPr>
              <w:t>Marital status</w:t>
            </w:r>
          </w:p>
        </w:tc>
        <w:tc>
          <w:tcPr>
            <w:tcW w:w="468" w:type="pct"/>
            <w:tcBorders>
              <w:tl2br w:val="nil"/>
              <w:tr2bl w:val="nil"/>
            </w:tcBorders>
            <w:shd w:val="clear" w:color="auto" w:fill="auto"/>
            <w:noWrap/>
            <w:vAlign w:val="bottom"/>
          </w:tcPr>
          <w:p w14:paraId="0AA89702">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46C4417F">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6A75A9B8">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1AAD45FE">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6841D1F4">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05F6813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1.864</w:t>
            </w:r>
          </w:p>
        </w:tc>
        <w:tc>
          <w:tcPr>
            <w:tcW w:w="211" w:type="pct"/>
            <w:tcBorders>
              <w:tl2br w:val="nil"/>
              <w:tr2bl w:val="nil"/>
            </w:tcBorders>
            <w:shd w:val="clear" w:color="auto" w:fill="auto"/>
            <w:noWrap/>
            <w:vAlign w:val="bottom"/>
          </w:tcPr>
          <w:p w14:paraId="12708B5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0.601</w:t>
            </w:r>
          </w:p>
        </w:tc>
      </w:tr>
      <w:tr w14:paraId="6DEE88C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876D9F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Other</w:t>
            </w:r>
          </w:p>
        </w:tc>
        <w:tc>
          <w:tcPr>
            <w:tcW w:w="468" w:type="pct"/>
            <w:tcBorders>
              <w:tl2br w:val="nil"/>
              <w:tr2bl w:val="nil"/>
            </w:tcBorders>
            <w:shd w:val="clear" w:color="auto" w:fill="auto"/>
            <w:noWrap/>
            <w:vAlign w:val="bottom"/>
          </w:tcPr>
          <w:p w14:paraId="515C706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580 (6.28)</w:t>
            </w:r>
          </w:p>
        </w:tc>
        <w:tc>
          <w:tcPr>
            <w:tcW w:w="1293" w:type="pct"/>
            <w:tcBorders>
              <w:tl2br w:val="nil"/>
              <w:tr2bl w:val="nil"/>
            </w:tcBorders>
            <w:shd w:val="clear" w:color="auto" w:fill="auto"/>
            <w:noWrap/>
            <w:vAlign w:val="bottom"/>
          </w:tcPr>
          <w:p w14:paraId="6BBF876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342 (6.07)</w:t>
            </w:r>
          </w:p>
        </w:tc>
        <w:tc>
          <w:tcPr>
            <w:tcW w:w="692" w:type="pct"/>
            <w:tcBorders>
              <w:tl2br w:val="nil"/>
              <w:tr2bl w:val="nil"/>
            </w:tcBorders>
            <w:shd w:val="clear" w:color="auto" w:fill="auto"/>
            <w:noWrap/>
            <w:vAlign w:val="bottom"/>
          </w:tcPr>
          <w:p w14:paraId="5DAC173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224 (6.62)</w:t>
            </w:r>
          </w:p>
        </w:tc>
        <w:tc>
          <w:tcPr>
            <w:tcW w:w="644" w:type="pct"/>
            <w:tcBorders>
              <w:tl2br w:val="nil"/>
              <w:tr2bl w:val="nil"/>
            </w:tcBorders>
            <w:shd w:val="clear" w:color="auto" w:fill="auto"/>
            <w:noWrap/>
            <w:vAlign w:val="bottom"/>
          </w:tcPr>
          <w:p w14:paraId="4749920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10 (5.56)</w:t>
            </w:r>
          </w:p>
        </w:tc>
        <w:tc>
          <w:tcPr>
            <w:tcW w:w="468" w:type="pct"/>
            <w:tcBorders>
              <w:tl2br w:val="nil"/>
              <w:tr2bl w:val="nil"/>
            </w:tcBorders>
            <w:shd w:val="clear" w:color="auto" w:fill="auto"/>
            <w:noWrap/>
            <w:vAlign w:val="bottom"/>
          </w:tcPr>
          <w:p w14:paraId="611246B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 (9.09)</w:t>
            </w:r>
          </w:p>
        </w:tc>
        <w:tc>
          <w:tcPr>
            <w:tcW w:w="247" w:type="pct"/>
            <w:tcBorders>
              <w:tl2br w:val="nil"/>
              <w:tr2bl w:val="nil"/>
            </w:tcBorders>
            <w:shd w:val="clear" w:color="auto" w:fill="auto"/>
            <w:noWrap/>
            <w:vAlign w:val="bottom"/>
          </w:tcPr>
          <w:p w14:paraId="1C0C2B23">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CD8BCEB">
            <w:pPr>
              <w:rPr>
                <w:rFonts w:hint="default" w:ascii="Times New Roman" w:hAnsi="Times New Roman" w:eastAsia="宋体" w:cs="Times New Roman"/>
                <w:b w:val="0"/>
                <w:bCs w:val="0"/>
                <w:i w:val="0"/>
                <w:iCs w:val="0"/>
                <w:color w:val="auto"/>
                <w:sz w:val="21"/>
                <w:szCs w:val="21"/>
                <w:u w:val="none"/>
              </w:rPr>
            </w:pPr>
          </w:p>
        </w:tc>
      </w:tr>
      <w:tr w14:paraId="1C0A707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CBBC81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Married</w:t>
            </w:r>
          </w:p>
        </w:tc>
        <w:tc>
          <w:tcPr>
            <w:tcW w:w="468" w:type="pct"/>
            <w:tcBorders>
              <w:tl2br w:val="nil"/>
              <w:tr2bl w:val="nil"/>
            </w:tcBorders>
            <w:shd w:val="clear" w:color="auto" w:fill="auto"/>
            <w:noWrap/>
            <w:vAlign w:val="bottom"/>
          </w:tcPr>
          <w:p w14:paraId="354E8C9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8663 (93.72)</w:t>
            </w:r>
          </w:p>
        </w:tc>
        <w:tc>
          <w:tcPr>
            <w:tcW w:w="1293" w:type="pct"/>
            <w:tcBorders>
              <w:tl2br w:val="nil"/>
              <w:tr2bl w:val="nil"/>
            </w:tcBorders>
            <w:shd w:val="clear" w:color="auto" w:fill="auto"/>
            <w:noWrap/>
            <w:vAlign w:val="bottom"/>
          </w:tcPr>
          <w:p w14:paraId="0BDCE30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5295 (93.93)</w:t>
            </w:r>
          </w:p>
        </w:tc>
        <w:tc>
          <w:tcPr>
            <w:tcW w:w="692" w:type="pct"/>
            <w:tcBorders>
              <w:tl2br w:val="nil"/>
              <w:tr2bl w:val="nil"/>
            </w:tcBorders>
            <w:shd w:val="clear" w:color="auto" w:fill="auto"/>
            <w:noWrap/>
            <w:vAlign w:val="bottom"/>
          </w:tcPr>
          <w:p w14:paraId="40A5105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3158 (93.38)</w:t>
            </w:r>
          </w:p>
        </w:tc>
        <w:tc>
          <w:tcPr>
            <w:tcW w:w="644" w:type="pct"/>
            <w:tcBorders>
              <w:tl2br w:val="nil"/>
              <w:tr2bl w:val="nil"/>
            </w:tcBorders>
            <w:shd w:val="clear" w:color="auto" w:fill="auto"/>
            <w:noWrap/>
            <w:vAlign w:val="bottom"/>
          </w:tcPr>
          <w:p w14:paraId="68AB668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170 (94.44)</w:t>
            </w:r>
          </w:p>
        </w:tc>
        <w:tc>
          <w:tcPr>
            <w:tcW w:w="468" w:type="pct"/>
            <w:tcBorders>
              <w:tl2br w:val="nil"/>
              <w:tr2bl w:val="nil"/>
            </w:tcBorders>
            <w:shd w:val="clear" w:color="auto" w:fill="auto"/>
            <w:noWrap/>
            <w:vAlign w:val="bottom"/>
          </w:tcPr>
          <w:p w14:paraId="5CB8F3A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40 (90.91)</w:t>
            </w:r>
          </w:p>
        </w:tc>
        <w:tc>
          <w:tcPr>
            <w:tcW w:w="247" w:type="pct"/>
            <w:tcBorders>
              <w:tl2br w:val="nil"/>
              <w:tr2bl w:val="nil"/>
            </w:tcBorders>
            <w:shd w:val="clear" w:color="auto" w:fill="auto"/>
            <w:noWrap/>
            <w:vAlign w:val="bottom"/>
          </w:tcPr>
          <w:p w14:paraId="709F4BCB">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F6C8545">
            <w:pPr>
              <w:rPr>
                <w:rFonts w:hint="default" w:ascii="Times New Roman" w:hAnsi="Times New Roman" w:eastAsia="宋体" w:cs="Times New Roman"/>
                <w:b w:val="0"/>
                <w:bCs w:val="0"/>
                <w:i w:val="0"/>
                <w:iCs w:val="0"/>
                <w:color w:val="auto"/>
                <w:sz w:val="21"/>
                <w:szCs w:val="21"/>
                <w:u w:val="none"/>
              </w:rPr>
            </w:pPr>
          </w:p>
        </w:tc>
      </w:tr>
      <w:tr w14:paraId="2806376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C800C6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eastAsia" w:ascii="Times New Roman" w:hAnsi="Times New Roman" w:eastAsia="宋体" w:cs="Times New Roman"/>
                <w:b w:val="0"/>
                <w:bCs w:val="0"/>
                <w:i w:val="0"/>
                <w:iCs w:val="0"/>
                <w:color w:val="auto"/>
                <w:kern w:val="0"/>
                <w:sz w:val="21"/>
                <w:szCs w:val="21"/>
                <w:u w:val="none"/>
                <w:lang w:val="en-US" w:eastAsia="zh-CN" w:bidi="ar"/>
              </w:rPr>
              <w:t>Educational level</w:t>
            </w:r>
          </w:p>
        </w:tc>
        <w:tc>
          <w:tcPr>
            <w:tcW w:w="468" w:type="pct"/>
            <w:tcBorders>
              <w:tl2br w:val="nil"/>
              <w:tr2bl w:val="nil"/>
            </w:tcBorders>
            <w:shd w:val="clear" w:color="auto" w:fill="auto"/>
            <w:noWrap/>
            <w:vAlign w:val="bottom"/>
          </w:tcPr>
          <w:p w14:paraId="48F92182">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491454C9">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0FACD34">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40F96585">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726FD709">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13BE2FF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26.805</w:t>
            </w:r>
          </w:p>
        </w:tc>
        <w:tc>
          <w:tcPr>
            <w:tcW w:w="211" w:type="pct"/>
            <w:tcBorders>
              <w:tl2br w:val="nil"/>
              <w:tr2bl w:val="nil"/>
            </w:tcBorders>
            <w:shd w:val="clear" w:color="auto" w:fill="auto"/>
            <w:noWrap/>
            <w:vAlign w:val="bottom"/>
          </w:tcPr>
          <w:p w14:paraId="7B786DB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0.002</w:t>
            </w:r>
          </w:p>
        </w:tc>
      </w:tr>
      <w:tr w14:paraId="4A69CB4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0BD5C5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No formal education</w:t>
            </w:r>
          </w:p>
        </w:tc>
        <w:tc>
          <w:tcPr>
            <w:tcW w:w="468" w:type="pct"/>
            <w:tcBorders>
              <w:tl2br w:val="nil"/>
              <w:tr2bl w:val="nil"/>
            </w:tcBorders>
            <w:shd w:val="clear" w:color="auto" w:fill="auto"/>
            <w:noWrap/>
            <w:vAlign w:val="bottom"/>
          </w:tcPr>
          <w:p w14:paraId="4951888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720 (7.79)</w:t>
            </w:r>
          </w:p>
        </w:tc>
        <w:tc>
          <w:tcPr>
            <w:tcW w:w="1293" w:type="pct"/>
            <w:tcBorders>
              <w:tl2br w:val="nil"/>
              <w:tr2bl w:val="nil"/>
            </w:tcBorders>
            <w:shd w:val="clear" w:color="auto" w:fill="auto"/>
            <w:noWrap/>
            <w:vAlign w:val="bottom"/>
          </w:tcPr>
          <w:p w14:paraId="11CFE1A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411 (7.29)</w:t>
            </w:r>
          </w:p>
        </w:tc>
        <w:tc>
          <w:tcPr>
            <w:tcW w:w="692" w:type="pct"/>
            <w:tcBorders>
              <w:tl2br w:val="nil"/>
              <w:tr2bl w:val="nil"/>
            </w:tcBorders>
            <w:shd w:val="clear" w:color="auto" w:fill="auto"/>
            <w:noWrap/>
            <w:vAlign w:val="bottom"/>
          </w:tcPr>
          <w:p w14:paraId="7F85DD6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297 (8.78)</w:t>
            </w:r>
          </w:p>
        </w:tc>
        <w:tc>
          <w:tcPr>
            <w:tcW w:w="644" w:type="pct"/>
            <w:tcBorders>
              <w:tl2br w:val="nil"/>
              <w:tr2bl w:val="nil"/>
            </w:tcBorders>
            <w:shd w:val="clear" w:color="auto" w:fill="auto"/>
            <w:noWrap/>
            <w:vAlign w:val="bottom"/>
          </w:tcPr>
          <w:p w14:paraId="0CEFB84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 (5.00)</w:t>
            </w:r>
          </w:p>
        </w:tc>
        <w:tc>
          <w:tcPr>
            <w:tcW w:w="468" w:type="pct"/>
            <w:tcBorders>
              <w:tl2br w:val="nil"/>
              <w:tr2bl w:val="nil"/>
            </w:tcBorders>
            <w:shd w:val="clear" w:color="auto" w:fill="auto"/>
            <w:noWrap/>
            <w:vAlign w:val="bottom"/>
          </w:tcPr>
          <w:p w14:paraId="41EA851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 (6.82)</w:t>
            </w:r>
          </w:p>
        </w:tc>
        <w:tc>
          <w:tcPr>
            <w:tcW w:w="247" w:type="pct"/>
            <w:tcBorders>
              <w:tl2br w:val="nil"/>
              <w:tr2bl w:val="nil"/>
            </w:tcBorders>
            <w:shd w:val="clear" w:color="auto" w:fill="auto"/>
            <w:noWrap/>
            <w:vAlign w:val="bottom"/>
          </w:tcPr>
          <w:p w14:paraId="429AE2A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2873584">
            <w:pPr>
              <w:rPr>
                <w:rFonts w:hint="default" w:ascii="Times New Roman" w:hAnsi="Times New Roman" w:eastAsia="宋体" w:cs="Times New Roman"/>
                <w:b w:val="0"/>
                <w:bCs w:val="0"/>
                <w:i w:val="0"/>
                <w:iCs w:val="0"/>
                <w:color w:val="auto"/>
                <w:sz w:val="21"/>
                <w:szCs w:val="21"/>
                <w:u w:val="none"/>
              </w:rPr>
            </w:pPr>
          </w:p>
        </w:tc>
      </w:tr>
      <w:tr w14:paraId="31C9FB8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C94A30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Primary school</w:t>
            </w:r>
          </w:p>
        </w:tc>
        <w:tc>
          <w:tcPr>
            <w:tcW w:w="468" w:type="pct"/>
            <w:tcBorders>
              <w:tl2br w:val="nil"/>
              <w:tr2bl w:val="nil"/>
            </w:tcBorders>
            <w:shd w:val="clear" w:color="auto" w:fill="auto"/>
            <w:noWrap/>
            <w:vAlign w:val="bottom"/>
          </w:tcPr>
          <w:p w14:paraId="37B4687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2377 (25.72)</w:t>
            </w:r>
          </w:p>
        </w:tc>
        <w:tc>
          <w:tcPr>
            <w:tcW w:w="1293" w:type="pct"/>
            <w:tcBorders>
              <w:tl2br w:val="nil"/>
              <w:tr2bl w:val="nil"/>
            </w:tcBorders>
            <w:shd w:val="clear" w:color="auto" w:fill="auto"/>
            <w:noWrap/>
            <w:vAlign w:val="bottom"/>
          </w:tcPr>
          <w:p w14:paraId="4C18A28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1397 (24.78)</w:t>
            </w:r>
          </w:p>
        </w:tc>
        <w:tc>
          <w:tcPr>
            <w:tcW w:w="692" w:type="pct"/>
            <w:tcBorders>
              <w:tl2br w:val="nil"/>
              <w:tr2bl w:val="nil"/>
            </w:tcBorders>
            <w:shd w:val="clear" w:color="auto" w:fill="auto"/>
            <w:noWrap/>
            <w:vAlign w:val="bottom"/>
          </w:tcPr>
          <w:p w14:paraId="0C1C30D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904 (26.73)</w:t>
            </w:r>
          </w:p>
        </w:tc>
        <w:tc>
          <w:tcPr>
            <w:tcW w:w="644" w:type="pct"/>
            <w:tcBorders>
              <w:tl2br w:val="nil"/>
              <w:tr2bl w:val="nil"/>
            </w:tcBorders>
            <w:shd w:val="clear" w:color="auto" w:fill="auto"/>
            <w:noWrap/>
            <w:vAlign w:val="bottom"/>
          </w:tcPr>
          <w:p w14:paraId="70D68D8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61 (33.89)</w:t>
            </w:r>
          </w:p>
        </w:tc>
        <w:tc>
          <w:tcPr>
            <w:tcW w:w="468" w:type="pct"/>
            <w:tcBorders>
              <w:tl2br w:val="nil"/>
              <w:tr2bl w:val="nil"/>
            </w:tcBorders>
            <w:shd w:val="clear" w:color="auto" w:fill="auto"/>
            <w:noWrap/>
            <w:vAlign w:val="bottom"/>
          </w:tcPr>
          <w:p w14:paraId="456D041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 (34.09)</w:t>
            </w:r>
          </w:p>
        </w:tc>
        <w:tc>
          <w:tcPr>
            <w:tcW w:w="247" w:type="pct"/>
            <w:tcBorders>
              <w:tl2br w:val="nil"/>
              <w:tr2bl w:val="nil"/>
            </w:tcBorders>
            <w:shd w:val="clear" w:color="auto" w:fill="auto"/>
            <w:noWrap/>
            <w:vAlign w:val="bottom"/>
          </w:tcPr>
          <w:p w14:paraId="73F711D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D99E2B0">
            <w:pPr>
              <w:rPr>
                <w:rFonts w:hint="default" w:ascii="Times New Roman" w:hAnsi="Times New Roman" w:eastAsia="宋体" w:cs="Times New Roman"/>
                <w:b w:val="0"/>
                <w:bCs w:val="0"/>
                <w:i w:val="0"/>
                <w:iCs w:val="0"/>
                <w:color w:val="auto"/>
                <w:sz w:val="21"/>
                <w:szCs w:val="21"/>
                <w:u w:val="none"/>
              </w:rPr>
            </w:pPr>
          </w:p>
        </w:tc>
      </w:tr>
      <w:tr w14:paraId="6B336BF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F395B26">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Junior high school</w:t>
            </w:r>
          </w:p>
        </w:tc>
        <w:tc>
          <w:tcPr>
            <w:tcW w:w="468" w:type="pct"/>
            <w:tcBorders>
              <w:tl2br w:val="nil"/>
              <w:tr2bl w:val="nil"/>
            </w:tcBorders>
            <w:shd w:val="clear" w:color="auto" w:fill="auto"/>
            <w:noWrap/>
            <w:vAlign w:val="bottom"/>
          </w:tcPr>
          <w:p w14:paraId="410B234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4630 (50.09)</w:t>
            </w:r>
          </w:p>
        </w:tc>
        <w:tc>
          <w:tcPr>
            <w:tcW w:w="1293" w:type="pct"/>
            <w:tcBorders>
              <w:tl2br w:val="nil"/>
              <w:tr2bl w:val="nil"/>
            </w:tcBorders>
            <w:shd w:val="clear" w:color="auto" w:fill="auto"/>
            <w:noWrap/>
            <w:vAlign w:val="bottom"/>
          </w:tcPr>
          <w:p w14:paraId="3A07C40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2874 (50.98)</w:t>
            </w:r>
          </w:p>
        </w:tc>
        <w:tc>
          <w:tcPr>
            <w:tcW w:w="692" w:type="pct"/>
            <w:tcBorders>
              <w:tl2br w:val="nil"/>
              <w:tr2bl w:val="nil"/>
            </w:tcBorders>
            <w:shd w:val="clear" w:color="auto" w:fill="auto"/>
            <w:noWrap/>
            <w:vAlign w:val="bottom"/>
          </w:tcPr>
          <w:p w14:paraId="2F41360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1655 (48.94)</w:t>
            </w:r>
          </w:p>
        </w:tc>
        <w:tc>
          <w:tcPr>
            <w:tcW w:w="644" w:type="pct"/>
            <w:tcBorders>
              <w:tl2br w:val="nil"/>
              <w:tr2bl w:val="nil"/>
            </w:tcBorders>
            <w:shd w:val="clear" w:color="auto" w:fill="auto"/>
            <w:noWrap/>
            <w:vAlign w:val="bottom"/>
          </w:tcPr>
          <w:p w14:paraId="4672E0E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86 (47.78)</w:t>
            </w:r>
          </w:p>
        </w:tc>
        <w:tc>
          <w:tcPr>
            <w:tcW w:w="468" w:type="pct"/>
            <w:tcBorders>
              <w:tl2br w:val="nil"/>
              <w:tr2bl w:val="nil"/>
            </w:tcBorders>
            <w:shd w:val="clear" w:color="auto" w:fill="auto"/>
            <w:noWrap/>
            <w:vAlign w:val="bottom"/>
          </w:tcPr>
          <w:p w14:paraId="5E49DCE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 (34.09)</w:t>
            </w:r>
          </w:p>
        </w:tc>
        <w:tc>
          <w:tcPr>
            <w:tcW w:w="247" w:type="pct"/>
            <w:tcBorders>
              <w:tl2br w:val="nil"/>
              <w:tr2bl w:val="nil"/>
            </w:tcBorders>
            <w:shd w:val="clear" w:color="auto" w:fill="auto"/>
            <w:noWrap/>
            <w:vAlign w:val="bottom"/>
          </w:tcPr>
          <w:p w14:paraId="5A3490D0">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1FAFF84">
            <w:pPr>
              <w:rPr>
                <w:rFonts w:hint="default" w:ascii="Times New Roman" w:hAnsi="Times New Roman" w:eastAsia="宋体" w:cs="Times New Roman"/>
                <w:b w:val="0"/>
                <w:bCs w:val="0"/>
                <w:i w:val="0"/>
                <w:iCs w:val="0"/>
                <w:color w:val="auto"/>
                <w:sz w:val="21"/>
                <w:szCs w:val="21"/>
                <w:u w:val="none"/>
              </w:rPr>
            </w:pPr>
          </w:p>
        </w:tc>
      </w:tr>
      <w:tr w14:paraId="682B624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6F71923">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Senior high school and above</w:t>
            </w:r>
          </w:p>
        </w:tc>
        <w:tc>
          <w:tcPr>
            <w:tcW w:w="468" w:type="pct"/>
            <w:tcBorders>
              <w:tl2br w:val="nil"/>
              <w:tr2bl w:val="nil"/>
            </w:tcBorders>
            <w:shd w:val="clear" w:color="auto" w:fill="auto"/>
            <w:noWrap/>
            <w:vAlign w:val="bottom"/>
          </w:tcPr>
          <w:p w14:paraId="21149B9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1516 (16.40)</w:t>
            </w:r>
          </w:p>
        </w:tc>
        <w:tc>
          <w:tcPr>
            <w:tcW w:w="1293" w:type="pct"/>
            <w:tcBorders>
              <w:tl2br w:val="nil"/>
              <w:tr2bl w:val="nil"/>
            </w:tcBorders>
            <w:shd w:val="clear" w:color="auto" w:fill="auto"/>
            <w:noWrap/>
            <w:vAlign w:val="bottom"/>
          </w:tcPr>
          <w:p w14:paraId="04121F7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955 (16.94)</w:t>
            </w:r>
          </w:p>
        </w:tc>
        <w:tc>
          <w:tcPr>
            <w:tcW w:w="692" w:type="pct"/>
            <w:tcBorders>
              <w:tl2br w:val="nil"/>
              <w:tr2bl w:val="nil"/>
            </w:tcBorders>
            <w:shd w:val="clear" w:color="auto" w:fill="auto"/>
            <w:noWrap/>
            <w:vAlign w:val="bottom"/>
          </w:tcPr>
          <w:p w14:paraId="494B2B8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526 (15.55)</w:t>
            </w:r>
          </w:p>
        </w:tc>
        <w:tc>
          <w:tcPr>
            <w:tcW w:w="644" w:type="pct"/>
            <w:tcBorders>
              <w:tl2br w:val="nil"/>
              <w:tr2bl w:val="nil"/>
            </w:tcBorders>
            <w:shd w:val="clear" w:color="auto" w:fill="auto"/>
            <w:noWrap/>
            <w:vAlign w:val="bottom"/>
          </w:tcPr>
          <w:p w14:paraId="289070F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24 (13.33)</w:t>
            </w:r>
          </w:p>
        </w:tc>
        <w:tc>
          <w:tcPr>
            <w:tcW w:w="468" w:type="pct"/>
            <w:tcBorders>
              <w:tl2br w:val="nil"/>
              <w:tr2bl w:val="nil"/>
            </w:tcBorders>
            <w:shd w:val="clear" w:color="auto" w:fill="auto"/>
            <w:noWrap/>
            <w:vAlign w:val="bottom"/>
          </w:tcPr>
          <w:p w14:paraId="6ACAEE1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 (25.00)</w:t>
            </w:r>
          </w:p>
        </w:tc>
        <w:tc>
          <w:tcPr>
            <w:tcW w:w="247" w:type="pct"/>
            <w:tcBorders>
              <w:tl2br w:val="nil"/>
              <w:tr2bl w:val="nil"/>
            </w:tcBorders>
            <w:shd w:val="clear" w:color="auto" w:fill="auto"/>
            <w:noWrap/>
            <w:vAlign w:val="bottom"/>
          </w:tcPr>
          <w:p w14:paraId="7035A414">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FC0D7D5">
            <w:pPr>
              <w:rPr>
                <w:rFonts w:hint="default" w:ascii="Times New Roman" w:hAnsi="Times New Roman" w:eastAsia="宋体" w:cs="Times New Roman"/>
                <w:b w:val="0"/>
                <w:bCs w:val="0"/>
                <w:i w:val="0"/>
                <w:iCs w:val="0"/>
                <w:color w:val="auto"/>
                <w:sz w:val="21"/>
                <w:szCs w:val="21"/>
                <w:u w:val="none"/>
              </w:rPr>
            </w:pPr>
          </w:p>
        </w:tc>
      </w:tr>
      <w:tr w14:paraId="0D38FCB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4559DC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kern w:val="0"/>
                <w:sz w:val="21"/>
                <w:szCs w:val="21"/>
                <w:u w:val="none"/>
                <w:lang w:val="en-US" w:eastAsia="zh-CN" w:bidi="ar"/>
              </w:rPr>
              <w:t>H</w:t>
            </w:r>
            <w:r>
              <w:rPr>
                <w:rFonts w:hint="default" w:ascii="Times New Roman" w:hAnsi="Times New Roman" w:eastAsia="宋体" w:cs="Times New Roman"/>
                <w:b w:val="0"/>
                <w:bCs w:val="0"/>
                <w:i w:val="0"/>
                <w:iCs w:val="0"/>
                <w:color w:val="auto"/>
                <w:kern w:val="0"/>
                <w:sz w:val="21"/>
                <w:szCs w:val="21"/>
                <w:u w:val="none"/>
                <w:lang w:val="en-US" w:eastAsia="zh-CN" w:bidi="ar"/>
              </w:rPr>
              <w:t>ousehold size (persons)</w:t>
            </w:r>
          </w:p>
        </w:tc>
        <w:tc>
          <w:tcPr>
            <w:tcW w:w="468" w:type="pct"/>
            <w:tcBorders>
              <w:tl2br w:val="nil"/>
              <w:tr2bl w:val="nil"/>
            </w:tcBorders>
            <w:shd w:val="clear" w:color="auto" w:fill="auto"/>
            <w:noWrap/>
            <w:vAlign w:val="bottom"/>
          </w:tcPr>
          <w:p w14:paraId="160B9A30">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54AB700B">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199996A8">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520A8E6C">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51FB4282">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44D3FA0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13.403</w:t>
            </w:r>
          </w:p>
        </w:tc>
        <w:tc>
          <w:tcPr>
            <w:tcW w:w="211" w:type="pct"/>
            <w:tcBorders>
              <w:tl2br w:val="nil"/>
              <w:tr2bl w:val="nil"/>
            </w:tcBorders>
            <w:shd w:val="clear" w:color="auto" w:fill="auto"/>
            <w:noWrap/>
            <w:vAlign w:val="bottom"/>
          </w:tcPr>
          <w:p w14:paraId="234C31A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0.037</w:t>
            </w:r>
          </w:p>
        </w:tc>
      </w:tr>
      <w:tr w14:paraId="2B32598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1B40714">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w:t>
            </w:r>
          </w:p>
        </w:tc>
        <w:tc>
          <w:tcPr>
            <w:tcW w:w="468" w:type="pct"/>
            <w:tcBorders>
              <w:tl2br w:val="nil"/>
              <w:tr2bl w:val="nil"/>
            </w:tcBorders>
            <w:shd w:val="clear" w:color="auto" w:fill="auto"/>
            <w:noWrap/>
            <w:vAlign w:val="bottom"/>
          </w:tcPr>
          <w:p w14:paraId="77231F3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5574 (60.31)</w:t>
            </w:r>
          </w:p>
        </w:tc>
        <w:tc>
          <w:tcPr>
            <w:tcW w:w="1293" w:type="pct"/>
            <w:tcBorders>
              <w:tl2br w:val="nil"/>
              <w:tr2bl w:val="nil"/>
            </w:tcBorders>
            <w:shd w:val="clear" w:color="auto" w:fill="auto"/>
            <w:noWrap/>
            <w:vAlign w:val="bottom"/>
          </w:tcPr>
          <w:p w14:paraId="57298D2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3350 (59.43)</w:t>
            </w:r>
          </w:p>
        </w:tc>
        <w:tc>
          <w:tcPr>
            <w:tcW w:w="692" w:type="pct"/>
            <w:tcBorders>
              <w:tl2br w:val="nil"/>
              <w:tr2bl w:val="nil"/>
            </w:tcBorders>
            <w:shd w:val="clear" w:color="auto" w:fill="auto"/>
            <w:noWrap/>
            <w:vAlign w:val="bottom"/>
          </w:tcPr>
          <w:p w14:paraId="00DDFC1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2088 (61.74)</w:t>
            </w:r>
          </w:p>
        </w:tc>
        <w:tc>
          <w:tcPr>
            <w:tcW w:w="644" w:type="pct"/>
            <w:tcBorders>
              <w:tl2br w:val="nil"/>
              <w:tr2bl w:val="nil"/>
            </w:tcBorders>
            <w:shd w:val="clear" w:color="auto" w:fill="auto"/>
            <w:noWrap/>
            <w:vAlign w:val="bottom"/>
          </w:tcPr>
          <w:p w14:paraId="244098A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114 (63.33)</w:t>
            </w:r>
          </w:p>
        </w:tc>
        <w:tc>
          <w:tcPr>
            <w:tcW w:w="468" w:type="pct"/>
            <w:tcBorders>
              <w:tl2br w:val="nil"/>
              <w:tr2bl w:val="nil"/>
            </w:tcBorders>
            <w:shd w:val="clear" w:color="auto" w:fill="auto"/>
            <w:noWrap/>
            <w:vAlign w:val="bottom"/>
          </w:tcPr>
          <w:p w14:paraId="401C9C0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 (50.00)</w:t>
            </w:r>
          </w:p>
        </w:tc>
        <w:tc>
          <w:tcPr>
            <w:tcW w:w="247" w:type="pct"/>
            <w:tcBorders>
              <w:tl2br w:val="nil"/>
              <w:tr2bl w:val="nil"/>
            </w:tcBorders>
            <w:shd w:val="clear" w:color="auto" w:fill="auto"/>
            <w:noWrap/>
            <w:vAlign w:val="bottom"/>
          </w:tcPr>
          <w:p w14:paraId="4A4826C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B6DAE29">
            <w:pPr>
              <w:rPr>
                <w:rFonts w:hint="default" w:ascii="Times New Roman" w:hAnsi="Times New Roman" w:eastAsia="宋体" w:cs="Times New Roman"/>
                <w:b w:val="0"/>
                <w:bCs w:val="0"/>
                <w:i w:val="0"/>
                <w:iCs w:val="0"/>
                <w:color w:val="auto"/>
                <w:sz w:val="21"/>
                <w:szCs w:val="21"/>
                <w:u w:val="none"/>
              </w:rPr>
            </w:pPr>
          </w:p>
        </w:tc>
      </w:tr>
      <w:tr w14:paraId="030AFE4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6D7E3D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w:t>
            </w:r>
            <w:r>
              <w:rPr>
                <w:rFonts w:hint="eastAsia" w:ascii="Times New Roman" w:hAnsi="Times New Roman" w:eastAsia="宋体" w:cs="Times New Roman"/>
                <w:b w:val="0"/>
                <w:bCs w:val="0"/>
                <w:i w:val="0"/>
                <w:iCs w:val="0"/>
                <w:color w:val="auto"/>
                <w:kern w:val="0"/>
                <w:sz w:val="21"/>
                <w:szCs w:val="21"/>
                <w:u w:val="none"/>
                <w:lang w:val="en-US" w:eastAsia="zh-CN" w:bidi="ar"/>
              </w:rPr>
              <w:t>6</w:t>
            </w:r>
          </w:p>
        </w:tc>
        <w:tc>
          <w:tcPr>
            <w:tcW w:w="468" w:type="pct"/>
            <w:tcBorders>
              <w:tl2br w:val="nil"/>
              <w:tr2bl w:val="nil"/>
            </w:tcBorders>
            <w:shd w:val="clear" w:color="auto" w:fill="auto"/>
            <w:noWrap/>
            <w:vAlign w:val="bottom"/>
          </w:tcPr>
          <w:p w14:paraId="51CE154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3530 (38.19)</w:t>
            </w:r>
          </w:p>
        </w:tc>
        <w:tc>
          <w:tcPr>
            <w:tcW w:w="1293" w:type="pct"/>
            <w:tcBorders>
              <w:tl2br w:val="nil"/>
              <w:tr2bl w:val="nil"/>
            </w:tcBorders>
            <w:shd w:val="clear" w:color="auto" w:fill="auto"/>
            <w:noWrap/>
            <w:vAlign w:val="bottom"/>
          </w:tcPr>
          <w:p w14:paraId="7CC6107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2187 (38.80)</w:t>
            </w:r>
          </w:p>
        </w:tc>
        <w:tc>
          <w:tcPr>
            <w:tcW w:w="692" w:type="pct"/>
            <w:tcBorders>
              <w:tl2br w:val="nil"/>
              <w:tr2bl w:val="nil"/>
            </w:tcBorders>
            <w:shd w:val="clear" w:color="auto" w:fill="auto"/>
            <w:noWrap/>
            <w:vAlign w:val="bottom"/>
          </w:tcPr>
          <w:p w14:paraId="5671CB7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1257 (37.17)</w:t>
            </w:r>
          </w:p>
        </w:tc>
        <w:tc>
          <w:tcPr>
            <w:tcW w:w="644" w:type="pct"/>
            <w:tcBorders>
              <w:tl2br w:val="nil"/>
              <w:tr2bl w:val="nil"/>
            </w:tcBorders>
            <w:shd w:val="clear" w:color="auto" w:fill="auto"/>
            <w:noWrap/>
            <w:vAlign w:val="bottom"/>
          </w:tcPr>
          <w:p w14:paraId="78AF4C6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65 (36.11)</w:t>
            </w:r>
          </w:p>
        </w:tc>
        <w:tc>
          <w:tcPr>
            <w:tcW w:w="468" w:type="pct"/>
            <w:tcBorders>
              <w:tl2br w:val="nil"/>
              <w:tr2bl w:val="nil"/>
            </w:tcBorders>
            <w:shd w:val="clear" w:color="auto" w:fill="auto"/>
            <w:noWrap/>
            <w:vAlign w:val="bottom"/>
          </w:tcPr>
          <w:p w14:paraId="668286D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21 (47.73)</w:t>
            </w:r>
          </w:p>
        </w:tc>
        <w:tc>
          <w:tcPr>
            <w:tcW w:w="247" w:type="pct"/>
            <w:tcBorders>
              <w:tl2br w:val="nil"/>
              <w:tr2bl w:val="nil"/>
            </w:tcBorders>
            <w:shd w:val="clear" w:color="auto" w:fill="auto"/>
            <w:noWrap/>
            <w:vAlign w:val="bottom"/>
          </w:tcPr>
          <w:p w14:paraId="6827D50C">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C934724">
            <w:pPr>
              <w:rPr>
                <w:rFonts w:hint="default" w:ascii="Times New Roman" w:hAnsi="Times New Roman" w:eastAsia="宋体" w:cs="Times New Roman"/>
                <w:b w:val="0"/>
                <w:bCs w:val="0"/>
                <w:i w:val="0"/>
                <w:iCs w:val="0"/>
                <w:color w:val="auto"/>
                <w:sz w:val="21"/>
                <w:szCs w:val="21"/>
                <w:u w:val="none"/>
              </w:rPr>
            </w:pPr>
          </w:p>
        </w:tc>
      </w:tr>
      <w:tr w14:paraId="5BF9836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1BF5B19">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w:t>
            </w:r>
          </w:p>
        </w:tc>
        <w:tc>
          <w:tcPr>
            <w:tcW w:w="468" w:type="pct"/>
            <w:tcBorders>
              <w:tl2br w:val="nil"/>
              <w:tr2bl w:val="nil"/>
            </w:tcBorders>
            <w:shd w:val="clear" w:color="auto" w:fill="auto"/>
            <w:noWrap/>
            <w:vAlign w:val="bottom"/>
          </w:tcPr>
          <w:p w14:paraId="763611B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139 (1.50)</w:t>
            </w:r>
          </w:p>
        </w:tc>
        <w:tc>
          <w:tcPr>
            <w:tcW w:w="1293" w:type="pct"/>
            <w:tcBorders>
              <w:tl2br w:val="nil"/>
              <w:tr2bl w:val="nil"/>
            </w:tcBorders>
            <w:shd w:val="clear" w:color="auto" w:fill="auto"/>
            <w:noWrap/>
            <w:vAlign w:val="bottom"/>
          </w:tcPr>
          <w:p w14:paraId="62D670B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100 (1.77)</w:t>
            </w:r>
          </w:p>
        </w:tc>
        <w:tc>
          <w:tcPr>
            <w:tcW w:w="692" w:type="pct"/>
            <w:tcBorders>
              <w:tl2br w:val="nil"/>
              <w:tr2bl w:val="nil"/>
            </w:tcBorders>
            <w:shd w:val="clear" w:color="auto" w:fill="auto"/>
            <w:noWrap/>
            <w:vAlign w:val="bottom"/>
          </w:tcPr>
          <w:p w14:paraId="75B1D4B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37 (1.09)</w:t>
            </w:r>
          </w:p>
        </w:tc>
        <w:tc>
          <w:tcPr>
            <w:tcW w:w="644" w:type="pct"/>
            <w:tcBorders>
              <w:tl2br w:val="nil"/>
              <w:tr2bl w:val="nil"/>
            </w:tcBorders>
            <w:shd w:val="clear" w:color="auto" w:fill="auto"/>
            <w:noWrap/>
            <w:vAlign w:val="bottom"/>
          </w:tcPr>
          <w:p w14:paraId="29BFCA5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 (0.56)</w:t>
            </w:r>
          </w:p>
        </w:tc>
        <w:tc>
          <w:tcPr>
            <w:tcW w:w="468" w:type="pct"/>
            <w:tcBorders>
              <w:tl2br w:val="nil"/>
              <w:tr2bl w:val="nil"/>
            </w:tcBorders>
            <w:shd w:val="clear" w:color="auto" w:fill="auto"/>
            <w:noWrap/>
            <w:vAlign w:val="bottom"/>
          </w:tcPr>
          <w:p w14:paraId="3E0E023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 (2.27)</w:t>
            </w:r>
          </w:p>
        </w:tc>
        <w:tc>
          <w:tcPr>
            <w:tcW w:w="247" w:type="pct"/>
            <w:tcBorders>
              <w:tl2br w:val="nil"/>
              <w:tr2bl w:val="nil"/>
            </w:tcBorders>
            <w:shd w:val="clear" w:color="auto" w:fill="auto"/>
            <w:noWrap/>
            <w:vAlign w:val="bottom"/>
          </w:tcPr>
          <w:p w14:paraId="25B358B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D12E6C4">
            <w:pPr>
              <w:rPr>
                <w:rFonts w:hint="default" w:ascii="Times New Roman" w:hAnsi="Times New Roman" w:eastAsia="宋体" w:cs="Times New Roman"/>
                <w:b w:val="0"/>
                <w:bCs w:val="0"/>
                <w:i w:val="0"/>
                <w:iCs w:val="0"/>
                <w:color w:val="auto"/>
                <w:sz w:val="21"/>
                <w:szCs w:val="21"/>
                <w:u w:val="none"/>
              </w:rPr>
            </w:pPr>
          </w:p>
        </w:tc>
      </w:tr>
      <w:tr w14:paraId="56F59B4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73" w:type="pct"/>
            <w:tcBorders>
              <w:tl2br w:val="nil"/>
              <w:tr2bl w:val="nil"/>
            </w:tcBorders>
            <w:shd w:val="clear" w:color="auto" w:fill="auto"/>
            <w:noWrap/>
            <w:vAlign w:val="bottom"/>
          </w:tcPr>
          <w:p w14:paraId="275FC93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Annual average</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household income (ten thousand yuan)</w:t>
            </w:r>
          </w:p>
        </w:tc>
        <w:tc>
          <w:tcPr>
            <w:tcW w:w="468" w:type="pct"/>
            <w:tcBorders>
              <w:tl2br w:val="nil"/>
              <w:tr2bl w:val="nil"/>
            </w:tcBorders>
            <w:shd w:val="clear" w:color="auto" w:fill="auto"/>
            <w:noWrap/>
            <w:vAlign w:val="bottom"/>
          </w:tcPr>
          <w:p w14:paraId="568401CA">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37635B00">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4CB0E827">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4113D179">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5026AC00">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6DB4812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35.426</w:t>
            </w:r>
          </w:p>
        </w:tc>
        <w:tc>
          <w:tcPr>
            <w:tcW w:w="211" w:type="pct"/>
            <w:tcBorders>
              <w:tl2br w:val="nil"/>
              <w:tr2bl w:val="nil"/>
            </w:tcBorders>
            <w:shd w:val="clear" w:color="auto" w:fill="auto"/>
            <w:noWrap/>
            <w:vAlign w:val="bottom"/>
          </w:tcPr>
          <w:p w14:paraId="1405D21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r w14:paraId="6DF6061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9E106E0">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1-2.99</w:t>
            </w:r>
          </w:p>
        </w:tc>
        <w:tc>
          <w:tcPr>
            <w:tcW w:w="468" w:type="pct"/>
            <w:tcBorders>
              <w:tl2br w:val="nil"/>
              <w:tr2bl w:val="nil"/>
            </w:tcBorders>
            <w:shd w:val="clear" w:color="auto" w:fill="auto"/>
            <w:noWrap/>
            <w:vAlign w:val="bottom"/>
          </w:tcPr>
          <w:p w14:paraId="591223F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768 (8.31)</w:t>
            </w:r>
          </w:p>
        </w:tc>
        <w:tc>
          <w:tcPr>
            <w:tcW w:w="1293" w:type="pct"/>
            <w:tcBorders>
              <w:tl2br w:val="nil"/>
              <w:tr2bl w:val="nil"/>
            </w:tcBorders>
            <w:shd w:val="clear" w:color="auto" w:fill="auto"/>
            <w:noWrap/>
            <w:vAlign w:val="bottom"/>
          </w:tcPr>
          <w:p w14:paraId="10E80FB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414 (7.34)</w:t>
            </w:r>
          </w:p>
        </w:tc>
        <w:tc>
          <w:tcPr>
            <w:tcW w:w="692" w:type="pct"/>
            <w:tcBorders>
              <w:tl2br w:val="nil"/>
              <w:tr2bl w:val="nil"/>
            </w:tcBorders>
            <w:shd w:val="clear" w:color="auto" w:fill="auto"/>
            <w:noWrap/>
            <w:vAlign w:val="bottom"/>
          </w:tcPr>
          <w:p w14:paraId="245BD79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329 (9.73)</w:t>
            </w:r>
          </w:p>
        </w:tc>
        <w:tc>
          <w:tcPr>
            <w:tcW w:w="644" w:type="pct"/>
            <w:tcBorders>
              <w:tl2br w:val="nil"/>
              <w:tr2bl w:val="nil"/>
            </w:tcBorders>
            <w:shd w:val="clear" w:color="auto" w:fill="auto"/>
            <w:noWrap/>
            <w:vAlign w:val="bottom"/>
          </w:tcPr>
          <w:p w14:paraId="725C91C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23 (12.78)</w:t>
            </w:r>
          </w:p>
        </w:tc>
        <w:tc>
          <w:tcPr>
            <w:tcW w:w="468" w:type="pct"/>
            <w:tcBorders>
              <w:tl2br w:val="nil"/>
              <w:tr2bl w:val="nil"/>
            </w:tcBorders>
            <w:shd w:val="clear" w:color="auto" w:fill="auto"/>
            <w:noWrap/>
            <w:vAlign w:val="bottom"/>
          </w:tcPr>
          <w:p w14:paraId="6C2D885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 (4.55)</w:t>
            </w:r>
          </w:p>
        </w:tc>
        <w:tc>
          <w:tcPr>
            <w:tcW w:w="247" w:type="pct"/>
            <w:tcBorders>
              <w:tl2br w:val="nil"/>
              <w:tr2bl w:val="nil"/>
            </w:tcBorders>
            <w:shd w:val="clear" w:color="auto" w:fill="auto"/>
            <w:noWrap/>
            <w:vAlign w:val="bottom"/>
          </w:tcPr>
          <w:p w14:paraId="2A52EB6B">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6622B70">
            <w:pPr>
              <w:rPr>
                <w:rFonts w:hint="default" w:ascii="Times New Roman" w:hAnsi="Times New Roman" w:eastAsia="宋体" w:cs="Times New Roman"/>
                <w:b w:val="0"/>
                <w:bCs w:val="0"/>
                <w:i w:val="0"/>
                <w:iCs w:val="0"/>
                <w:color w:val="auto"/>
                <w:sz w:val="21"/>
                <w:szCs w:val="21"/>
                <w:u w:val="none"/>
              </w:rPr>
            </w:pPr>
          </w:p>
        </w:tc>
      </w:tr>
      <w:tr w14:paraId="5014868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E5DF2EF">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3-</w:t>
            </w:r>
            <w:r>
              <w:rPr>
                <w:rFonts w:hint="eastAsia" w:ascii="Times New Roman" w:hAnsi="Times New Roman" w:eastAsia="宋体" w:cs="Times New Roman"/>
                <w:b w:val="0"/>
                <w:bCs w:val="0"/>
                <w:i w:val="0"/>
                <w:iCs w:val="0"/>
                <w:color w:val="auto"/>
                <w:kern w:val="0"/>
                <w:sz w:val="21"/>
                <w:szCs w:val="21"/>
                <w:u w:val="none"/>
                <w:lang w:val="en-US" w:eastAsia="zh-CN" w:bidi="ar"/>
              </w:rPr>
              <w:t>6</w:t>
            </w:r>
            <w:r>
              <w:rPr>
                <w:rFonts w:hint="default" w:ascii="Times New Roman" w:hAnsi="Times New Roman" w:eastAsia="宋体" w:cs="Times New Roman"/>
                <w:b w:val="0"/>
                <w:bCs w:val="0"/>
                <w:i w:val="0"/>
                <w:iCs w:val="0"/>
                <w:color w:val="auto"/>
                <w:kern w:val="0"/>
                <w:sz w:val="21"/>
                <w:szCs w:val="21"/>
                <w:u w:val="none"/>
                <w:lang w:val="en-US" w:eastAsia="zh-CN" w:bidi="ar"/>
              </w:rPr>
              <w:t>.99</w:t>
            </w:r>
          </w:p>
        </w:tc>
        <w:tc>
          <w:tcPr>
            <w:tcW w:w="468" w:type="pct"/>
            <w:tcBorders>
              <w:tl2br w:val="nil"/>
              <w:tr2bl w:val="nil"/>
            </w:tcBorders>
            <w:shd w:val="clear" w:color="auto" w:fill="auto"/>
            <w:noWrap/>
            <w:vAlign w:val="bottom"/>
          </w:tcPr>
          <w:p w14:paraId="1AF28FD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2529 (27.36)</w:t>
            </w:r>
          </w:p>
        </w:tc>
        <w:tc>
          <w:tcPr>
            <w:tcW w:w="1293" w:type="pct"/>
            <w:tcBorders>
              <w:tl2br w:val="nil"/>
              <w:tr2bl w:val="nil"/>
            </w:tcBorders>
            <w:shd w:val="clear" w:color="auto" w:fill="auto"/>
            <w:noWrap/>
            <w:vAlign w:val="bottom"/>
          </w:tcPr>
          <w:p w14:paraId="3C3B19F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1523 (27.02)</w:t>
            </w:r>
          </w:p>
        </w:tc>
        <w:tc>
          <w:tcPr>
            <w:tcW w:w="692" w:type="pct"/>
            <w:tcBorders>
              <w:tl2br w:val="nil"/>
              <w:tr2bl w:val="nil"/>
            </w:tcBorders>
            <w:shd w:val="clear" w:color="auto" w:fill="auto"/>
            <w:noWrap/>
            <w:vAlign w:val="bottom"/>
          </w:tcPr>
          <w:p w14:paraId="04B65C5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935 (27.65)</w:t>
            </w:r>
          </w:p>
        </w:tc>
        <w:tc>
          <w:tcPr>
            <w:tcW w:w="644" w:type="pct"/>
            <w:tcBorders>
              <w:tl2br w:val="nil"/>
              <w:tr2bl w:val="nil"/>
            </w:tcBorders>
            <w:shd w:val="clear" w:color="auto" w:fill="auto"/>
            <w:noWrap/>
            <w:vAlign w:val="bottom"/>
          </w:tcPr>
          <w:p w14:paraId="05A29F2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60 (33.33)</w:t>
            </w:r>
          </w:p>
        </w:tc>
        <w:tc>
          <w:tcPr>
            <w:tcW w:w="468" w:type="pct"/>
            <w:tcBorders>
              <w:tl2br w:val="nil"/>
              <w:tr2bl w:val="nil"/>
            </w:tcBorders>
            <w:shd w:val="clear" w:color="auto" w:fill="auto"/>
            <w:noWrap/>
            <w:vAlign w:val="bottom"/>
          </w:tcPr>
          <w:p w14:paraId="59060D5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 (25.00)</w:t>
            </w:r>
          </w:p>
        </w:tc>
        <w:tc>
          <w:tcPr>
            <w:tcW w:w="247" w:type="pct"/>
            <w:tcBorders>
              <w:tl2br w:val="nil"/>
              <w:tr2bl w:val="nil"/>
            </w:tcBorders>
            <w:shd w:val="clear" w:color="auto" w:fill="auto"/>
            <w:noWrap/>
            <w:vAlign w:val="bottom"/>
          </w:tcPr>
          <w:p w14:paraId="49051CC6">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ABC77C6">
            <w:pPr>
              <w:rPr>
                <w:rFonts w:hint="default" w:ascii="Times New Roman" w:hAnsi="Times New Roman" w:eastAsia="宋体" w:cs="Times New Roman"/>
                <w:b w:val="0"/>
                <w:bCs w:val="0"/>
                <w:i w:val="0"/>
                <w:iCs w:val="0"/>
                <w:color w:val="auto"/>
                <w:sz w:val="21"/>
                <w:szCs w:val="21"/>
                <w:u w:val="none"/>
              </w:rPr>
            </w:pPr>
          </w:p>
        </w:tc>
      </w:tr>
      <w:tr w14:paraId="4B7E08B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B2B26A4">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eastAsia" w:ascii="Times New Roman" w:hAnsi="Times New Roman" w:eastAsia="宋体" w:cs="Times New Roman"/>
                <w:b w:val="0"/>
                <w:bCs w:val="0"/>
                <w:i w:val="0"/>
                <w:iCs w:val="0"/>
                <w:color w:val="auto"/>
                <w:kern w:val="0"/>
                <w:sz w:val="21"/>
                <w:szCs w:val="21"/>
                <w:u w:val="none"/>
                <w:lang w:val="en-US" w:eastAsia="zh-CN" w:bidi="ar"/>
              </w:rPr>
              <w:t>7</w:t>
            </w:r>
            <w:r>
              <w:rPr>
                <w:rFonts w:hint="default" w:ascii="Times New Roman" w:hAnsi="Times New Roman" w:eastAsia="宋体" w:cs="Times New Roman"/>
                <w:b w:val="0"/>
                <w:bCs w:val="0"/>
                <w:i w:val="0"/>
                <w:iCs w:val="0"/>
                <w:color w:val="auto"/>
                <w:kern w:val="0"/>
                <w:sz w:val="21"/>
                <w:szCs w:val="21"/>
                <w:u w:val="none"/>
                <w:lang w:val="en-US" w:eastAsia="zh-CN" w:bidi="ar"/>
              </w:rPr>
              <w:t>-10.99</w:t>
            </w:r>
          </w:p>
        </w:tc>
        <w:tc>
          <w:tcPr>
            <w:tcW w:w="468" w:type="pct"/>
            <w:tcBorders>
              <w:tl2br w:val="nil"/>
              <w:tr2bl w:val="nil"/>
            </w:tcBorders>
            <w:shd w:val="clear" w:color="auto" w:fill="auto"/>
            <w:noWrap/>
            <w:vAlign w:val="bottom"/>
          </w:tcPr>
          <w:p w14:paraId="465F9C4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2470 (26.72)</w:t>
            </w:r>
          </w:p>
        </w:tc>
        <w:tc>
          <w:tcPr>
            <w:tcW w:w="1293" w:type="pct"/>
            <w:tcBorders>
              <w:tl2br w:val="nil"/>
              <w:tr2bl w:val="nil"/>
            </w:tcBorders>
            <w:shd w:val="clear" w:color="auto" w:fill="auto"/>
            <w:noWrap/>
            <w:vAlign w:val="bottom"/>
          </w:tcPr>
          <w:p w14:paraId="2ACB6BD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1491 (26.45)</w:t>
            </w:r>
          </w:p>
        </w:tc>
        <w:tc>
          <w:tcPr>
            <w:tcW w:w="692" w:type="pct"/>
            <w:tcBorders>
              <w:tl2br w:val="nil"/>
              <w:tr2bl w:val="nil"/>
            </w:tcBorders>
            <w:shd w:val="clear" w:color="auto" w:fill="auto"/>
            <w:noWrap/>
            <w:vAlign w:val="bottom"/>
          </w:tcPr>
          <w:p w14:paraId="139AFA9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927 (27.41)</w:t>
            </w:r>
          </w:p>
        </w:tc>
        <w:tc>
          <w:tcPr>
            <w:tcW w:w="644" w:type="pct"/>
            <w:tcBorders>
              <w:tl2br w:val="nil"/>
              <w:tr2bl w:val="nil"/>
            </w:tcBorders>
            <w:shd w:val="clear" w:color="auto" w:fill="auto"/>
            <w:noWrap/>
            <w:vAlign w:val="bottom"/>
          </w:tcPr>
          <w:p w14:paraId="6EC56CC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40 (22.22)</w:t>
            </w:r>
          </w:p>
        </w:tc>
        <w:tc>
          <w:tcPr>
            <w:tcW w:w="468" w:type="pct"/>
            <w:tcBorders>
              <w:tl2br w:val="nil"/>
              <w:tr2bl w:val="nil"/>
            </w:tcBorders>
            <w:shd w:val="clear" w:color="auto" w:fill="auto"/>
            <w:noWrap/>
            <w:vAlign w:val="bottom"/>
          </w:tcPr>
          <w:p w14:paraId="08606A5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12 (27.27)</w:t>
            </w:r>
          </w:p>
        </w:tc>
        <w:tc>
          <w:tcPr>
            <w:tcW w:w="247" w:type="pct"/>
            <w:tcBorders>
              <w:tl2br w:val="nil"/>
              <w:tr2bl w:val="nil"/>
            </w:tcBorders>
            <w:shd w:val="clear" w:color="auto" w:fill="auto"/>
            <w:noWrap/>
            <w:vAlign w:val="bottom"/>
          </w:tcPr>
          <w:p w14:paraId="778116B2">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8D11A06">
            <w:pPr>
              <w:rPr>
                <w:rFonts w:hint="default" w:ascii="Times New Roman" w:hAnsi="Times New Roman" w:eastAsia="宋体" w:cs="Times New Roman"/>
                <w:b w:val="0"/>
                <w:bCs w:val="0"/>
                <w:i w:val="0"/>
                <w:iCs w:val="0"/>
                <w:color w:val="auto"/>
                <w:sz w:val="21"/>
                <w:szCs w:val="21"/>
                <w:u w:val="none"/>
              </w:rPr>
            </w:pPr>
          </w:p>
        </w:tc>
      </w:tr>
      <w:tr w14:paraId="4B77841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A4379DB">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w:t>
            </w:r>
            <w:r>
              <w:rPr>
                <w:rStyle w:val="10"/>
                <w:rFonts w:hint="default" w:ascii="Times New Roman" w:hAnsi="Times New Roman" w:eastAsia="宋体" w:cs="Times New Roman"/>
                <w:b w:val="0"/>
                <w:bCs w:val="0"/>
                <w:color w:val="auto"/>
                <w:sz w:val="21"/>
                <w:szCs w:val="21"/>
                <w:lang w:val="en-US" w:eastAsia="zh-CN" w:bidi="ar"/>
              </w:rPr>
              <w:t>11</w:t>
            </w:r>
          </w:p>
        </w:tc>
        <w:tc>
          <w:tcPr>
            <w:tcW w:w="468" w:type="pct"/>
            <w:tcBorders>
              <w:tl2br w:val="nil"/>
              <w:tr2bl w:val="nil"/>
            </w:tcBorders>
            <w:shd w:val="clear" w:color="auto" w:fill="auto"/>
            <w:noWrap/>
            <w:vAlign w:val="bottom"/>
          </w:tcPr>
          <w:p w14:paraId="7D6AC1B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3476 (37.61)</w:t>
            </w:r>
          </w:p>
        </w:tc>
        <w:tc>
          <w:tcPr>
            <w:tcW w:w="1293" w:type="pct"/>
            <w:tcBorders>
              <w:tl2br w:val="nil"/>
              <w:tr2bl w:val="nil"/>
            </w:tcBorders>
            <w:shd w:val="clear" w:color="auto" w:fill="auto"/>
            <w:noWrap/>
            <w:vAlign w:val="bottom"/>
          </w:tcPr>
          <w:p w14:paraId="037F6A9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2209 (39.19)</w:t>
            </w:r>
          </w:p>
        </w:tc>
        <w:tc>
          <w:tcPr>
            <w:tcW w:w="692" w:type="pct"/>
            <w:tcBorders>
              <w:tl2br w:val="nil"/>
              <w:tr2bl w:val="nil"/>
            </w:tcBorders>
            <w:shd w:val="clear" w:color="auto" w:fill="auto"/>
            <w:noWrap/>
            <w:vAlign w:val="bottom"/>
          </w:tcPr>
          <w:p w14:paraId="62017EB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1191 (35.22)</w:t>
            </w:r>
          </w:p>
        </w:tc>
        <w:tc>
          <w:tcPr>
            <w:tcW w:w="644" w:type="pct"/>
            <w:tcBorders>
              <w:tl2br w:val="nil"/>
              <w:tr2bl w:val="nil"/>
            </w:tcBorders>
            <w:shd w:val="clear" w:color="auto" w:fill="auto"/>
            <w:noWrap/>
            <w:vAlign w:val="bottom"/>
          </w:tcPr>
          <w:p w14:paraId="7C4783A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57 (31.67)</w:t>
            </w:r>
          </w:p>
        </w:tc>
        <w:tc>
          <w:tcPr>
            <w:tcW w:w="468" w:type="pct"/>
            <w:tcBorders>
              <w:tl2br w:val="nil"/>
              <w:tr2bl w:val="nil"/>
            </w:tcBorders>
            <w:shd w:val="clear" w:color="auto" w:fill="auto"/>
            <w:noWrap/>
            <w:vAlign w:val="bottom"/>
          </w:tcPr>
          <w:p w14:paraId="764AA8B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19 (43.18)</w:t>
            </w:r>
          </w:p>
        </w:tc>
        <w:tc>
          <w:tcPr>
            <w:tcW w:w="247" w:type="pct"/>
            <w:tcBorders>
              <w:tl2br w:val="nil"/>
              <w:tr2bl w:val="nil"/>
            </w:tcBorders>
            <w:shd w:val="clear" w:color="auto" w:fill="auto"/>
            <w:noWrap/>
            <w:vAlign w:val="bottom"/>
          </w:tcPr>
          <w:p w14:paraId="2AB90821">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3E064CC">
            <w:pPr>
              <w:rPr>
                <w:rFonts w:hint="default" w:ascii="Times New Roman" w:hAnsi="Times New Roman" w:eastAsia="宋体" w:cs="Times New Roman"/>
                <w:b w:val="0"/>
                <w:bCs w:val="0"/>
                <w:i w:val="0"/>
                <w:iCs w:val="0"/>
                <w:color w:val="auto"/>
                <w:sz w:val="21"/>
                <w:szCs w:val="21"/>
                <w:u w:val="none"/>
              </w:rPr>
            </w:pPr>
          </w:p>
        </w:tc>
      </w:tr>
      <w:tr w14:paraId="2EC0978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FA3F16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Smoking</w:t>
            </w:r>
          </w:p>
        </w:tc>
        <w:tc>
          <w:tcPr>
            <w:tcW w:w="468" w:type="pct"/>
            <w:tcBorders>
              <w:tl2br w:val="nil"/>
              <w:tr2bl w:val="nil"/>
            </w:tcBorders>
            <w:shd w:val="clear" w:color="auto" w:fill="auto"/>
            <w:noWrap/>
            <w:vAlign w:val="bottom"/>
          </w:tcPr>
          <w:p w14:paraId="303863B9">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4B6F0047">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377246FD">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307061BC">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4DA14368">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0518915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80.403</w:t>
            </w:r>
          </w:p>
        </w:tc>
        <w:tc>
          <w:tcPr>
            <w:tcW w:w="211" w:type="pct"/>
            <w:tcBorders>
              <w:tl2br w:val="nil"/>
              <w:tr2bl w:val="nil"/>
            </w:tcBorders>
            <w:shd w:val="clear" w:color="auto" w:fill="auto"/>
            <w:noWrap/>
            <w:vAlign w:val="bottom"/>
          </w:tcPr>
          <w:p w14:paraId="464B08C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r w14:paraId="5B4B794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73" w:type="pct"/>
            <w:tcBorders>
              <w:tl2br w:val="nil"/>
              <w:tr2bl w:val="nil"/>
            </w:tcBorders>
            <w:shd w:val="clear" w:color="auto" w:fill="auto"/>
            <w:noWrap/>
            <w:vAlign w:val="bottom"/>
          </w:tcPr>
          <w:p w14:paraId="6D6F1FF6">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198190C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7254 (78.48)</w:t>
            </w:r>
          </w:p>
        </w:tc>
        <w:tc>
          <w:tcPr>
            <w:tcW w:w="1293" w:type="pct"/>
            <w:tcBorders>
              <w:tl2br w:val="nil"/>
              <w:tr2bl w:val="nil"/>
            </w:tcBorders>
            <w:shd w:val="clear" w:color="auto" w:fill="auto"/>
            <w:noWrap/>
            <w:vAlign w:val="bottom"/>
          </w:tcPr>
          <w:p w14:paraId="6A6B449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4574 (81.14)</w:t>
            </w:r>
          </w:p>
        </w:tc>
        <w:tc>
          <w:tcPr>
            <w:tcW w:w="692" w:type="pct"/>
            <w:tcBorders>
              <w:tl2br w:val="nil"/>
              <w:tr2bl w:val="nil"/>
            </w:tcBorders>
            <w:shd w:val="clear" w:color="auto" w:fill="auto"/>
            <w:noWrap/>
            <w:vAlign w:val="bottom"/>
          </w:tcPr>
          <w:p w14:paraId="0FE6D52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2540 (75.10)</w:t>
            </w:r>
          </w:p>
        </w:tc>
        <w:tc>
          <w:tcPr>
            <w:tcW w:w="644" w:type="pct"/>
            <w:tcBorders>
              <w:tl2br w:val="nil"/>
              <w:tr2bl w:val="nil"/>
            </w:tcBorders>
            <w:shd w:val="clear" w:color="auto" w:fill="auto"/>
            <w:noWrap/>
            <w:vAlign w:val="bottom"/>
          </w:tcPr>
          <w:p w14:paraId="23936D4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113 (62.78)</w:t>
            </w:r>
          </w:p>
        </w:tc>
        <w:tc>
          <w:tcPr>
            <w:tcW w:w="468" w:type="pct"/>
            <w:tcBorders>
              <w:tl2br w:val="nil"/>
              <w:tr2bl w:val="nil"/>
            </w:tcBorders>
            <w:shd w:val="clear" w:color="auto" w:fill="auto"/>
            <w:noWrap/>
            <w:vAlign w:val="bottom"/>
          </w:tcPr>
          <w:p w14:paraId="02AFF7A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27 (61.36)</w:t>
            </w:r>
          </w:p>
        </w:tc>
        <w:tc>
          <w:tcPr>
            <w:tcW w:w="247" w:type="pct"/>
            <w:tcBorders>
              <w:tl2br w:val="nil"/>
              <w:tr2bl w:val="nil"/>
            </w:tcBorders>
            <w:shd w:val="clear" w:color="auto" w:fill="auto"/>
            <w:noWrap/>
            <w:vAlign w:val="bottom"/>
          </w:tcPr>
          <w:p w14:paraId="7E66328D">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78CB002">
            <w:pPr>
              <w:rPr>
                <w:rFonts w:hint="default" w:ascii="Times New Roman" w:hAnsi="Times New Roman" w:eastAsia="宋体" w:cs="Times New Roman"/>
                <w:b w:val="0"/>
                <w:bCs w:val="0"/>
                <w:i w:val="0"/>
                <w:iCs w:val="0"/>
                <w:color w:val="auto"/>
                <w:sz w:val="21"/>
                <w:szCs w:val="21"/>
                <w:u w:val="none"/>
              </w:rPr>
            </w:pPr>
          </w:p>
        </w:tc>
      </w:tr>
      <w:tr w14:paraId="684E835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2A26D92">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eastAsia="zh-CN"/>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454F6E8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1989 (21.52)</w:t>
            </w:r>
          </w:p>
        </w:tc>
        <w:tc>
          <w:tcPr>
            <w:tcW w:w="1293" w:type="pct"/>
            <w:tcBorders>
              <w:tl2br w:val="nil"/>
              <w:tr2bl w:val="nil"/>
            </w:tcBorders>
            <w:shd w:val="clear" w:color="auto" w:fill="auto"/>
            <w:noWrap/>
            <w:vAlign w:val="bottom"/>
          </w:tcPr>
          <w:p w14:paraId="7EB65BE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1063 (18.86)</w:t>
            </w:r>
          </w:p>
        </w:tc>
        <w:tc>
          <w:tcPr>
            <w:tcW w:w="692" w:type="pct"/>
            <w:tcBorders>
              <w:tl2br w:val="nil"/>
              <w:tr2bl w:val="nil"/>
            </w:tcBorders>
            <w:shd w:val="clear" w:color="auto" w:fill="auto"/>
            <w:noWrap/>
            <w:vAlign w:val="bottom"/>
          </w:tcPr>
          <w:p w14:paraId="5C67F03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842 (24.90)</w:t>
            </w:r>
          </w:p>
        </w:tc>
        <w:tc>
          <w:tcPr>
            <w:tcW w:w="644" w:type="pct"/>
            <w:tcBorders>
              <w:tl2br w:val="nil"/>
              <w:tr2bl w:val="nil"/>
            </w:tcBorders>
            <w:shd w:val="clear" w:color="auto" w:fill="auto"/>
            <w:noWrap/>
            <w:vAlign w:val="bottom"/>
          </w:tcPr>
          <w:p w14:paraId="173F9C2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67 (37.22)</w:t>
            </w:r>
          </w:p>
        </w:tc>
        <w:tc>
          <w:tcPr>
            <w:tcW w:w="468" w:type="pct"/>
            <w:tcBorders>
              <w:tl2br w:val="nil"/>
              <w:tr2bl w:val="nil"/>
            </w:tcBorders>
            <w:shd w:val="clear" w:color="auto" w:fill="auto"/>
            <w:noWrap/>
            <w:vAlign w:val="bottom"/>
          </w:tcPr>
          <w:p w14:paraId="4DD178D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 (38.64)</w:t>
            </w:r>
          </w:p>
        </w:tc>
        <w:tc>
          <w:tcPr>
            <w:tcW w:w="247" w:type="pct"/>
            <w:tcBorders>
              <w:tl2br w:val="nil"/>
              <w:tr2bl w:val="nil"/>
            </w:tcBorders>
            <w:shd w:val="clear" w:color="auto" w:fill="auto"/>
            <w:noWrap/>
            <w:vAlign w:val="bottom"/>
          </w:tcPr>
          <w:p w14:paraId="3D5E3920">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A5CFEB0">
            <w:pPr>
              <w:rPr>
                <w:rFonts w:hint="default" w:ascii="Times New Roman" w:hAnsi="Times New Roman" w:eastAsia="宋体" w:cs="Times New Roman"/>
                <w:b w:val="0"/>
                <w:bCs w:val="0"/>
                <w:i w:val="0"/>
                <w:iCs w:val="0"/>
                <w:color w:val="auto"/>
                <w:sz w:val="21"/>
                <w:szCs w:val="21"/>
                <w:u w:val="none"/>
              </w:rPr>
            </w:pPr>
          </w:p>
        </w:tc>
      </w:tr>
      <w:tr w14:paraId="3D883F4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1123F0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Alcohol drinking</w:t>
            </w:r>
          </w:p>
        </w:tc>
        <w:tc>
          <w:tcPr>
            <w:tcW w:w="468" w:type="pct"/>
            <w:tcBorders>
              <w:tl2br w:val="nil"/>
              <w:tr2bl w:val="nil"/>
            </w:tcBorders>
            <w:shd w:val="clear" w:color="auto" w:fill="auto"/>
            <w:noWrap/>
            <w:vAlign w:val="bottom"/>
          </w:tcPr>
          <w:p w14:paraId="430AB628">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32EE9E8C">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51A05D46">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59AE7C72">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68B8B879">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1B5C93E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32.515</w:t>
            </w:r>
          </w:p>
        </w:tc>
        <w:tc>
          <w:tcPr>
            <w:tcW w:w="211" w:type="pct"/>
            <w:tcBorders>
              <w:tl2br w:val="nil"/>
              <w:tr2bl w:val="nil"/>
            </w:tcBorders>
            <w:shd w:val="clear" w:color="auto" w:fill="auto"/>
            <w:noWrap/>
            <w:vAlign w:val="bottom"/>
          </w:tcPr>
          <w:p w14:paraId="13E88C9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r w14:paraId="5ECA368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CC7F84B">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10BC44E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7464 (80.75)</w:t>
            </w:r>
          </w:p>
        </w:tc>
        <w:tc>
          <w:tcPr>
            <w:tcW w:w="1293" w:type="pct"/>
            <w:tcBorders>
              <w:tl2br w:val="nil"/>
              <w:tr2bl w:val="nil"/>
            </w:tcBorders>
            <w:shd w:val="clear" w:color="auto" w:fill="auto"/>
            <w:noWrap/>
            <w:vAlign w:val="bottom"/>
          </w:tcPr>
          <w:p w14:paraId="7302689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4641 (82.33)</w:t>
            </w:r>
          </w:p>
        </w:tc>
        <w:tc>
          <w:tcPr>
            <w:tcW w:w="692" w:type="pct"/>
            <w:tcBorders>
              <w:tl2br w:val="nil"/>
              <w:tr2bl w:val="nil"/>
            </w:tcBorders>
            <w:shd w:val="clear" w:color="auto" w:fill="auto"/>
            <w:noWrap/>
            <w:vAlign w:val="bottom"/>
          </w:tcPr>
          <w:p w14:paraId="78A1352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2663 (78.74)</w:t>
            </w:r>
          </w:p>
        </w:tc>
        <w:tc>
          <w:tcPr>
            <w:tcW w:w="644" w:type="pct"/>
            <w:tcBorders>
              <w:tl2br w:val="nil"/>
              <w:tr2bl w:val="nil"/>
            </w:tcBorders>
            <w:shd w:val="clear" w:color="auto" w:fill="auto"/>
            <w:noWrap/>
            <w:vAlign w:val="bottom"/>
          </w:tcPr>
          <w:p w14:paraId="483431A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132 (73.33)</w:t>
            </w:r>
          </w:p>
        </w:tc>
        <w:tc>
          <w:tcPr>
            <w:tcW w:w="468" w:type="pct"/>
            <w:tcBorders>
              <w:tl2br w:val="nil"/>
              <w:tr2bl w:val="nil"/>
            </w:tcBorders>
            <w:shd w:val="clear" w:color="auto" w:fill="auto"/>
            <w:noWrap/>
            <w:vAlign w:val="bottom"/>
          </w:tcPr>
          <w:p w14:paraId="0F769C9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28 (63.64)</w:t>
            </w:r>
          </w:p>
        </w:tc>
        <w:tc>
          <w:tcPr>
            <w:tcW w:w="247" w:type="pct"/>
            <w:tcBorders>
              <w:tl2br w:val="nil"/>
              <w:tr2bl w:val="nil"/>
            </w:tcBorders>
            <w:shd w:val="clear" w:color="auto" w:fill="auto"/>
            <w:noWrap/>
            <w:vAlign w:val="bottom"/>
          </w:tcPr>
          <w:p w14:paraId="51675B6F">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CCA4A94">
            <w:pPr>
              <w:rPr>
                <w:rFonts w:hint="default" w:ascii="Times New Roman" w:hAnsi="Times New Roman" w:eastAsia="宋体" w:cs="Times New Roman"/>
                <w:b w:val="0"/>
                <w:bCs w:val="0"/>
                <w:i w:val="0"/>
                <w:iCs w:val="0"/>
                <w:color w:val="auto"/>
                <w:sz w:val="21"/>
                <w:szCs w:val="21"/>
                <w:u w:val="none"/>
              </w:rPr>
            </w:pPr>
          </w:p>
        </w:tc>
      </w:tr>
      <w:tr w14:paraId="418667E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42651E9">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4A2494D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1779 (19.25)</w:t>
            </w:r>
          </w:p>
        </w:tc>
        <w:tc>
          <w:tcPr>
            <w:tcW w:w="1293" w:type="pct"/>
            <w:tcBorders>
              <w:tl2br w:val="nil"/>
              <w:tr2bl w:val="nil"/>
            </w:tcBorders>
            <w:shd w:val="clear" w:color="auto" w:fill="auto"/>
            <w:noWrap/>
            <w:vAlign w:val="bottom"/>
          </w:tcPr>
          <w:p w14:paraId="386F56D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996 (17.67)</w:t>
            </w:r>
          </w:p>
        </w:tc>
        <w:tc>
          <w:tcPr>
            <w:tcW w:w="692" w:type="pct"/>
            <w:tcBorders>
              <w:tl2br w:val="nil"/>
              <w:tr2bl w:val="nil"/>
            </w:tcBorders>
            <w:shd w:val="clear" w:color="auto" w:fill="auto"/>
            <w:noWrap/>
            <w:vAlign w:val="bottom"/>
          </w:tcPr>
          <w:p w14:paraId="7ECDB3F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719 (21.26)</w:t>
            </w:r>
          </w:p>
        </w:tc>
        <w:tc>
          <w:tcPr>
            <w:tcW w:w="644" w:type="pct"/>
            <w:tcBorders>
              <w:tl2br w:val="nil"/>
              <w:tr2bl w:val="nil"/>
            </w:tcBorders>
            <w:shd w:val="clear" w:color="auto" w:fill="auto"/>
            <w:noWrap/>
            <w:vAlign w:val="bottom"/>
          </w:tcPr>
          <w:p w14:paraId="0E14325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48 (26.67)</w:t>
            </w:r>
          </w:p>
        </w:tc>
        <w:tc>
          <w:tcPr>
            <w:tcW w:w="468" w:type="pct"/>
            <w:tcBorders>
              <w:tl2br w:val="nil"/>
              <w:tr2bl w:val="nil"/>
            </w:tcBorders>
            <w:shd w:val="clear" w:color="auto" w:fill="auto"/>
            <w:noWrap/>
            <w:vAlign w:val="bottom"/>
          </w:tcPr>
          <w:p w14:paraId="45F98F4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 (36.36)</w:t>
            </w:r>
          </w:p>
        </w:tc>
        <w:tc>
          <w:tcPr>
            <w:tcW w:w="247" w:type="pct"/>
            <w:tcBorders>
              <w:tl2br w:val="nil"/>
              <w:tr2bl w:val="nil"/>
            </w:tcBorders>
            <w:shd w:val="clear" w:color="auto" w:fill="auto"/>
            <w:noWrap/>
            <w:vAlign w:val="bottom"/>
          </w:tcPr>
          <w:p w14:paraId="7008359E">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3A7FB95E">
            <w:pPr>
              <w:rPr>
                <w:rFonts w:hint="default" w:ascii="Times New Roman" w:hAnsi="Times New Roman" w:eastAsia="宋体" w:cs="Times New Roman"/>
                <w:b w:val="0"/>
                <w:bCs w:val="0"/>
                <w:i w:val="0"/>
                <w:iCs w:val="0"/>
                <w:color w:val="auto"/>
                <w:sz w:val="21"/>
                <w:szCs w:val="21"/>
                <w:u w:val="none"/>
              </w:rPr>
            </w:pPr>
          </w:p>
        </w:tc>
      </w:tr>
      <w:tr w14:paraId="7D09B82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B24158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Tea drinking</w:t>
            </w:r>
          </w:p>
        </w:tc>
        <w:tc>
          <w:tcPr>
            <w:tcW w:w="468" w:type="pct"/>
            <w:tcBorders>
              <w:tl2br w:val="nil"/>
              <w:tr2bl w:val="nil"/>
            </w:tcBorders>
            <w:shd w:val="clear" w:color="auto" w:fill="auto"/>
            <w:noWrap/>
            <w:vAlign w:val="bottom"/>
          </w:tcPr>
          <w:p w14:paraId="6F9C9869">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42090877">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5801B4F0">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1140463E">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35BD83E2">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5F36115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31.948</w:t>
            </w:r>
          </w:p>
        </w:tc>
        <w:tc>
          <w:tcPr>
            <w:tcW w:w="211" w:type="pct"/>
            <w:tcBorders>
              <w:tl2br w:val="nil"/>
              <w:tr2bl w:val="nil"/>
            </w:tcBorders>
            <w:shd w:val="clear" w:color="auto" w:fill="auto"/>
            <w:noWrap/>
            <w:vAlign w:val="bottom"/>
          </w:tcPr>
          <w:p w14:paraId="446E426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r w14:paraId="0FB26AA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B5017A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7DC9ED1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7571 (81.91)</w:t>
            </w:r>
          </w:p>
        </w:tc>
        <w:tc>
          <w:tcPr>
            <w:tcW w:w="1293" w:type="pct"/>
            <w:tcBorders>
              <w:tl2br w:val="nil"/>
              <w:tr2bl w:val="nil"/>
            </w:tcBorders>
            <w:shd w:val="clear" w:color="auto" w:fill="auto"/>
            <w:noWrap/>
            <w:vAlign w:val="bottom"/>
          </w:tcPr>
          <w:p w14:paraId="2158411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4695 (83.29)</w:t>
            </w:r>
          </w:p>
        </w:tc>
        <w:tc>
          <w:tcPr>
            <w:tcW w:w="692" w:type="pct"/>
            <w:tcBorders>
              <w:tl2br w:val="nil"/>
              <w:tr2bl w:val="nil"/>
            </w:tcBorders>
            <w:shd w:val="clear" w:color="auto" w:fill="auto"/>
            <w:noWrap/>
            <w:vAlign w:val="bottom"/>
          </w:tcPr>
          <w:p w14:paraId="0492456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2716 (80.31)</w:t>
            </w:r>
          </w:p>
        </w:tc>
        <w:tc>
          <w:tcPr>
            <w:tcW w:w="644" w:type="pct"/>
            <w:tcBorders>
              <w:tl2br w:val="nil"/>
              <w:tr2bl w:val="nil"/>
            </w:tcBorders>
            <w:shd w:val="clear" w:color="auto" w:fill="auto"/>
            <w:noWrap/>
            <w:vAlign w:val="bottom"/>
          </w:tcPr>
          <w:p w14:paraId="7D52868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132 (73.33)</w:t>
            </w:r>
          </w:p>
        </w:tc>
        <w:tc>
          <w:tcPr>
            <w:tcW w:w="468" w:type="pct"/>
            <w:tcBorders>
              <w:tl2br w:val="nil"/>
              <w:tr2bl w:val="nil"/>
            </w:tcBorders>
            <w:shd w:val="clear" w:color="auto" w:fill="auto"/>
            <w:noWrap/>
            <w:vAlign w:val="bottom"/>
          </w:tcPr>
          <w:p w14:paraId="0385BCF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28 (63.64)</w:t>
            </w:r>
          </w:p>
        </w:tc>
        <w:tc>
          <w:tcPr>
            <w:tcW w:w="247" w:type="pct"/>
            <w:tcBorders>
              <w:tl2br w:val="nil"/>
              <w:tr2bl w:val="nil"/>
            </w:tcBorders>
            <w:shd w:val="clear" w:color="auto" w:fill="auto"/>
            <w:noWrap/>
            <w:vAlign w:val="bottom"/>
          </w:tcPr>
          <w:p w14:paraId="31EE2E8F">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CE88602">
            <w:pPr>
              <w:rPr>
                <w:rFonts w:hint="default" w:ascii="Times New Roman" w:hAnsi="Times New Roman" w:eastAsia="宋体" w:cs="Times New Roman"/>
                <w:b w:val="0"/>
                <w:bCs w:val="0"/>
                <w:i w:val="0"/>
                <w:iCs w:val="0"/>
                <w:color w:val="auto"/>
                <w:sz w:val="21"/>
                <w:szCs w:val="21"/>
                <w:u w:val="none"/>
              </w:rPr>
            </w:pPr>
          </w:p>
        </w:tc>
      </w:tr>
      <w:tr w14:paraId="6D1D944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B7DB114">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102CD5E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1672 (18.09)</w:t>
            </w:r>
          </w:p>
        </w:tc>
        <w:tc>
          <w:tcPr>
            <w:tcW w:w="1293" w:type="pct"/>
            <w:tcBorders>
              <w:tl2br w:val="nil"/>
              <w:tr2bl w:val="nil"/>
            </w:tcBorders>
            <w:shd w:val="clear" w:color="auto" w:fill="auto"/>
            <w:noWrap/>
            <w:vAlign w:val="bottom"/>
          </w:tcPr>
          <w:p w14:paraId="133565C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942 (16.71)</w:t>
            </w:r>
          </w:p>
        </w:tc>
        <w:tc>
          <w:tcPr>
            <w:tcW w:w="692" w:type="pct"/>
            <w:tcBorders>
              <w:tl2br w:val="nil"/>
              <w:tr2bl w:val="nil"/>
            </w:tcBorders>
            <w:shd w:val="clear" w:color="auto" w:fill="auto"/>
            <w:noWrap/>
            <w:vAlign w:val="bottom"/>
          </w:tcPr>
          <w:p w14:paraId="04A805D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666 (19.69)</w:t>
            </w:r>
          </w:p>
        </w:tc>
        <w:tc>
          <w:tcPr>
            <w:tcW w:w="644" w:type="pct"/>
            <w:tcBorders>
              <w:tl2br w:val="nil"/>
              <w:tr2bl w:val="nil"/>
            </w:tcBorders>
            <w:shd w:val="clear" w:color="auto" w:fill="auto"/>
            <w:noWrap/>
            <w:vAlign w:val="bottom"/>
          </w:tcPr>
          <w:p w14:paraId="7E62502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48 (26.67)</w:t>
            </w:r>
          </w:p>
        </w:tc>
        <w:tc>
          <w:tcPr>
            <w:tcW w:w="468" w:type="pct"/>
            <w:tcBorders>
              <w:tl2br w:val="nil"/>
              <w:tr2bl w:val="nil"/>
            </w:tcBorders>
            <w:shd w:val="clear" w:color="auto" w:fill="auto"/>
            <w:noWrap/>
            <w:vAlign w:val="bottom"/>
          </w:tcPr>
          <w:p w14:paraId="55F4694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 (36.36)</w:t>
            </w:r>
          </w:p>
        </w:tc>
        <w:tc>
          <w:tcPr>
            <w:tcW w:w="247" w:type="pct"/>
            <w:tcBorders>
              <w:tl2br w:val="nil"/>
              <w:tr2bl w:val="nil"/>
            </w:tcBorders>
            <w:shd w:val="clear" w:color="auto" w:fill="auto"/>
            <w:noWrap/>
            <w:vAlign w:val="bottom"/>
          </w:tcPr>
          <w:p w14:paraId="7E7B0BFC">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E58E769">
            <w:pPr>
              <w:rPr>
                <w:rFonts w:hint="default" w:ascii="Times New Roman" w:hAnsi="Times New Roman" w:eastAsia="宋体" w:cs="Times New Roman"/>
                <w:b w:val="0"/>
                <w:bCs w:val="0"/>
                <w:i w:val="0"/>
                <w:iCs w:val="0"/>
                <w:color w:val="auto"/>
                <w:sz w:val="21"/>
                <w:szCs w:val="21"/>
                <w:u w:val="none"/>
              </w:rPr>
            </w:pPr>
          </w:p>
        </w:tc>
      </w:tr>
      <w:tr w14:paraId="67B601C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6B63CD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Adequate intake of vegetables and fruits</w:t>
            </w:r>
          </w:p>
        </w:tc>
        <w:tc>
          <w:tcPr>
            <w:tcW w:w="468" w:type="pct"/>
            <w:tcBorders>
              <w:tl2br w:val="nil"/>
              <w:tr2bl w:val="nil"/>
            </w:tcBorders>
            <w:shd w:val="clear" w:color="auto" w:fill="auto"/>
            <w:noWrap/>
            <w:vAlign w:val="bottom"/>
          </w:tcPr>
          <w:p w14:paraId="1155782E">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6E16EA6F">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6655A310">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3F012C86">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09F0013A">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220BE6E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2.027</w:t>
            </w:r>
          </w:p>
        </w:tc>
        <w:tc>
          <w:tcPr>
            <w:tcW w:w="211" w:type="pct"/>
            <w:tcBorders>
              <w:tl2br w:val="nil"/>
              <w:tr2bl w:val="nil"/>
            </w:tcBorders>
            <w:shd w:val="clear" w:color="auto" w:fill="auto"/>
            <w:noWrap/>
            <w:vAlign w:val="bottom"/>
          </w:tcPr>
          <w:p w14:paraId="3188B51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0.567</w:t>
            </w:r>
          </w:p>
        </w:tc>
      </w:tr>
      <w:tr w14:paraId="60903A9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B39E449">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7BCF4D2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8583 (92.86)</w:t>
            </w:r>
          </w:p>
        </w:tc>
        <w:tc>
          <w:tcPr>
            <w:tcW w:w="1293" w:type="pct"/>
            <w:tcBorders>
              <w:tl2br w:val="nil"/>
              <w:tr2bl w:val="nil"/>
            </w:tcBorders>
            <w:shd w:val="clear" w:color="auto" w:fill="auto"/>
            <w:noWrap/>
            <w:vAlign w:val="bottom"/>
          </w:tcPr>
          <w:p w14:paraId="1E2A09F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5219 (92.58)</w:t>
            </w:r>
          </w:p>
        </w:tc>
        <w:tc>
          <w:tcPr>
            <w:tcW w:w="692" w:type="pct"/>
            <w:tcBorders>
              <w:tl2br w:val="nil"/>
              <w:tr2bl w:val="nil"/>
            </w:tcBorders>
            <w:shd w:val="clear" w:color="auto" w:fill="auto"/>
            <w:noWrap/>
            <w:vAlign w:val="bottom"/>
          </w:tcPr>
          <w:p w14:paraId="3E77551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3153 (93.23)</w:t>
            </w:r>
          </w:p>
        </w:tc>
        <w:tc>
          <w:tcPr>
            <w:tcW w:w="644" w:type="pct"/>
            <w:tcBorders>
              <w:tl2br w:val="nil"/>
              <w:tr2bl w:val="nil"/>
            </w:tcBorders>
            <w:shd w:val="clear" w:color="auto" w:fill="auto"/>
            <w:noWrap/>
            <w:vAlign w:val="bottom"/>
          </w:tcPr>
          <w:p w14:paraId="09121EB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170 (94.44)</w:t>
            </w:r>
          </w:p>
        </w:tc>
        <w:tc>
          <w:tcPr>
            <w:tcW w:w="468" w:type="pct"/>
            <w:tcBorders>
              <w:tl2br w:val="nil"/>
              <w:tr2bl w:val="nil"/>
            </w:tcBorders>
            <w:shd w:val="clear" w:color="auto" w:fill="auto"/>
            <w:noWrap/>
            <w:vAlign w:val="bottom"/>
          </w:tcPr>
          <w:p w14:paraId="4330E0C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41 (93.18)</w:t>
            </w:r>
          </w:p>
        </w:tc>
        <w:tc>
          <w:tcPr>
            <w:tcW w:w="247" w:type="pct"/>
            <w:tcBorders>
              <w:tl2br w:val="nil"/>
              <w:tr2bl w:val="nil"/>
            </w:tcBorders>
            <w:shd w:val="clear" w:color="auto" w:fill="auto"/>
            <w:noWrap/>
            <w:vAlign w:val="bottom"/>
          </w:tcPr>
          <w:p w14:paraId="02ED671F">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1C81C1A4">
            <w:pPr>
              <w:rPr>
                <w:rFonts w:hint="default" w:ascii="Times New Roman" w:hAnsi="Times New Roman" w:eastAsia="宋体" w:cs="Times New Roman"/>
                <w:b w:val="0"/>
                <w:bCs w:val="0"/>
                <w:i w:val="0"/>
                <w:iCs w:val="0"/>
                <w:color w:val="auto"/>
                <w:sz w:val="21"/>
                <w:szCs w:val="21"/>
                <w:u w:val="none"/>
              </w:rPr>
            </w:pPr>
          </w:p>
        </w:tc>
      </w:tr>
      <w:tr w14:paraId="1316ACE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90A130E">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7D214CD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660 (7.14)</w:t>
            </w:r>
          </w:p>
        </w:tc>
        <w:tc>
          <w:tcPr>
            <w:tcW w:w="1293" w:type="pct"/>
            <w:tcBorders>
              <w:tl2br w:val="nil"/>
              <w:tr2bl w:val="nil"/>
            </w:tcBorders>
            <w:shd w:val="clear" w:color="auto" w:fill="auto"/>
            <w:noWrap/>
            <w:vAlign w:val="bottom"/>
          </w:tcPr>
          <w:p w14:paraId="3FEF50F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418 (7.42)</w:t>
            </w:r>
          </w:p>
        </w:tc>
        <w:tc>
          <w:tcPr>
            <w:tcW w:w="692" w:type="pct"/>
            <w:tcBorders>
              <w:tl2br w:val="nil"/>
              <w:tr2bl w:val="nil"/>
            </w:tcBorders>
            <w:shd w:val="clear" w:color="auto" w:fill="auto"/>
            <w:noWrap/>
            <w:vAlign w:val="bottom"/>
          </w:tcPr>
          <w:p w14:paraId="40BF37B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229 (6.77)</w:t>
            </w:r>
          </w:p>
        </w:tc>
        <w:tc>
          <w:tcPr>
            <w:tcW w:w="644" w:type="pct"/>
            <w:tcBorders>
              <w:tl2br w:val="nil"/>
              <w:tr2bl w:val="nil"/>
            </w:tcBorders>
            <w:shd w:val="clear" w:color="auto" w:fill="auto"/>
            <w:noWrap/>
            <w:vAlign w:val="bottom"/>
          </w:tcPr>
          <w:p w14:paraId="490122A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10 (5.56)</w:t>
            </w:r>
          </w:p>
        </w:tc>
        <w:tc>
          <w:tcPr>
            <w:tcW w:w="468" w:type="pct"/>
            <w:tcBorders>
              <w:tl2br w:val="nil"/>
              <w:tr2bl w:val="nil"/>
            </w:tcBorders>
            <w:shd w:val="clear" w:color="auto" w:fill="auto"/>
            <w:noWrap/>
            <w:vAlign w:val="bottom"/>
          </w:tcPr>
          <w:p w14:paraId="5A0FDD7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 (6.82)</w:t>
            </w:r>
          </w:p>
        </w:tc>
        <w:tc>
          <w:tcPr>
            <w:tcW w:w="247" w:type="pct"/>
            <w:tcBorders>
              <w:tl2br w:val="nil"/>
              <w:tr2bl w:val="nil"/>
            </w:tcBorders>
            <w:shd w:val="clear" w:color="auto" w:fill="auto"/>
            <w:noWrap/>
            <w:vAlign w:val="bottom"/>
          </w:tcPr>
          <w:p w14:paraId="65ADCE3B">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5D051F1">
            <w:pPr>
              <w:rPr>
                <w:rFonts w:hint="default" w:ascii="Times New Roman" w:hAnsi="Times New Roman" w:eastAsia="宋体" w:cs="Times New Roman"/>
                <w:b w:val="0"/>
                <w:bCs w:val="0"/>
                <w:i w:val="0"/>
                <w:iCs w:val="0"/>
                <w:color w:val="auto"/>
                <w:sz w:val="21"/>
                <w:szCs w:val="21"/>
                <w:u w:val="none"/>
              </w:rPr>
            </w:pPr>
          </w:p>
        </w:tc>
      </w:tr>
      <w:tr w14:paraId="14239BF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95CB3B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Livestock meat and products</w:t>
            </w:r>
          </w:p>
        </w:tc>
        <w:tc>
          <w:tcPr>
            <w:tcW w:w="468" w:type="pct"/>
            <w:tcBorders>
              <w:tl2br w:val="nil"/>
              <w:tr2bl w:val="nil"/>
            </w:tcBorders>
            <w:shd w:val="clear" w:color="auto" w:fill="auto"/>
            <w:noWrap/>
            <w:vAlign w:val="bottom"/>
          </w:tcPr>
          <w:p w14:paraId="09AECEEC">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409AD3A4">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6D11FAF0">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263C8A60">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71EE2406">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605E073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2.594</w:t>
            </w:r>
          </w:p>
        </w:tc>
        <w:tc>
          <w:tcPr>
            <w:tcW w:w="211" w:type="pct"/>
            <w:tcBorders>
              <w:tl2br w:val="nil"/>
              <w:tr2bl w:val="nil"/>
            </w:tcBorders>
            <w:shd w:val="clear" w:color="auto" w:fill="auto"/>
            <w:noWrap/>
            <w:vAlign w:val="bottom"/>
          </w:tcPr>
          <w:p w14:paraId="43E24C7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0.458</w:t>
            </w:r>
          </w:p>
        </w:tc>
      </w:tr>
      <w:tr w14:paraId="7646CA1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7863037">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0C84FE8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1912 (20.69)</w:t>
            </w:r>
          </w:p>
        </w:tc>
        <w:tc>
          <w:tcPr>
            <w:tcW w:w="1293" w:type="pct"/>
            <w:tcBorders>
              <w:tl2br w:val="nil"/>
              <w:tr2bl w:val="nil"/>
            </w:tcBorders>
            <w:shd w:val="clear" w:color="auto" w:fill="auto"/>
            <w:noWrap/>
            <w:vAlign w:val="bottom"/>
          </w:tcPr>
          <w:p w14:paraId="198013D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1168 (20.72)</w:t>
            </w:r>
          </w:p>
        </w:tc>
        <w:tc>
          <w:tcPr>
            <w:tcW w:w="692" w:type="pct"/>
            <w:tcBorders>
              <w:tl2br w:val="nil"/>
              <w:tr2bl w:val="nil"/>
            </w:tcBorders>
            <w:shd w:val="clear" w:color="auto" w:fill="auto"/>
            <w:noWrap/>
            <w:vAlign w:val="bottom"/>
          </w:tcPr>
          <w:p w14:paraId="4CD7DF7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699 (20.67)</w:t>
            </w:r>
          </w:p>
        </w:tc>
        <w:tc>
          <w:tcPr>
            <w:tcW w:w="644" w:type="pct"/>
            <w:tcBorders>
              <w:tl2br w:val="nil"/>
              <w:tr2bl w:val="nil"/>
            </w:tcBorders>
            <w:shd w:val="clear" w:color="auto" w:fill="auto"/>
            <w:noWrap/>
            <w:vAlign w:val="bottom"/>
          </w:tcPr>
          <w:p w14:paraId="2ECD866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40 (22.22)</w:t>
            </w:r>
          </w:p>
        </w:tc>
        <w:tc>
          <w:tcPr>
            <w:tcW w:w="468" w:type="pct"/>
            <w:tcBorders>
              <w:tl2br w:val="nil"/>
              <w:tr2bl w:val="nil"/>
            </w:tcBorders>
            <w:shd w:val="clear" w:color="auto" w:fill="auto"/>
            <w:noWrap/>
            <w:vAlign w:val="bottom"/>
          </w:tcPr>
          <w:p w14:paraId="517230D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 (11.36)</w:t>
            </w:r>
          </w:p>
        </w:tc>
        <w:tc>
          <w:tcPr>
            <w:tcW w:w="247" w:type="pct"/>
            <w:tcBorders>
              <w:tl2br w:val="nil"/>
              <w:tr2bl w:val="nil"/>
            </w:tcBorders>
            <w:shd w:val="clear" w:color="auto" w:fill="auto"/>
            <w:noWrap/>
            <w:vAlign w:val="bottom"/>
          </w:tcPr>
          <w:p w14:paraId="0584324A">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AB54893">
            <w:pPr>
              <w:rPr>
                <w:rFonts w:hint="default" w:ascii="Times New Roman" w:hAnsi="Times New Roman" w:eastAsia="宋体" w:cs="Times New Roman"/>
                <w:b w:val="0"/>
                <w:bCs w:val="0"/>
                <w:i w:val="0"/>
                <w:iCs w:val="0"/>
                <w:color w:val="auto"/>
                <w:sz w:val="21"/>
                <w:szCs w:val="21"/>
                <w:u w:val="none"/>
              </w:rPr>
            </w:pPr>
          </w:p>
        </w:tc>
      </w:tr>
      <w:tr w14:paraId="5D72C89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6C4288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0208880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7331 (79.31)</w:t>
            </w:r>
          </w:p>
        </w:tc>
        <w:tc>
          <w:tcPr>
            <w:tcW w:w="1293" w:type="pct"/>
            <w:tcBorders>
              <w:tl2br w:val="nil"/>
              <w:tr2bl w:val="nil"/>
            </w:tcBorders>
            <w:shd w:val="clear" w:color="auto" w:fill="auto"/>
            <w:noWrap/>
            <w:vAlign w:val="bottom"/>
          </w:tcPr>
          <w:p w14:paraId="6DDCF17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4469 (79.28)</w:t>
            </w:r>
          </w:p>
        </w:tc>
        <w:tc>
          <w:tcPr>
            <w:tcW w:w="692" w:type="pct"/>
            <w:tcBorders>
              <w:tl2br w:val="nil"/>
              <w:tr2bl w:val="nil"/>
            </w:tcBorders>
            <w:shd w:val="clear" w:color="auto" w:fill="auto"/>
            <w:noWrap/>
            <w:vAlign w:val="bottom"/>
          </w:tcPr>
          <w:p w14:paraId="340F758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2683 (79.33)</w:t>
            </w:r>
          </w:p>
        </w:tc>
        <w:tc>
          <w:tcPr>
            <w:tcW w:w="644" w:type="pct"/>
            <w:tcBorders>
              <w:tl2br w:val="nil"/>
              <w:tr2bl w:val="nil"/>
            </w:tcBorders>
            <w:shd w:val="clear" w:color="auto" w:fill="auto"/>
            <w:noWrap/>
            <w:vAlign w:val="bottom"/>
          </w:tcPr>
          <w:p w14:paraId="2D8FCFE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140 (77.78)</w:t>
            </w:r>
          </w:p>
        </w:tc>
        <w:tc>
          <w:tcPr>
            <w:tcW w:w="468" w:type="pct"/>
            <w:tcBorders>
              <w:tl2br w:val="nil"/>
              <w:tr2bl w:val="nil"/>
            </w:tcBorders>
            <w:shd w:val="clear" w:color="auto" w:fill="auto"/>
            <w:noWrap/>
            <w:vAlign w:val="bottom"/>
          </w:tcPr>
          <w:p w14:paraId="037D977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39 (88.64)</w:t>
            </w:r>
          </w:p>
        </w:tc>
        <w:tc>
          <w:tcPr>
            <w:tcW w:w="247" w:type="pct"/>
            <w:tcBorders>
              <w:tl2br w:val="nil"/>
              <w:tr2bl w:val="nil"/>
            </w:tcBorders>
            <w:shd w:val="clear" w:color="auto" w:fill="auto"/>
            <w:noWrap/>
            <w:vAlign w:val="bottom"/>
          </w:tcPr>
          <w:p w14:paraId="77B755B6">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6A10A5A4">
            <w:pPr>
              <w:rPr>
                <w:rFonts w:hint="default" w:ascii="Times New Roman" w:hAnsi="Times New Roman" w:eastAsia="宋体" w:cs="Times New Roman"/>
                <w:b w:val="0"/>
                <w:bCs w:val="0"/>
                <w:i w:val="0"/>
                <w:iCs w:val="0"/>
                <w:color w:val="auto"/>
                <w:sz w:val="21"/>
                <w:szCs w:val="21"/>
                <w:u w:val="none"/>
              </w:rPr>
            </w:pPr>
          </w:p>
        </w:tc>
      </w:tr>
      <w:tr w14:paraId="6A0BB06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D563C0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w:t>
            </w:r>
            <w:r>
              <w:rPr>
                <w:rFonts w:hint="eastAsia" w:ascii="Times New Roman" w:hAnsi="Times New Roman" w:eastAsia="宋体" w:cs="Times New Roman"/>
                <w:b w:val="0"/>
                <w:bCs w:val="0"/>
                <w:i w:val="0"/>
                <w:iCs w:val="0"/>
                <w:color w:val="auto"/>
                <w:kern w:val="0"/>
                <w:sz w:val="21"/>
                <w:szCs w:val="21"/>
                <w:u w:val="none"/>
                <w:lang w:val="en-US" w:eastAsia="zh-CN" w:bidi="ar"/>
              </w:rPr>
              <w:t>ickled</w:t>
            </w:r>
            <w:r>
              <w:rPr>
                <w:rFonts w:hint="default" w:ascii="Times New Roman" w:hAnsi="Times New Roman" w:eastAsia="宋体" w:cs="Times New Roman"/>
                <w:b w:val="0"/>
                <w:bCs w:val="0"/>
                <w:i w:val="0"/>
                <w:iCs w:val="0"/>
                <w:color w:val="auto"/>
                <w:kern w:val="0"/>
                <w:sz w:val="21"/>
                <w:szCs w:val="21"/>
                <w:u w:val="none"/>
                <w:lang w:val="en-US" w:eastAsia="zh-CN" w:bidi="ar"/>
              </w:rPr>
              <w:t xml:space="preserve"> food</w:t>
            </w:r>
          </w:p>
        </w:tc>
        <w:tc>
          <w:tcPr>
            <w:tcW w:w="468" w:type="pct"/>
            <w:tcBorders>
              <w:tl2br w:val="nil"/>
              <w:tr2bl w:val="nil"/>
            </w:tcBorders>
            <w:shd w:val="clear" w:color="auto" w:fill="auto"/>
            <w:noWrap/>
            <w:vAlign w:val="bottom"/>
          </w:tcPr>
          <w:p w14:paraId="168B07F3">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1FFEFB38">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09F39AB0">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3CA35F74">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77D53334">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46751D5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7.372</w:t>
            </w:r>
          </w:p>
        </w:tc>
        <w:tc>
          <w:tcPr>
            <w:tcW w:w="211" w:type="pct"/>
            <w:tcBorders>
              <w:tl2br w:val="nil"/>
              <w:tr2bl w:val="nil"/>
            </w:tcBorders>
            <w:shd w:val="clear" w:color="auto" w:fill="auto"/>
            <w:noWrap/>
            <w:vAlign w:val="bottom"/>
          </w:tcPr>
          <w:p w14:paraId="485A6CF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0.061</w:t>
            </w:r>
          </w:p>
        </w:tc>
      </w:tr>
      <w:tr w14:paraId="4C90E0F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F95980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6C0085A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4028 (43.58)</w:t>
            </w:r>
          </w:p>
        </w:tc>
        <w:tc>
          <w:tcPr>
            <w:tcW w:w="1293" w:type="pct"/>
            <w:tcBorders>
              <w:tl2br w:val="nil"/>
              <w:tr2bl w:val="nil"/>
            </w:tcBorders>
            <w:shd w:val="clear" w:color="auto" w:fill="auto"/>
            <w:noWrap/>
            <w:vAlign w:val="bottom"/>
          </w:tcPr>
          <w:p w14:paraId="12372F7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2512 (44.56)</w:t>
            </w:r>
          </w:p>
        </w:tc>
        <w:tc>
          <w:tcPr>
            <w:tcW w:w="692" w:type="pct"/>
            <w:tcBorders>
              <w:tl2br w:val="nil"/>
              <w:tr2bl w:val="nil"/>
            </w:tcBorders>
            <w:shd w:val="clear" w:color="auto" w:fill="auto"/>
            <w:noWrap/>
            <w:vAlign w:val="bottom"/>
          </w:tcPr>
          <w:p w14:paraId="1843768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1431 (42.31)</w:t>
            </w:r>
          </w:p>
        </w:tc>
        <w:tc>
          <w:tcPr>
            <w:tcW w:w="644" w:type="pct"/>
            <w:tcBorders>
              <w:tl2br w:val="nil"/>
              <w:tr2bl w:val="nil"/>
            </w:tcBorders>
            <w:shd w:val="clear" w:color="auto" w:fill="auto"/>
            <w:noWrap/>
            <w:vAlign w:val="bottom"/>
          </w:tcPr>
          <w:p w14:paraId="7932595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69 (38.33)</w:t>
            </w:r>
          </w:p>
        </w:tc>
        <w:tc>
          <w:tcPr>
            <w:tcW w:w="468" w:type="pct"/>
            <w:tcBorders>
              <w:tl2br w:val="nil"/>
              <w:tr2bl w:val="nil"/>
            </w:tcBorders>
            <w:shd w:val="clear" w:color="auto" w:fill="auto"/>
            <w:noWrap/>
            <w:vAlign w:val="bottom"/>
          </w:tcPr>
          <w:p w14:paraId="21587A9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 (36.36)</w:t>
            </w:r>
          </w:p>
        </w:tc>
        <w:tc>
          <w:tcPr>
            <w:tcW w:w="247" w:type="pct"/>
            <w:tcBorders>
              <w:tl2br w:val="nil"/>
              <w:tr2bl w:val="nil"/>
            </w:tcBorders>
            <w:shd w:val="clear" w:color="auto" w:fill="auto"/>
            <w:noWrap/>
            <w:vAlign w:val="bottom"/>
          </w:tcPr>
          <w:p w14:paraId="6D17954C">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099DD79">
            <w:pPr>
              <w:rPr>
                <w:rFonts w:hint="default" w:ascii="Times New Roman" w:hAnsi="Times New Roman" w:eastAsia="宋体" w:cs="Times New Roman"/>
                <w:b w:val="0"/>
                <w:bCs w:val="0"/>
                <w:i w:val="0"/>
                <w:iCs w:val="0"/>
                <w:color w:val="auto"/>
                <w:sz w:val="21"/>
                <w:szCs w:val="21"/>
                <w:u w:val="none"/>
              </w:rPr>
            </w:pPr>
          </w:p>
        </w:tc>
      </w:tr>
      <w:tr w14:paraId="6BB10E7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DBF9134">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18B3CCE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5215 (56.42)</w:t>
            </w:r>
          </w:p>
        </w:tc>
        <w:tc>
          <w:tcPr>
            <w:tcW w:w="1293" w:type="pct"/>
            <w:tcBorders>
              <w:tl2br w:val="nil"/>
              <w:tr2bl w:val="nil"/>
            </w:tcBorders>
            <w:shd w:val="clear" w:color="auto" w:fill="auto"/>
            <w:noWrap/>
            <w:vAlign w:val="bottom"/>
          </w:tcPr>
          <w:p w14:paraId="73E6B94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3125 (55.44)</w:t>
            </w:r>
          </w:p>
        </w:tc>
        <w:tc>
          <w:tcPr>
            <w:tcW w:w="692" w:type="pct"/>
            <w:tcBorders>
              <w:tl2br w:val="nil"/>
              <w:tr2bl w:val="nil"/>
            </w:tcBorders>
            <w:shd w:val="clear" w:color="auto" w:fill="auto"/>
            <w:noWrap/>
            <w:vAlign w:val="bottom"/>
          </w:tcPr>
          <w:p w14:paraId="7DA4323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1951 (57.69)</w:t>
            </w:r>
          </w:p>
        </w:tc>
        <w:tc>
          <w:tcPr>
            <w:tcW w:w="644" w:type="pct"/>
            <w:tcBorders>
              <w:tl2br w:val="nil"/>
              <w:tr2bl w:val="nil"/>
            </w:tcBorders>
            <w:shd w:val="clear" w:color="auto" w:fill="auto"/>
            <w:noWrap/>
            <w:vAlign w:val="bottom"/>
          </w:tcPr>
          <w:p w14:paraId="6E4A640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111 (61.67)</w:t>
            </w:r>
          </w:p>
        </w:tc>
        <w:tc>
          <w:tcPr>
            <w:tcW w:w="468" w:type="pct"/>
            <w:tcBorders>
              <w:tl2br w:val="nil"/>
              <w:tr2bl w:val="nil"/>
            </w:tcBorders>
            <w:shd w:val="clear" w:color="auto" w:fill="auto"/>
            <w:noWrap/>
            <w:vAlign w:val="bottom"/>
          </w:tcPr>
          <w:p w14:paraId="4CE2708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28 (63.64)</w:t>
            </w:r>
          </w:p>
        </w:tc>
        <w:tc>
          <w:tcPr>
            <w:tcW w:w="247" w:type="pct"/>
            <w:tcBorders>
              <w:tl2br w:val="nil"/>
              <w:tr2bl w:val="nil"/>
            </w:tcBorders>
            <w:shd w:val="clear" w:color="auto" w:fill="auto"/>
            <w:noWrap/>
            <w:vAlign w:val="bottom"/>
          </w:tcPr>
          <w:p w14:paraId="5A8BE2ED">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836674A">
            <w:pPr>
              <w:rPr>
                <w:rFonts w:hint="default" w:ascii="Times New Roman" w:hAnsi="Times New Roman" w:eastAsia="宋体" w:cs="Times New Roman"/>
                <w:b w:val="0"/>
                <w:bCs w:val="0"/>
                <w:i w:val="0"/>
                <w:iCs w:val="0"/>
                <w:color w:val="auto"/>
                <w:sz w:val="21"/>
                <w:szCs w:val="21"/>
                <w:u w:val="none"/>
              </w:rPr>
            </w:pPr>
          </w:p>
        </w:tc>
      </w:tr>
      <w:tr w14:paraId="71C2274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63667F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Irregular diet</w:t>
            </w:r>
          </w:p>
        </w:tc>
        <w:tc>
          <w:tcPr>
            <w:tcW w:w="468" w:type="pct"/>
            <w:tcBorders>
              <w:tl2br w:val="nil"/>
              <w:tr2bl w:val="nil"/>
            </w:tcBorders>
            <w:shd w:val="clear" w:color="auto" w:fill="auto"/>
            <w:noWrap/>
            <w:vAlign w:val="bottom"/>
          </w:tcPr>
          <w:p w14:paraId="3BE357F6">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33FA4509">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68D49ABA">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7856884A">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3F0C21FA">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5052641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3.657</w:t>
            </w:r>
          </w:p>
        </w:tc>
        <w:tc>
          <w:tcPr>
            <w:tcW w:w="211" w:type="pct"/>
            <w:tcBorders>
              <w:tl2br w:val="nil"/>
              <w:tr2bl w:val="nil"/>
            </w:tcBorders>
            <w:shd w:val="clear" w:color="auto" w:fill="auto"/>
            <w:noWrap/>
            <w:vAlign w:val="bottom"/>
          </w:tcPr>
          <w:p w14:paraId="6C91BD6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0.301</w:t>
            </w:r>
          </w:p>
        </w:tc>
      </w:tr>
      <w:tr w14:paraId="5E06FA0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CF71C03">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6A80DC0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8818 (95.40)</w:t>
            </w:r>
          </w:p>
        </w:tc>
        <w:tc>
          <w:tcPr>
            <w:tcW w:w="1293" w:type="pct"/>
            <w:tcBorders>
              <w:tl2br w:val="nil"/>
              <w:tr2bl w:val="nil"/>
            </w:tcBorders>
            <w:shd w:val="clear" w:color="auto" w:fill="auto"/>
            <w:noWrap/>
            <w:vAlign w:val="bottom"/>
          </w:tcPr>
          <w:p w14:paraId="0276446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5360 (95.09)</w:t>
            </w:r>
          </w:p>
        </w:tc>
        <w:tc>
          <w:tcPr>
            <w:tcW w:w="692" w:type="pct"/>
            <w:tcBorders>
              <w:tl2br w:val="nil"/>
              <w:tr2bl w:val="nil"/>
            </w:tcBorders>
            <w:shd w:val="clear" w:color="auto" w:fill="auto"/>
            <w:noWrap/>
            <w:vAlign w:val="bottom"/>
          </w:tcPr>
          <w:p w14:paraId="4F05380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3245 (95.95)</w:t>
            </w:r>
          </w:p>
        </w:tc>
        <w:tc>
          <w:tcPr>
            <w:tcW w:w="644" w:type="pct"/>
            <w:tcBorders>
              <w:tl2br w:val="nil"/>
              <w:tr2bl w:val="nil"/>
            </w:tcBorders>
            <w:shd w:val="clear" w:color="auto" w:fill="auto"/>
            <w:noWrap/>
            <w:vAlign w:val="bottom"/>
          </w:tcPr>
          <w:p w14:paraId="6573C77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171 (95.00)</w:t>
            </w:r>
          </w:p>
        </w:tc>
        <w:tc>
          <w:tcPr>
            <w:tcW w:w="468" w:type="pct"/>
            <w:tcBorders>
              <w:tl2br w:val="nil"/>
              <w:tr2bl w:val="nil"/>
            </w:tcBorders>
            <w:shd w:val="clear" w:color="auto" w:fill="auto"/>
            <w:noWrap/>
            <w:vAlign w:val="bottom"/>
          </w:tcPr>
          <w:p w14:paraId="0648399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42 (95.45)</w:t>
            </w:r>
          </w:p>
        </w:tc>
        <w:tc>
          <w:tcPr>
            <w:tcW w:w="247" w:type="pct"/>
            <w:tcBorders>
              <w:tl2br w:val="nil"/>
              <w:tr2bl w:val="nil"/>
            </w:tcBorders>
            <w:shd w:val="clear" w:color="auto" w:fill="auto"/>
            <w:noWrap/>
            <w:vAlign w:val="bottom"/>
          </w:tcPr>
          <w:p w14:paraId="1EC0313A">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D725333">
            <w:pPr>
              <w:rPr>
                <w:rFonts w:hint="default" w:ascii="Times New Roman" w:hAnsi="Times New Roman" w:eastAsia="宋体" w:cs="Times New Roman"/>
                <w:b w:val="0"/>
                <w:bCs w:val="0"/>
                <w:i w:val="0"/>
                <w:iCs w:val="0"/>
                <w:color w:val="auto"/>
                <w:sz w:val="21"/>
                <w:szCs w:val="21"/>
                <w:u w:val="none"/>
              </w:rPr>
            </w:pPr>
          </w:p>
        </w:tc>
      </w:tr>
      <w:tr w14:paraId="0D18869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7D41A57">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7F42887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425 (4.60)</w:t>
            </w:r>
          </w:p>
        </w:tc>
        <w:tc>
          <w:tcPr>
            <w:tcW w:w="1293" w:type="pct"/>
            <w:tcBorders>
              <w:tl2br w:val="nil"/>
              <w:tr2bl w:val="nil"/>
            </w:tcBorders>
            <w:shd w:val="clear" w:color="auto" w:fill="auto"/>
            <w:noWrap/>
            <w:vAlign w:val="bottom"/>
          </w:tcPr>
          <w:p w14:paraId="092F9A9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277 (4.91)</w:t>
            </w:r>
          </w:p>
        </w:tc>
        <w:tc>
          <w:tcPr>
            <w:tcW w:w="692" w:type="pct"/>
            <w:tcBorders>
              <w:tl2br w:val="nil"/>
              <w:tr2bl w:val="nil"/>
            </w:tcBorders>
            <w:shd w:val="clear" w:color="auto" w:fill="auto"/>
            <w:noWrap/>
            <w:vAlign w:val="bottom"/>
          </w:tcPr>
          <w:p w14:paraId="563BFA9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137 (4.05)</w:t>
            </w:r>
          </w:p>
        </w:tc>
        <w:tc>
          <w:tcPr>
            <w:tcW w:w="644" w:type="pct"/>
            <w:tcBorders>
              <w:tl2br w:val="nil"/>
              <w:tr2bl w:val="nil"/>
            </w:tcBorders>
            <w:shd w:val="clear" w:color="auto" w:fill="auto"/>
            <w:noWrap/>
            <w:vAlign w:val="bottom"/>
          </w:tcPr>
          <w:p w14:paraId="5D48A20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 (5.00)</w:t>
            </w:r>
          </w:p>
        </w:tc>
        <w:tc>
          <w:tcPr>
            <w:tcW w:w="468" w:type="pct"/>
            <w:tcBorders>
              <w:tl2br w:val="nil"/>
              <w:tr2bl w:val="nil"/>
            </w:tcBorders>
            <w:shd w:val="clear" w:color="auto" w:fill="auto"/>
            <w:noWrap/>
            <w:vAlign w:val="bottom"/>
          </w:tcPr>
          <w:p w14:paraId="4BE6459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 (4.55)</w:t>
            </w:r>
          </w:p>
        </w:tc>
        <w:tc>
          <w:tcPr>
            <w:tcW w:w="247" w:type="pct"/>
            <w:tcBorders>
              <w:tl2br w:val="nil"/>
              <w:tr2bl w:val="nil"/>
            </w:tcBorders>
            <w:shd w:val="clear" w:color="auto" w:fill="auto"/>
            <w:noWrap/>
            <w:vAlign w:val="bottom"/>
          </w:tcPr>
          <w:p w14:paraId="2066AC8E">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F9947A8">
            <w:pPr>
              <w:rPr>
                <w:rFonts w:hint="default" w:ascii="Times New Roman" w:hAnsi="Times New Roman" w:eastAsia="宋体" w:cs="Times New Roman"/>
                <w:b w:val="0"/>
                <w:bCs w:val="0"/>
                <w:i w:val="0"/>
                <w:iCs w:val="0"/>
                <w:color w:val="auto"/>
                <w:sz w:val="21"/>
                <w:szCs w:val="21"/>
                <w:u w:val="none"/>
              </w:rPr>
            </w:pPr>
          </w:p>
        </w:tc>
      </w:tr>
      <w:tr w14:paraId="782FF5D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490951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Deep-fried food</w:t>
            </w:r>
          </w:p>
        </w:tc>
        <w:tc>
          <w:tcPr>
            <w:tcW w:w="468" w:type="pct"/>
            <w:tcBorders>
              <w:tl2br w:val="nil"/>
              <w:tr2bl w:val="nil"/>
            </w:tcBorders>
            <w:shd w:val="clear" w:color="auto" w:fill="auto"/>
            <w:noWrap/>
            <w:vAlign w:val="bottom"/>
          </w:tcPr>
          <w:p w14:paraId="4F0E090D">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5039204E">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B2EA653">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7F47ECD1">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43FB4492">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5A787AB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6E879FA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0.525</w:t>
            </w:r>
          </w:p>
        </w:tc>
      </w:tr>
      <w:tr w14:paraId="0C5D41B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6B6749D">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3BB6AB8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8999 (97.36)</w:t>
            </w:r>
          </w:p>
        </w:tc>
        <w:tc>
          <w:tcPr>
            <w:tcW w:w="1293" w:type="pct"/>
            <w:tcBorders>
              <w:tl2br w:val="nil"/>
              <w:tr2bl w:val="nil"/>
            </w:tcBorders>
            <w:shd w:val="clear" w:color="auto" w:fill="auto"/>
            <w:noWrap/>
            <w:vAlign w:val="bottom"/>
          </w:tcPr>
          <w:p w14:paraId="1BBFC8A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5495 (97.48)</w:t>
            </w:r>
          </w:p>
        </w:tc>
        <w:tc>
          <w:tcPr>
            <w:tcW w:w="692" w:type="pct"/>
            <w:tcBorders>
              <w:tl2br w:val="nil"/>
              <w:tr2bl w:val="nil"/>
            </w:tcBorders>
            <w:shd w:val="clear" w:color="auto" w:fill="auto"/>
            <w:noWrap/>
            <w:vAlign w:val="bottom"/>
          </w:tcPr>
          <w:p w14:paraId="59FDB7E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3287 (97.19)</w:t>
            </w:r>
          </w:p>
        </w:tc>
        <w:tc>
          <w:tcPr>
            <w:tcW w:w="644" w:type="pct"/>
            <w:tcBorders>
              <w:tl2br w:val="nil"/>
              <w:tr2bl w:val="nil"/>
            </w:tcBorders>
            <w:shd w:val="clear" w:color="auto" w:fill="auto"/>
            <w:noWrap/>
            <w:vAlign w:val="bottom"/>
          </w:tcPr>
          <w:p w14:paraId="33E3F24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175 (97.22)</w:t>
            </w:r>
          </w:p>
        </w:tc>
        <w:tc>
          <w:tcPr>
            <w:tcW w:w="468" w:type="pct"/>
            <w:tcBorders>
              <w:tl2br w:val="nil"/>
              <w:tr2bl w:val="nil"/>
            </w:tcBorders>
            <w:shd w:val="clear" w:color="auto" w:fill="auto"/>
            <w:noWrap/>
            <w:vAlign w:val="bottom"/>
          </w:tcPr>
          <w:p w14:paraId="4BD98C3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42 (95.45)</w:t>
            </w:r>
          </w:p>
        </w:tc>
        <w:tc>
          <w:tcPr>
            <w:tcW w:w="247" w:type="pct"/>
            <w:tcBorders>
              <w:tl2br w:val="nil"/>
              <w:tr2bl w:val="nil"/>
            </w:tcBorders>
            <w:shd w:val="clear" w:color="auto" w:fill="auto"/>
            <w:noWrap/>
            <w:vAlign w:val="bottom"/>
          </w:tcPr>
          <w:p w14:paraId="5E31BE49">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CF38CAC">
            <w:pPr>
              <w:rPr>
                <w:rFonts w:hint="default" w:ascii="Times New Roman" w:hAnsi="Times New Roman" w:eastAsia="宋体" w:cs="Times New Roman"/>
                <w:b w:val="0"/>
                <w:bCs w:val="0"/>
                <w:i w:val="0"/>
                <w:iCs w:val="0"/>
                <w:color w:val="auto"/>
                <w:sz w:val="21"/>
                <w:szCs w:val="21"/>
                <w:u w:val="none"/>
              </w:rPr>
            </w:pPr>
          </w:p>
        </w:tc>
      </w:tr>
      <w:tr w14:paraId="1D403C0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5EA7138">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43DA280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244 (2.64)</w:t>
            </w:r>
          </w:p>
        </w:tc>
        <w:tc>
          <w:tcPr>
            <w:tcW w:w="1293" w:type="pct"/>
            <w:tcBorders>
              <w:tl2br w:val="nil"/>
              <w:tr2bl w:val="nil"/>
            </w:tcBorders>
            <w:shd w:val="clear" w:color="auto" w:fill="auto"/>
            <w:noWrap/>
            <w:vAlign w:val="bottom"/>
          </w:tcPr>
          <w:p w14:paraId="45E0679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142 (2.52)</w:t>
            </w:r>
          </w:p>
        </w:tc>
        <w:tc>
          <w:tcPr>
            <w:tcW w:w="692" w:type="pct"/>
            <w:tcBorders>
              <w:tl2br w:val="nil"/>
              <w:tr2bl w:val="nil"/>
            </w:tcBorders>
            <w:shd w:val="clear" w:color="auto" w:fill="auto"/>
            <w:noWrap/>
            <w:vAlign w:val="bottom"/>
          </w:tcPr>
          <w:p w14:paraId="1533C6D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95 (2.81)</w:t>
            </w:r>
          </w:p>
        </w:tc>
        <w:tc>
          <w:tcPr>
            <w:tcW w:w="644" w:type="pct"/>
            <w:tcBorders>
              <w:tl2br w:val="nil"/>
              <w:tr2bl w:val="nil"/>
            </w:tcBorders>
            <w:shd w:val="clear" w:color="auto" w:fill="auto"/>
            <w:noWrap/>
            <w:vAlign w:val="bottom"/>
          </w:tcPr>
          <w:p w14:paraId="3D6718E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 (2.78)</w:t>
            </w:r>
          </w:p>
        </w:tc>
        <w:tc>
          <w:tcPr>
            <w:tcW w:w="468" w:type="pct"/>
            <w:tcBorders>
              <w:tl2br w:val="nil"/>
              <w:tr2bl w:val="nil"/>
            </w:tcBorders>
            <w:shd w:val="clear" w:color="auto" w:fill="auto"/>
            <w:noWrap/>
            <w:vAlign w:val="bottom"/>
          </w:tcPr>
          <w:p w14:paraId="37D0808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 (4.55)</w:t>
            </w:r>
          </w:p>
        </w:tc>
        <w:tc>
          <w:tcPr>
            <w:tcW w:w="247" w:type="pct"/>
            <w:tcBorders>
              <w:tl2br w:val="nil"/>
              <w:tr2bl w:val="nil"/>
            </w:tcBorders>
            <w:shd w:val="clear" w:color="auto" w:fill="auto"/>
            <w:noWrap/>
            <w:vAlign w:val="bottom"/>
          </w:tcPr>
          <w:p w14:paraId="3A954F1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107F5BD">
            <w:pPr>
              <w:rPr>
                <w:rFonts w:hint="default" w:ascii="Times New Roman" w:hAnsi="Times New Roman" w:eastAsia="宋体" w:cs="Times New Roman"/>
                <w:b w:val="0"/>
                <w:bCs w:val="0"/>
                <w:i w:val="0"/>
                <w:iCs w:val="0"/>
                <w:color w:val="auto"/>
                <w:sz w:val="21"/>
                <w:szCs w:val="21"/>
                <w:u w:val="none"/>
              </w:rPr>
            </w:pPr>
          </w:p>
        </w:tc>
      </w:tr>
      <w:tr w14:paraId="363413A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F142CA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Leftover food</w:t>
            </w:r>
          </w:p>
        </w:tc>
        <w:tc>
          <w:tcPr>
            <w:tcW w:w="468" w:type="pct"/>
            <w:tcBorders>
              <w:tl2br w:val="nil"/>
              <w:tr2bl w:val="nil"/>
            </w:tcBorders>
            <w:shd w:val="clear" w:color="auto" w:fill="auto"/>
            <w:noWrap/>
            <w:vAlign w:val="bottom"/>
          </w:tcPr>
          <w:p w14:paraId="41120784">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018271D8">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1AA9C4EF">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6933F7D3">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47FE10CD">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72C6237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3.189</w:t>
            </w:r>
          </w:p>
        </w:tc>
        <w:tc>
          <w:tcPr>
            <w:tcW w:w="211" w:type="pct"/>
            <w:tcBorders>
              <w:tl2br w:val="nil"/>
              <w:tr2bl w:val="nil"/>
            </w:tcBorders>
            <w:shd w:val="clear" w:color="auto" w:fill="auto"/>
            <w:noWrap/>
            <w:vAlign w:val="bottom"/>
          </w:tcPr>
          <w:p w14:paraId="224D70D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0.363</w:t>
            </w:r>
          </w:p>
        </w:tc>
      </w:tr>
      <w:tr w14:paraId="126245C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C3A64A9">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7D5AC68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3898 (42.17)</w:t>
            </w:r>
          </w:p>
        </w:tc>
        <w:tc>
          <w:tcPr>
            <w:tcW w:w="1293" w:type="pct"/>
            <w:tcBorders>
              <w:tl2br w:val="nil"/>
              <w:tr2bl w:val="nil"/>
            </w:tcBorders>
            <w:shd w:val="clear" w:color="auto" w:fill="auto"/>
            <w:noWrap/>
            <w:vAlign w:val="bottom"/>
          </w:tcPr>
          <w:p w14:paraId="2A18F1F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2377 (42.17)</w:t>
            </w:r>
          </w:p>
        </w:tc>
        <w:tc>
          <w:tcPr>
            <w:tcW w:w="692" w:type="pct"/>
            <w:tcBorders>
              <w:tl2br w:val="nil"/>
              <w:tr2bl w:val="nil"/>
            </w:tcBorders>
            <w:shd w:val="clear" w:color="auto" w:fill="auto"/>
            <w:noWrap/>
            <w:vAlign w:val="bottom"/>
          </w:tcPr>
          <w:p w14:paraId="57AFB39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1438 (42.52)</w:t>
            </w:r>
          </w:p>
        </w:tc>
        <w:tc>
          <w:tcPr>
            <w:tcW w:w="644" w:type="pct"/>
            <w:tcBorders>
              <w:tl2br w:val="nil"/>
              <w:tr2bl w:val="nil"/>
            </w:tcBorders>
            <w:shd w:val="clear" w:color="auto" w:fill="auto"/>
            <w:noWrap/>
            <w:vAlign w:val="bottom"/>
          </w:tcPr>
          <w:p w14:paraId="7621A64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69 (38.33)</w:t>
            </w:r>
          </w:p>
        </w:tc>
        <w:tc>
          <w:tcPr>
            <w:tcW w:w="468" w:type="pct"/>
            <w:tcBorders>
              <w:tl2br w:val="nil"/>
              <w:tr2bl w:val="nil"/>
            </w:tcBorders>
            <w:shd w:val="clear" w:color="auto" w:fill="auto"/>
            <w:noWrap/>
            <w:vAlign w:val="bottom"/>
          </w:tcPr>
          <w:p w14:paraId="4D42CBE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 (31.82)</w:t>
            </w:r>
          </w:p>
        </w:tc>
        <w:tc>
          <w:tcPr>
            <w:tcW w:w="247" w:type="pct"/>
            <w:tcBorders>
              <w:tl2br w:val="nil"/>
              <w:tr2bl w:val="nil"/>
            </w:tcBorders>
            <w:shd w:val="clear" w:color="auto" w:fill="auto"/>
            <w:noWrap/>
            <w:vAlign w:val="bottom"/>
          </w:tcPr>
          <w:p w14:paraId="65BF9609">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8D0D8FE">
            <w:pPr>
              <w:rPr>
                <w:rFonts w:hint="default" w:ascii="Times New Roman" w:hAnsi="Times New Roman" w:eastAsia="宋体" w:cs="Times New Roman"/>
                <w:b w:val="0"/>
                <w:bCs w:val="0"/>
                <w:i w:val="0"/>
                <w:iCs w:val="0"/>
                <w:color w:val="auto"/>
                <w:sz w:val="21"/>
                <w:szCs w:val="21"/>
                <w:u w:val="none"/>
              </w:rPr>
            </w:pPr>
          </w:p>
        </w:tc>
      </w:tr>
      <w:tr w14:paraId="7AAF5BC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6161C89">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7166D35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5345 (57.83)</w:t>
            </w:r>
          </w:p>
        </w:tc>
        <w:tc>
          <w:tcPr>
            <w:tcW w:w="1293" w:type="pct"/>
            <w:tcBorders>
              <w:tl2br w:val="nil"/>
              <w:tr2bl w:val="nil"/>
            </w:tcBorders>
            <w:shd w:val="clear" w:color="auto" w:fill="auto"/>
            <w:noWrap/>
            <w:vAlign w:val="bottom"/>
          </w:tcPr>
          <w:p w14:paraId="29C1AED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3260 (57.83)</w:t>
            </w:r>
          </w:p>
        </w:tc>
        <w:tc>
          <w:tcPr>
            <w:tcW w:w="692" w:type="pct"/>
            <w:tcBorders>
              <w:tl2br w:val="nil"/>
              <w:tr2bl w:val="nil"/>
            </w:tcBorders>
            <w:shd w:val="clear" w:color="auto" w:fill="auto"/>
            <w:noWrap/>
            <w:vAlign w:val="bottom"/>
          </w:tcPr>
          <w:p w14:paraId="2691FBE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1944 (57.48)</w:t>
            </w:r>
          </w:p>
        </w:tc>
        <w:tc>
          <w:tcPr>
            <w:tcW w:w="644" w:type="pct"/>
            <w:tcBorders>
              <w:tl2br w:val="nil"/>
              <w:tr2bl w:val="nil"/>
            </w:tcBorders>
            <w:shd w:val="clear" w:color="auto" w:fill="auto"/>
            <w:noWrap/>
            <w:vAlign w:val="bottom"/>
          </w:tcPr>
          <w:p w14:paraId="1EEC5D7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111 (61.67)</w:t>
            </w:r>
          </w:p>
        </w:tc>
        <w:tc>
          <w:tcPr>
            <w:tcW w:w="468" w:type="pct"/>
            <w:tcBorders>
              <w:tl2br w:val="nil"/>
              <w:tr2bl w:val="nil"/>
            </w:tcBorders>
            <w:shd w:val="clear" w:color="auto" w:fill="auto"/>
            <w:noWrap/>
            <w:vAlign w:val="bottom"/>
          </w:tcPr>
          <w:p w14:paraId="1573C2B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30 (68.18)</w:t>
            </w:r>
          </w:p>
        </w:tc>
        <w:tc>
          <w:tcPr>
            <w:tcW w:w="247" w:type="pct"/>
            <w:tcBorders>
              <w:tl2br w:val="nil"/>
              <w:tr2bl w:val="nil"/>
            </w:tcBorders>
            <w:shd w:val="clear" w:color="auto" w:fill="auto"/>
            <w:noWrap/>
            <w:vAlign w:val="bottom"/>
          </w:tcPr>
          <w:p w14:paraId="2EE46753">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63471828">
            <w:pPr>
              <w:rPr>
                <w:rFonts w:hint="default" w:ascii="Times New Roman" w:hAnsi="Times New Roman" w:eastAsia="宋体" w:cs="Times New Roman"/>
                <w:b w:val="0"/>
                <w:bCs w:val="0"/>
                <w:i w:val="0"/>
                <w:iCs w:val="0"/>
                <w:color w:val="auto"/>
                <w:sz w:val="21"/>
                <w:szCs w:val="21"/>
                <w:u w:val="none"/>
              </w:rPr>
            </w:pPr>
          </w:p>
        </w:tc>
      </w:tr>
      <w:tr w14:paraId="2691262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69B124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Moldy food</w:t>
            </w:r>
          </w:p>
        </w:tc>
        <w:tc>
          <w:tcPr>
            <w:tcW w:w="468" w:type="pct"/>
            <w:tcBorders>
              <w:tl2br w:val="nil"/>
              <w:tr2bl w:val="nil"/>
            </w:tcBorders>
            <w:shd w:val="clear" w:color="auto" w:fill="auto"/>
            <w:noWrap/>
            <w:vAlign w:val="bottom"/>
          </w:tcPr>
          <w:p w14:paraId="471EBF35">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5B84CDE8">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457AAF7E">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2AACA160">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119F0975">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4766B1E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4336133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0.442</w:t>
            </w:r>
          </w:p>
        </w:tc>
      </w:tr>
      <w:tr w14:paraId="6ECFA2F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CEE2149">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1514A96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9223 (99.78)</w:t>
            </w:r>
          </w:p>
        </w:tc>
        <w:tc>
          <w:tcPr>
            <w:tcW w:w="1293" w:type="pct"/>
            <w:tcBorders>
              <w:tl2br w:val="nil"/>
              <w:tr2bl w:val="nil"/>
            </w:tcBorders>
            <w:shd w:val="clear" w:color="auto" w:fill="auto"/>
            <w:noWrap/>
            <w:vAlign w:val="bottom"/>
          </w:tcPr>
          <w:p w14:paraId="2949C38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5626 (99.80)</w:t>
            </w:r>
          </w:p>
        </w:tc>
        <w:tc>
          <w:tcPr>
            <w:tcW w:w="692" w:type="pct"/>
            <w:tcBorders>
              <w:tl2br w:val="nil"/>
              <w:tr2bl w:val="nil"/>
            </w:tcBorders>
            <w:shd w:val="clear" w:color="auto" w:fill="auto"/>
            <w:noWrap/>
            <w:vAlign w:val="bottom"/>
          </w:tcPr>
          <w:p w14:paraId="537CBB3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3374 (99.76)</w:t>
            </w:r>
          </w:p>
        </w:tc>
        <w:tc>
          <w:tcPr>
            <w:tcW w:w="644" w:type="pct"/>
            <w:tcBorders>
              <w:tl2br w:val="nil"/>
              <w:tr2bl w:val="nil"/>
            </w:tcBorders>
            <w:shd w:val="clear" w:color="auto" w:fill="auto"/>
            <w:noWrap/>
            <w:vAlign w:val="bottom"/>
          </w:tcPr>
          <w:p w14:paraId="3A5B890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179 (99.44)</w:t>
            </w:r>
          </w:p>
        </w:tc>
        <w:tc>
          <w:tcPr>
            <w:tcW w:w="468" w:type="pct"/>
            <w:tcBorders>
              <w:tl2br w:val="nil"/>
              <w:tr2bl w:val="nil"/>
            </w:tcBorders>
            <w:shd w:val="clear" w:color="auto" w:fill="auto"/>
            <w:noWrap/>
            <w:vAlign w:val="bottom"/>
          </w:tcPr>
          <w:p w14:paraId="3BAF82F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44 (100.00)</w:t>
            </w:r>
          </w:p>
        </w:tc>
        <w:tc>
          <w:tcPr>
            <w:tcW w:w="247" w:type="pct"/>
            <w:tcBorders>
              <w:tl2br w:val="nil"/>
              <w:tr2bl w:val="nil"/>
            </w:tcBorders>
            <w:shd w:val="clear" w:color="auto" w:fill="auto"/>
            <w:noWrap/>
            <w:vAlign w:val="bottom"/>
          </w:tcPr>
          <w:p w14:paraId="1F265CA8">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968D577">
            <w:pPr>
              <w:rPr>
                <w:rFonts w:hint="default" w:ascii="Times New Roman" w:hAnsi="Times New Roman" w:eastAsia="宋体" w:cs="Times New Roman"/>
                <w:b w:val="0"/>
                <w:bCs w:val="0"/>
                <w:i w:val="0"/>
                <w:iCs w:val="0"/>
                <w:color w:val="auto"/>
                <w:sz w:val="21"/>
                <w:szCs w:val="21"/>
                <w:u w:val="none"/>
              </w:rPr>
            </w:pPr>
          </w:p>
        </w:tc>
      </w:tr>
      <w:tr w14:paraId="74951BE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0E0FBEE">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32E608F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 (0.22)</w:t>
            </w:r>
          </w:p>
        </w:tc>
        <w:tc>
          <w:tcPr>
            <w:tcW w:w="1293" w:type="pct"/>
            <w:tcBorders>
              <w:tl2br w:val="nil"/>
              <w:tr2bl w:val="nil"/>
            </w:tcBorders>
            <w:shd w:val="clear" w:color="auto" w:fill="auto"/>
            <w:noWrap/>
            <w:vAlign w:val="bottom"/>
          </w:tcPr>
          <w:p w14:paraId="3CF284B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 (0.20)</w:t>
            </w:r>
          </w:p>
        </w:tc>
        <w:tc>
          <w:tcPr>
            <w:tcW w:w="692" w:type="pct"/>
            <w:tcBorders>
              <w:tl2br w:val="nil"/>
              <w:tr2bl w:val="nil"/>
            </w:tcBorders>
            <w:shd w:val="clear" w:color="auto" w:fill="auto"/>
            <w:noWrap/>
            <w:vAlign w:val="bottom"/>
          </w:tcPr>
          <w:p w14:paraId="36DD53E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 (0.24)</w:t>
            </w:r>
          </w:p>
        </w:tc>
        <w:tc>
          <w:tcPr>
            <w:tcW w:w="644" w:type="pct"/>
            <w:tcBorders>
              <w:tl2br w:val="nil"/>
              <w:tr2bl w:val="nil"/>
            </w:tcBorders>
            <w:shd w:val="clear" w:color="auto" w:fill="auto"/>
            <w:noWrap/>
            <w:vAlign w:val="bottom"/>
          </w:tcPr>
          <w:p w14:paraId="789D8A0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 (0.56)</w:t>
            </w:r>
          </w:p>
        </w:tc>
        <w:tc>
          <w:tcPr>
            <w:tcW w:w="468" w:type="pct"/>
            <w:tcBorders>
              <w:tl2br w:val="nil"/>
              <w:tr2bl w:val="nil"/>
            </w:tcBorders>
            <w:shd w:val="clear" w:color="auto" w:fill="auto"/>
            <w:noWrap/>
            <w:vAlign w:val="bottom"/>
          </w:tcPr>
          <w:p w14:paraId="4EF5F37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 (0.00)</w:t>
            </w:r>
          </w:p>
        </w:tc>
        <w:tc>
          <w:tcPr>
            <w:tcW w:w="247" w:type="pct"/>
            <w:tcBorders>
              <w:tl2br w:val="nil"/>
              <w:tr2bl w:val="nil"/>
            </w:tcBorders>
            <w:shd w:val="clear" w:color="auto" w:fill="auto"/>
            <w:noWrap/>
            <w:vAlign w:val="bottom"/>
          </w:tcPr>
          <w:p w14:paraId="3C064854">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A4680CE">
            <w:pPr>
              <w:rPr>
                <w:rFonts w:hint="default" w:ascii="Times New Roman" w:hAnsi="Times New Roman" w:eastAsia="宋体" w:cs="Times New Roman"/>
                <w:b w:val="0"/>
                <w:bCs w:val="0"/>
                <w:i w:val="0"/>
                <w:iCs w:val="0"/>
                <w:color w:val="auto"/>
                <w:sz w:val="21"/>
                <w:szCs w:val="21"/>
                <w:u w:val="none"/>
              </w:rPr>
            </w:pPr>
          </w:p>
        </w:tc>
      </w:tr>
      <w:tr w14:paraId="07D2BBE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34704D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Fast eating speed</w:t>
            </w:r>
          </w:p>
        </w:tc>
        <w:tc>
          <w:tcPr>
            <w:tcW w:w="468" w:type="pct"/>
            <w:tcBorders>
              <w:tl2br w:val="nil"/>
              <w:tr2bl w:val="nil"/>
            </w:tcBorders>
            <w:shd w:val="clear" w:color="auto" w:fill="auto"/>
            <w:noWrap/>
            <w:vAlign w:val="bottom"/>
          </w:tcPr>
          <w:p w14:paraId="0A18E79F">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6832D117">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63C93ED7">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5D93B90C">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6768482E">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09A59E3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3.296</w:t>
            </w:r>
          </w:p>
        </w:tc>
        <w:tc>
          <w:tcPr>
            <w:tcW w:w="211" w:type="pct"/>
            <w:tcBorders>
              <w:tl2br w:val="nil"/>
              <w:tr2bl w:val="nil"/>
            </w:tcBorders>
            <w:shd w:val="clear" w:color="auto" w:fill="auto"/>
            <w:noWrap/>
            <w:vAlign w:val="bottom"/>
          </w:tcPr>
          <w:p w14:paraId="5578051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0.348</w:t>
            </w:r>
          </w:p>
        </w:tc>
      </w:tr>
      <w:tr w14:paraId="500F6ED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AAE163E">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4015BA4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6754 (73.07)</w:t>
            </w:r>
          </w:p>
        </w:tc>
        <w:tc>
          <w:tcPr>
            <w:tcW w:w="1293" w:type="pct"/>
            <w:tcBorders>
              <w:tl2br w:val="nil"/>
              <w:tr2bl w:val="nil"/>
            </w:tcBorders>
            <w:shd w:val="clear" w:color="auto" w:fill="auto"/>
            <w:noWrap/>
            <w:vAlign w:val="bottom"/>
          </w:tcPr>
          <w:p w14:paraId="729D909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4098 (72.70)</w:t>
            </w:r>
          </w:p>
        </w:tc>
        <w:tc>
          <w:tcPr>
            <w:tcW w:w="692" w:type="pct"/>
            <w:tcBorders>
              <w:tl2br w:val="nil"/>
              <w:tr2bl w:val="nil"/>
            </w:tcBorders>
            <w:shd w:val="clear" w:color="auto" w:fill="auto"/>
            <w:noWrap/>
            <w:vAlign w:val="bottom"/>
          </w:tcPr>
          <w:p w14:paraId="7C72661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2495 (73.77)</w:t>
            </w:r>
          </w:p>
        </w:tc>
        <w:tc>
          <w:tcPr>
            <w:tcW w:w="644" w:type="pct"/>
            <w:tcBorders>
              <w:tl2br w:val="nil"/>
              <w:tr2bl w:val="nil"/>
            </w:tcBorders>
            <w:shd w:val="clear" w:color="auto" w:fill="auto"/>
            <w:noWrap/>
            <w:vAlign w:val="bottom"/>
          </w:tcPr>
          <w:p w14:paraId="657FA8D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133 (73.89)</w:t>
            </w:r>
          </w:p>
        </w:tc>
        <w:tc>
          <w:tcPr>
            <w:tcW w:w="468" w:type="pct"/>
            <w:tcBorders>
              <w:tl2br w:val="nil"/>
              <w:tr2bl w:val="nil"/>
            </w:tcBorders>
            <w:shd w:val="clear" w:color="auto" w:fill="auto"/>
            <w:noWrap/>
            <w:vAlign w:val="bottom"/>
          </w:tcPr>
          <w:p w14:paraId="0D0CDC4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28 (63.64)</w:t>
            </w:r>
          </w:p>
        </w:tc>
        <w:tc>
          <w:tcPr>
            <w:tcW w:w="247" w:type="pct"/>
            <w:tcBorders>
              <w:tl2br w:val="nil"/>
              <w:tr2bl w:val="nil"/>
            </w:tcBorders>
            <w:shd w:val="clear" w:color="auto" w:fill="auto"/>
            <w:noWrap/>
            <w:vAlign w:val="bottom"/>
          </w:tcPr>
          <w:p w14:paraId="440D111F">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1248D43B">
            <w:pPr>
              <w:rPr>
                <w:rFonts w:hint="default" w:ascii="Times New Roman" w:hAnsi="Times New Roman" w:eastAsia="宋体" w:cs="Times New Roman"/>
                <w:b w:val="0"/>
                <w:bCs w:val="0"/>
                <w:i w:val="0"/>
                <w:iCs w:val="0"/>
                <w:color w:val="auto"/>
                <w:sz w:val="21"/>
                <w:szCs w:val="21"/>
                <w:u w:val="none"/>
              </w:rPr>
            </w:pPr>
          </w:p>
        </w:tc>
      </w:tr>
      <w:tr w14:paraId="01DB6D1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5968833">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1EE2222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2489 (26.93)</w:t>
            </w:r>
          </w:p>
        </w:tc>
        <w:tc>
          <w:tcPr>
            <w:tcW w:w="1293" w:type="pct"/>
            <w:tcBorders>
              <w:tl2br w:val="nil"/>
              <w:tr2bl w:val="nil"/>
            </w:tcBorders>
            <w:shd w:val="clear" w:color="auto" w:fill="auto"/>
            <w:noWrap/>
            <w:vAlign w:val="bottom"/>
          </w:tcPr>
          <w:p w14:paraId="40502B0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1539 (27.30)</w:t>
            </w:r>
          </w:p>
        </w:tc>
        <w:tc>
          <w:tcPr>
            <w:tcW w:w="692" w:type="pct"/>
            <w:tcBorders>
              <w:tl2br w:val="nil"/>
              <w:tr2bl w:val="nil"/>
            </w:tcBorders>
            <w:shd w:val="clear" w:color="auto" w:fill="auto"/>
            <w:noWrap/>
            <w:vAlign w:val="bottom"/>
          </w:tcPr>
          <w:p w14:paraId="3F4FC6C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887 (26.23)</w:t>
            </w:r>
          </w:p>
        </w:tc>
        <w:tc>
          <w:tcPr>
            <w:tcW w:w="644" w:type="pct"/>
            <w:tcBorders>
              <w:tl2br w:val="nil"/>
              <w:tr2bl w:val="nil"/>
            </w:tcBorders>
            <w:shd w:val="clear" w:color="auto" w:fill="auto"/>
            <w:noWrap/>
            <w:vAlign w:val="bottom"/>
          </w:tcPr>
          <w:p w14:paraId="29AC839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47 (26.11)</w:t>
            </w:r>
          </w:p>
        </w:tc>
        <w:tc>
          <w:tcPr>
            <w:tcW w:w="468" w:type="pct"/>
            <w:tcBorders>
              <w:tl2br w:val="nil"/>
              <w:tr2bl w:val="nil"/>
            </w:tcBorders>
            <w:shd w:val="clear" w:color="auto" w:fill="auto"/>
            <w:noWrap/>
            <w:vAlign w:val="bottom"/>
          </w:tcPr>
          <w:p w14:paraId="0102ED7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 (36.36)</w:t>
            </w:r>
          </w:p>
        </w:tc>
        <w:tc>
          <w:tcPr>
            <w:tcW w:w="247" w:type="pct"/>
            <w:tcBorders>
              <w:tl2br w:val="nil"/>
              <w:tr2bl w:val="nil"/>
            </w:tcBorders>
            <w:shd w:val="clear" w:color="auto" w:fill="auto"/>
            <w:noWrap/>
            <w:vAlign w:val="bottom"/>
          </w:tcPr>
          <w:p w14:paraId="48DB4B08">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7C9664B4">
            <w:pPr>
              <w:rPr>
                <w:rFonts w:hint="default" w:ascii="Times New Roman" w:hAnsi="Times New Roman" w:eastAsia="宋体" w:cs="Times New Roman"/>
                <w:b w:val="0"/>
                <w:bCs w:val="0"/>
                <w:i w:val="0"/>
                <w:iCs w:val="0"/>
                <w:color w:val="auto"/>
                <w:sz w:val="21"/>
                <w:szCs w:val="21"/>
                <w:u w:val="none"/>
              </w:rPr>
            </w:pPr>
          </w:p>
        </w:tc>
      </w:tr>
      <w:tr w14:paraId="5239F87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AE6942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High-salt diet</w:t>
            </w:r>
          </w:p>
        </w:tc>
        <w:tc>
          <w:tcPr>
            <w:tcW w:w="468" w:type="pct"/>
            <w:tcBorders>
              <w:tl2br w:val="nil"/>
              <w:tr2bl w:val="nil"/>
            </w:tcBorders>
            <w:shd w:val="clear" w:color="auto" w:fill="auto"/>
            <w:noWrap/>
            <w:vAlign w:val="bottom"/>
          </w:tcPr>
          <w:p w14:paraId="25C88749">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0067F8D4">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48A8E73">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1B5C4761">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3645FF36">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21D0187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0.526</w:t>
            </w:r>
          </w:p>
        </w:tc>
        <w:tc>
          <w:tcPr>
            <w:tcW w:w="211" w:type="pct"/>
            <w:tcBorders>
              <w:tl2br w:val="nil"/>
              <w:tr2bl w:val="nil"/>
            </w:tcBorders>
            <w:shd w:val="clear" w:color="auto" w:fill="auto"/>
            <w:noWrap/>
            <w:vAlign w:val="bottom"/>
          </w:tcPr>
          <w:p w14:paraId="133F26F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0.913</w:t>
            </w:r>
          </w:p>
        </w:tc>
      </w:tr>
      <w:tr w14:paraId="6A99F7E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28AEE86">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1097486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7147 (77.32)</w:t>
            </w:r>
          </w:p>
        </w:tc>
        <w:tc>
          <w:tcPr>
            <w:tcW w:w="1293" w:type="pct"/>
            <w:tcBorders>
              <w:tl2br w:val="nil"/>
              <w:tr2bl w:val="nil"/>
            </w:tcBorders>
            <w:shd w:val="clear" w:color="auto" w:fill="auto"/>
            <w:noWrap/>
            <w:vAlign w:val="bottom"/>
          </w:tcPr>
          <w:p w14:paraId="51FB379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4366 (77.45)</w:t>
            </w:r>
          </w:p>
        </w:tc>
        <w:tc>
          <w:tcPr>
            <w:tcW w:w="692" w:type="pct"/>
            <w:tcBorders>
              <w:tl2br w:val="nil"/>
              <w:tr2bl w:val="nil"/>
            </w:tcBorders>
            <w:shd w:val="clear" w:color="auto" w:fill="auto"/>
            <w:noWrap/>
            <w:vAlign w:val="bottom"/>
          </w:tcPr>
          <w:p w14:paraId="536C36C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2612 (77.23)</w:t>
            </w:r>
          </w:p>
        </w:tc>
        <w:tc>
          <w:tcPr>
            <w:tcW w:w="644" w:type="pct"/>
            <w:tcBorders>
              <w:tl2br w:val="nil"/>
              <w:tr2bl w:val="nil"/>
            </w:tcBorders>
            <w:shd w:val="clear" w:color="auto" w:fill="auto"/>
            <w:noWrap/>
            <w:vAlign w:val="bottom"/>
          </w:tcPr>
          <w:p w14:paraId="1235C5C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136 (75.56)</w:t>
            </w:r>
          </w:p>
        </w:tc>
        <w:tc>
          <w:tcPr>
            <w:tcW w:w="468" w:type="pct"/>
            <w:tcBorders>
              <w:tl2br w:val="nil"/>
              <w:tr2bl w:val="nil"/>
            </w:tcBorders>
            <w:shd w:val="clear" w:color="auto" w:fill="auto"/>
            <w:noWrap/>
            <w:vAlign w:val="bottom"/>
          </w:tcPr>
          <w:p w14:paraId="300FCBE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33 (75.00)</w:t>
            </w:r>
          </w:p>
        </w:tc>
        <w:tc>
          <w:tcPr>
            <w:tcW w:w="247" w:type="pct"/>
            <w:tcBorders>
              <w:tl2br w:val="nil"/>
              <w:tr2bl w:val="nil"/>
            </w:tcBorders>
            <w:shd w:val="clear" w:color="auto" w:fill="auto"/>
            <w:noWrap/>
            <w:vAlign w:val="bottom"/>
          </w:tcPr>
          <w:p w14:paraId="11F63CCA">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79CA4FF">
            <w:pPr>
              <w:rPr>
                <w:rFonts w:hint="default" w:ascii="Times New Roman" w:hAnsi="Times New Roman" w:eastAsia="宋体" w:cs="Times New Roman"/>
                <w:b w:val="0"/>
                <w:bCs w:val="0"/>
                <w:i w:val="0"/>
                <w:iCs w:val="0"/>
                <w:color w:val="auto"/>
                <w:sz w:val="21"/>
                <w:szCs w:val="21"/>
                <w:u w:val="none"/>
              </w:rPr>
            </w:pPr>
          </w:p>
        </w:tc>
      </w:tr>
      <w:tr w14:paraId="5173527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2C598E3">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72C10A1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2096 (22.68)</w:t>
            </w:r>
          </w:p>
        </w:tc>
        <w:tc>
          <w:tcPr>
            <w:tcW w:w="1293" w:type="pct"/>
            <w:tcBorders>
              <w:tl2br w:val="nil"/>
              <w:tr2bl w:val="nil"/>
            </w:tcBorders>
            <w:shd w:val="clear" w:color="auto" w:fill="auto"/>
            <w:noWrap/>
            <w:vAlign w:val="bottom"/>
          </w:tcPr>
          <w:p w14:paraId="1DD82FC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1271 (22.55)</w:t>
            </w:r>
          </w:p>
        </w:tc>
        <w:tc>
          <w:tcPr>
            <w:tcW w:w="692" w:type="pct"/>
            <w:tcBorders>
              <w:tl2br w:val="nil"/>
              <w:tr2bl w:val="nil"/>
            </w:tcBorders>
            <w:shd w:val="clear" w:color="auto" w:fill="auto"/>
            <w:noWrap/>
            <w:vAlign w:val="bottom"/>
          </w:tcPr>
          <w:p w14:paraId="2790DFF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770 (22.77)</w:t>
            </w:r>
          </w:p>
        </w:tc>
        <w:tc>
          <w:tcPr>
            <w:tcW w:w="644" w:type="pct"/>
            <w:tcBorders>
              <w:tl2br w:val="nil"/>
              <w:tr2bl w:val="nil"/>
            </w:tcBorders>
            <w:shd w:val="clear" w:color="auto" w:fill="auto"/>
            <w:noWrap/>
            <w:vAlign w:val="bottom"/>
          </w:tcPr>
          <w:p w14:paraId="3AE1D8F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44 (24.44)</w:t>
            </w:r>
          </w:p>
        </w:tc>
        <w:tc>
          <w:tcPr>
            <w:tcW w:w="468" w:type="pct"/>
            <w:tcBorders>
              <w:tl2br w:val="nil"/>
              <w:tr2bl w:val="nil"/>
            </w:tcBorders>
            <w:shd w:val="clear" w:color="auto" w:fill="auto"/>
            <w:noWrap/>
            <w:vAlign w:val="bottom"/>
          </w:tcPr>
          <w:p w14:paraId="46F1EEF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 (25.00)</w:t>
            </w:r>
          </w:p>
        </w:tc>
        <w:tc>
          <w:tcPr>
            <w:tcW w:w="247" w:type="pct"/>
            <w:tcBorders>
              <w:tl2br w:val="nil"/>
              <w:tr2bl w:val="nil"/>
            </w:tcBorders>
            <w:shd w:val="clear" w:color="auto" w:fill="auto"/>
            <w:noWrap/>
            <w:vAlign w:val="bottom"/>
          </w:tcPr>
          <w:p w14:paraId="2B8A4B7B">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3E7C556C">
            <w:pPr>
              <w:rPr>
                <w:rFonts w:hint="default" w:ascii="Times New Roman" w:hAnsi="Times New Roman" w:eastAsia="宋体" w:cs="Times New Roman"/>
                <w:b w:val="0"/>
                <w:bCs w:val="0"/>
                <w:i w:val="0"/>
                <w:iCs w:val="0"/>
                <w:color w:val="auto"/>
                <w:sz w:val="21"/>
                <w:szCs w:val="21"/>
                <w:u w:val="none"/>
              </w:rPr>
            </w:pPr>
          </w:p>
        </w:tc>
      </w:tr>
      <w:tr w14:paraId="4196464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C4D38C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Spicy food</w:t>
            </w:r>
          </w:p>
        </w:tc>
        <w:tc>
          <w:tcPr>
            <w:tcW w:w="468" w:type="pct"/>
            <w:tcBorders>
              <w:tl2br w:val="nil"/>
              <w:tr2bl w:val="nil"/>
            </w:tcBorders>
            <w:shd w:val="clear" w:color="auto" w:fill="auto"/>
            <w:noWrap/>
            <w:vAlign w:val="bottom"/>
          </w:tcPr>
          <w:p w14:paraId="16A691BC">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3C149699">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4465733C">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53F0B894">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5E1E2136">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20D8C8C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7.620</w:t>
            </w:r>
          </w:p>
        </w:tc>
        <w:tc>
          <w:tcPr>
            <w:tcW w:w="211" w:type="pct"/>
            <w:tcBorders>
              <w:tl2br w:val="nil"/>
              <w:tr2bl w:val="nil"/>
            </w:tcBorders>
            <w:shd w:val="clear" w:color="auto" w:fill="auto"/>
            <w:noWrap/>
            <w:vAlign w:val="bottom"/>
          </w:tcPr>
          <w:p w14:paraId="136EDE0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0.055</w:t>
            </w:r>
          </w:p>
        </w:tc>
      </w:tr>
      <w:tr w14:paraId="40B52FF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C04CA6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26E7F2F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8022 (86.79)</w:t>
            </w:r>
          </w:p>
        </w:tc>
        <w:tc>
          <w:tcPr>
            <w:tcW w:w="1293" w:type="pct"/>
            <w:tcBorders>
              <w:tl2br w:val="nil"/>
              <w:tr2bl w:val="nil"/>
            </w:tcBorders>
            <w:shd w:val="clear" w:color="auto" w:fill="auto"/>
            <w:noWrap/>
            <w:vAlign w:val="bottom"/>
          </w:tcPr>
          <w:p w14:paraId="730C52A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4857 (86.16)</w:t>
            </w:r>
          </w:p>
        </w:tc>
        <w:tc>
          <w:tcPr>
            <w:tcW w:w="692" w:type="pct"/>
            <w:tcBorders>
              <w:tl2br w:val="nil"/>
              <w:tr2bl w:val="nil"/>
            </w:tcBorders>
            <w:shd w:val="clear" w:color="auto" w:fill="auto"/>
            <w:noWrap/>
            <w:vAlign w:val="bottom"/>
          </w:tcPr>
          <w:p w14:paraId="0C513C4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2971 (87.85)</w:t>
            </w:r>
          </w:p>
        </w:tc>
        <w:tc>
          <w:tcPr>
            <w:tcW w:w="644" w:type="pct"/>
            <w:tcBorders>
              <w:tl2br w:val="nil"/>
              <w:tr2bl w:val="nil"/>
            </w:tcBorders>
            <w:shd w:val="clear" w:color="auto" w:fill="auto"/>
            <w:noWrap/>
            <w:vAlign w:val="bottom"/>
          </w:tcPr>
          <w:p w14:paraId="51BD7F8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159 (88.33)</w:t>
            </w:r>
          </w:p>
        </w:tc>
        <w:tc>
          <w:tcPr>
            <w:tcW w:w="468" w:type="pct"/>
            <w:tcBorders>
              <w:tl2br w:val="nil"/>
              <w:tr2bl w:val="nil"/>
            </w:tcBorders>
            <w:shd w:val="clear" w:color="auto" w:fill="auto"/>
            <w:noWrap/>
            <w:vAlign w:val="bottom"/>
          </w:tcPr>
          <w:p w14:paraId="257B497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35 (79.55)</w:t>
            </w:r>
          </w:p>
        </w:tc>
        <w:tc>
          <w:tcPr>
            <w:tcW w:w="247" w:type="pct"/>
            <w:tcBorders>
              <w:tl2br w:val="nil"/>
              <w:tr2bl w:val="nil"/>
            </w:tcBorders>
            <w:shd w:val="clear" w:color="auto" w:fill="auto"/>
            <w:noWrap/>
            <w:vAlign w:val="bottom"/>
          </w:tcPr>
          <w:p w14:paraId="0FD95404">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C014F32">
            <w:pPr>
              <w:rPr>
                <w:rFonts w:hint="default" w:ascii="Times New Roman" w:hAnsi="Times New Roman" w:eastAsia="宋体" w:cs="Times New Roman"/>
                <w:b w:val="0"/>
                <w:bCs w:val="0"/>
                <w:i w:val="0"/>
                <w:iCs w:val="0"/>
                <w:color w:val="auto"/>
                <w:sz w:val="21"/>
                <w:szCs w:val="21"/>
                <w:u w:val="none"/>
              </w:rPr>
            </w:pPr>
          </w:p>
        </w:tc>
      </w:tr>
      <w:tr w14:paraId="3670F0C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229ADE0">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36E6955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1221 (13.21)</w:t>
            </w:r>
          </w:p>
        </w:tc>
        <w:tc>
          <w:tcPr>
            <w:tcW w:w="1293" w:type="pct"/>
            <w:tcBorders>
              <w:tl2br w:val="nil"/>
              <w:tr2bl w:val="nil"/>
            </w:tcBorders>
            <w:shd w:val="clear" w:color="auto" w:fill="auto"/>
            <w:noWrap/>
            <w:vAlign w:val="bottom"/>
          </w:tcPr>
          <w:p w14:paraId="0A6C950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780 (13.84)</w:t>
            </w:r>
          </w:p>
        </w:tc>
        <w:tc>
          <w:tcPr>
            <w:tcW w:w="692" w:type="pct"/>
            <w:tcBorders>
              <w:tl2br w:val="nil"/>
              <w:tr2bl w:val="nil"/>
            </w:tcBorders>
            <w:shd w:val="clear" w:color="auto" w:fill="auto"/>
            <w:noWrap/>
            <w:vAlign w:val="bottom"/>
          </w:tcPr>
          <w:p w14:paraId="47568B7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411 (12.15)</w:t>
            </w:r>
          </w:p>
        </w:tc>
        <w:tc>
          <w:tcPr>
            <w:tcW w:w="644" w:type="pct"/>
            <w:tcBorders>
              <w:tl2br w:val="nil"/>
              <w:tr2bl w:val="nil"/>
            </w:tcBorders>
            <w:shd w:val="clear" w:color="auto" w:fill="auto"/>
            <w:noWrap/>
            <w:vAlign w:val="bottom"/>
          </w:tcPr>
          <w:p w14:paraId="1E97F4E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21 (11.67)</w:t>
            </w:r>
          </w:p>
        </w:tc>
        <w:tc>
          <w:tcPr>
            <w:tcW w:w="468" w:type="pct"/>
            <w:tcBorders>
              <w:tl2br w:val="nil"/>
              <w:tr2bl w:val="nil"/>
            </w:tcBorders>
            <w:shd w:val="clear" w:color="auto" w:fill="auto"/>
            <w:noWrap/>
            <w:vAlign w:val="bottom"/>
          </w:tcPr>
          <w:p w14:paraId="793BF33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 (20.45)</w:t>
            </w:r>
          </w:p>
        </w:tc>
        <w:tc>
          <w:tcPr>
            <w:tcW w:w="247" w:type="pct"/>
            <w:tcBorders>
              <w:tl2br w:val="nil"/>
              <w:tr2bl w:val="nil"/>
            </w:tcBorders>
            <w:shd w:val="clear" w:color="auto" w:fill="auto"/>
            <w:noWrap/>
            <w:vAlign w:val="bottom"/>
          </w:tcPr>
          <w:p w14:paraId="08D6C93A">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35F4C43A">
            <w:pPr>
              <w:rPr>
                <w:rFonts w:hint="default" w:ascii="Times New Roman" w:hAnsi="Times New Roman" w:eastAsia="宋体" w:cs="Times New Roman"/>
                <w:b w:val="0"/>
                <w:bCs w:val="0"/>
                <w:i w:val="0"/>
                <w:iCs w:val="0"/>
                <w:color w:val="auto"/>
                <w:sz w:val="21"/>
                <w:szCs w:val="21"/>
                <w:u w:val="none"/>
              </w:rPr>
            </w:pPr>
          </w:p>
        </w:tc>
      </w:tr>
      <w:tr w14:paraId="5C35BAD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F6A958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Physical activity frequency</w:t>
            </w:r>
          </w:p>
        </w:tc>
        <w:tc>
          <w:tcPr>
            <w:tcW w:w="468" w:type="pct"/>
            <w:tcBorders>
              <w:tl2br w:val="nil"/>
              <w:tr2bl w:val="nil"/>
            </w:tcBorders>
            <w:shd w:val="clear" w:color="auto" w:fill="auto"/>
            <w:noWrap/>
            <w:vAlign w:val="bottom"/>
          </w:tcPr>
          <w:p w14:paraId="5B1EE32A">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241D5314">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509A3561">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2AFD17FB">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0F940AC8">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2FAB08A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5.277</w:t>
            </w:r>
          </w:p>
        </w:tc>
        <w:tc>
          <w:tcPr>
            <w:tcW w:w="211" w:type="pct"/>
            <w:tcBorders>
              <w:tl2br w:val="nil"/>
              <w:tr2bl w:val="nil"/>
            </w:tcBorders>
            <w:shd w:val="clear" w:color="auto" w:fill="auto"/>
            <w:noWrap/>
            <w:vAlign w:val="bottom"/>
          </w:tcPr>
          <w:p w14:paraId="6E9A72F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0.509</w:t>
            </w:r>
          </w:p>
        </w:tc>
      </w:tr>
      <w:tr w14:paraId="559CC73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F046F8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Never/Almost never</w:t>
            </w:r>
          </w:p>
        </w:tc>
        <w:tc>
          <w:tcPr>
            <w:tcW w:w="468" w:type="pct"/>
            <w:tcBorders>
              <w:tl2br w:val="nil"/>
              <w:tr2bl w:val="nil"/>
            </w:tcBorders>
            <w:shd w:val="clear" w:color="auto" w:fill="auto"/>
            <w:noWrap/>
            <w:vAlign w:val="bottom"/>
          </w:tcPr>
          <w:p w14:paraId="621C75E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5972 (64.61)</w:t>
            </w:r>
          </w:p>
        </w:tc>
        <w:tc>
          <w:tcPr>
            <w:tcW w:w="1293" w:type="pct"/>
            <w:tcBorders>
              <w:tl2br w:val="nil"/>
              <w:tr2bl w:val="nil"/>
            </w:tcBorders>
            <w:shd w:val="clear" w:color="auto" w:fill="auto"/>
            <w:noWrap/>
            <w:vAlign w:val="bottom"/>
          </w:tcPr>
          <w:p w14:paraId="35BBB5A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3646 (64.68)</w:t>
            </w:r>
          </w:p>
        </w:tc>
        <w:tc>
          <w:tcPr>
            <w:tcW w:w="692" w:type="pct"/>
            <w:tcBorders>
              <w:tl2br w:val="nil"/>
              <w:tr2bl w:val="nil"/>
            </w:tcBorders>
            <w:shd w:val="clear" w:color="auto" w:fill="auto"/>
            <w:noWrap/>
            <w:vAlign w:val="bottom"/>
          </w:tcPr>
          <w:p w14:paraId="5A15560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2172 (64.22)</w:t>
            </w:r>
          </w:p>
        </w:tc>
        <w:tc>
          <w:tcPr>
            <w:tcW w:w="644" w:type="pct"/>
            <w:tcBorders>
              <w:tl2br w:val="nil"/>
              <w:tr2bl w:val="nil"/>
            </w:tcBorders>
            <w:shd w:val="clear" w:color="auto" w:fill="auto"/>
            <w:noWrap/>
            <w:vAlign w:val="bottom"/>
          </w:tcPr>
          <w:p w14:paraId="1F86B7E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124 (68.89)</w:t>
            </w:r>
          </w:p>
        </w:tc>
        <w:tc>
          <w:tcPr>
            <w:tcW w:w="468" w:type="pct"/>
            <w:tcBorders>
              <w:tl2br w:val="nil"/>
              <w:tr2bl w:val="nil"/>
            </w:tcBorders>
            <w:shd w:val="clear" w:color="auto" w:fill="auto"/>
            <w:noWrap/>
            <w:vAlign w:val="bottom"/>
          </w:tcPr>
          <w:p w14:paraId="68B5BD4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30 (68.18)</w:t>
            </w:r>
          </w:p>
        </w:tc>
        <w:tc>
          <w:tcPr>
            <w:tcW w:w="247" w:type="pct"/>
            <w:tcBorders>
              <w:tl2br w:val="nil"/>
              <w:tr2bl w:val="nil"/>
            </w:tcBorders>
            <w:shd w:val="clear" w:color="auto" w:fill="auto"/>
            <w:noWrap/>
            <w:vAlign w:val="bottom"/>
          </w:tcPr>
          <w:p w14:paraId="60CAC130">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3EED5817">
            <w:pPr>
              <w:rPr>
                <w:rFonts w:hint="default" w:ascii="Times New Roman" w:hAnsi="Times New Roman" w:eastAsia="宋体" w:cs="Times New Roman"/>
                <w:b w:val="0"/>
                <w:bCs w:val="0"/>
                <w:i w:val="0"/>
                <w:iCs w:val="0"/>
                <w:color w:val="auto"/>
                <w:sz w:val="21"/>
                <w:szCs w:val="21"/>
                <w:u w:val="none"/>
              </w:rPr>
            </w:pPr>
          </w:p>
        </w:tc>
      </w:tr>
      <w:tr w14:paraId="4221A8C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B6D47B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Occasionally</w:t>
            </w:r>
          </w:p>
        </w:tc>
        <w:tc>
          <w:tcPr>
            <w:tcW w:w="468" w:type="pct"/>
            <w:tcBorders>
              <w:tl2br w:val="nil"/>
              <w:tr2bl w:val="nil"/>
            </w:tcBorders>
            <w:shd w:val="clear" w:color="auto" w:fill="auto"/>
            <w:noWrap/>
            <w:vAlign w:val="bottom"/>
          </w:tcPr>
          <w:p w14:paraId="0FB8374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932 (10.08)</w:t>
            </w:r>
          </w:p>
        </w:tc>
        <w:tc>
          <w:tcPr>
            <w:tcW w:w="1293" w:type="pct"/>
            <w:tcBorders>
              <w:tl2br w:val="nil"/>
              <w:tr2bl w:val="nil"/>
            </w:tcBorders>
            <w:shd w:val="clear" w:color="auto" w:fill="auto"/>
            <w:noWrap/>
            <w:vAlign w:val="bottom"/>
          </w:tcPr>
          <w:p w14:paraId="381666E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576 (10.22)</w:t>
            </w:r>
          </w:p>
        </w:tc>
        <w:tc>
          <w:tcPr>
            <w:tcW w:w="692" w:type="pct"/>
            <w:tcBorders>
              <w:tl2br w:val="nil"/>
              <w:tr2bl w:val="nil"/>
            </w:tcBorders>
            <w:shd w:val="clear" w:color="auto" w:fill="auto"/>
            <w:noWrap/>
            <w:vAlign w:val="bottom"/>
          </w:tcPr>
          <w:p w14:paraId="787FE56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341 (10.08)</w:t>
            </w:r>
          </w:p>
        </w:tc>
        <w:tc>
          <w:tcPr>
            <w:tcW w:w="644" w:type="pct"/>
            <w:tcBorders>
              <w:tl2br w:val="nil"/>
              <w:tr2bl w:val="nil"/>
            </w:tcBorders>
            <w:shd w:val="clear" w:color="auto" w:fill="auto"/>
            <w:noWrap/>
            <w:vAlign w:val="bottom"/>
          </w:tcPr>
          <w:p w14:paraId="030920F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 (7.78)</w:t>
            </w:r>
          </w:p>
        </w:tc>
        <w:tc>
          <w:tcPr>
            <w:tcW w:w="468" w:type="pct"/>
            <w:tcBorders>
              <w:tl2br w:val="nil"/>
              <w:tr2bl w:val="nil"/>
            </w:tcBorders>
            <w:shd w:val="clear" w:color="auto" w:fill="auto"/>
            <w:noWrap/>
            <w:vAlign w:val="bottom"/>
          </w:tcPr>
          <w:p w14:paraId="192E229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 (2.27)</w:t>
            </w:r>
          </w:p>
        </w:tc>
        <w:tc>
          <w:tcPr>
            <w:tcW w:w="247" w:type="pct"/>
            <w:tcBorders>
              <w:tl2br w:val="nil"/>
              <w:tr2bl w:val="nil"/>
            </w:tcBorders>
            <w:shd w:val="clear" w:color="auto" w:fill="auto"/>
            <w:noWrap/>
            <w:vAlign w:val="bottom"/>
          </w:tcPr>
          <w:p w14:paraId="4AACD452">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69460E5">
            <w:pPr>
              <w:rPr>
                <w:rFonts w:hint="default" w:ascii="Times New Roman" w:hAnsi="Times New Roman" w:eastAsia="宋体" w:cs="Times New Roman"/>
                <w:b w:val="0"/>
                <w:bCs w:val="0"/>
                <w:i w:val="0"/>
                <w:iCs w:val="0"/>
                <w:color w:val="auto"/>
                <w:sz w:val="21"/>
                <w:szCs w:val="21"/>
                <w:u w:val="none"/>
              </w:rPr>
            </w:pPr>
          </w:p>
        </w:tc>
      </w:tr>
      <w:tr w14:paraId="24ECB11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55C4146">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Style w:val="9"/>
                <w:rFonts w:hint="default" w:ascii="Times New Roman" w:hAnsi="Times New Roman" w:eastAsia="宋体" w:cs="Times New Roman"/>
                <w:b w:val="0"/>
                <w:bCs w:val="0"/>
                <w:color w:val="auto"/>
                <w:sz w:val="21"/>
                <w:szCs w:val="21"/>
                <w:lang w:val="en-US" w:eastAsia="zh-CN" w:bidi="ar"/>
              </w:rPr>
              <w:t>Frequently</w:t>
            </w:r>
          </w:p>
        </w:tc>
        <w:tc>
          <w:tcPr>
            <w:tcW w:w="468" w:type="pct"/>
            <w:tcBorders>
              <w:tl2br w:val="nil"/>
              <w:tr2bl w:val="nil"/>
            </w:tcBorders>
            <w:shd w:val="clear" w:color="auto" w:fill="auto"/>
            <w:noWrap/>
            <w:vAlign w:val="bottom"/>
          </w:tcPr>
          <w:p w14:paraId="283A89C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2339 (25.31)</w:t>
            </w:r>
          </w:p>
        </w:tc>
        <w:tc>
          <w:tcPr>
            <w:tcW w:w="1293" w:type="pct"/>
            <w:tcBorders>
              <w:tl2br w:val="nil"/>
              <w:tr2bl w:val="nil"/>
            </w:tcBorders>
            <w:shd w:val="clear" w:color="auto" w:fill="auto"/>
            <w:noWrap/>
            <w:vAlign w:val="bottom"/>
          </w:tcPr>
          <w:p w14:paraId="4B39EE8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1415 (25.10)</w:t>
            </w:r>
          </w:p>
        </w:tc>
        <w:tc>
          <w:tcPr>
            <w:tcW w:w="692" w:type="pct"/>
            <w:tcBorders>
              <w:tl2br w:val="nil"/>
              <w:tr2bl w:val="nil"/>
            </w:tcBorders>
            <w:shd w:val="clear" w:color="auto" w:fill="auto"/>
            <w:noWrap/>
            <w:vAlign w:val="bottom"/>
          </w:tcPr>
          <w:p w14:paraId="18B42EC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869 (25.69)</w:t>
            </w:r>
          </w:p>
        </w:tc>
        <w:tc>
          <w:tcPr>
            <w:tcW w:w="644" w:type="pct"/>
            <w:tcBorders>
              <w:tl2br w:val="nil"/>
              <w:tr2bl w:val="nil"/>
            </w:tcBorders>
            <w:shd w:val="clear" w:color="auto" w:fill="auto"/>
            <w:noWrap/>
            <w:vAlign w:val="bottom"/>
          </w:tcPr>
          <w:p w14:paraId="7E90BF0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42 (23.33)</w:t>
            </w:r>
          </w:p>
        </w:tc>
        <w:tc>
          <w:tcPr>
            <w:tcW w:w="468" w:type="pct"/>
            <w:tcBorders>
              <w:tl2br w:val="nil"/>
              <w:tr2bl w:val="nil"/>
            </w:tcBorders>
            <w:shd w:val="clear" w:color="auto" w:fill="auto"/>
            <w:noWrap/>
            <w:vAlign w:val="bottom"/>
          </w:tcPr>
          <w:p w14:paraId="07BD562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 (29.55)</w:t>
            </w:r>
          </w:p>
        </w:tc>
        <w:tc>
          <w:tcPr>
            <w:tcW w:w="247" w:type="pct"/>
            <w:tcBorders>
              <w:tl2br w:val="nil"/>
              <w:tr2bl w:val="nil"/>
            </w:tcBorders>
            <w:shd w:val="clear" w:color="auto" w:fill="auto"/>
            <w:noWrap/>
            <w:vAlign w:val="bottom"/>
          </w:tcPr>
          <w:p w14:paraId="7DBCA005">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BAE8776">
            <w:pPr>
              <w:rPr>
                <w:rFonts w:hint="default" w:ascii="Times New Roman" w:hAnsi="Times New Roman" w:eastAsia="宋体" w:cs="Times New Roman"/>
                <w:b w:val="0"/>
                <w:bCs w:val="0"/>
                <w:i w:val="0"/>
                <w:iCs w:val="0"/>
                <w:color w:val="auto"/>
                <w:sz w:val="21"/>
                <w:szCs w:val="21"/>
                <w:u w:val="none"/>
              </w:rPr>
            </w:pPr>
          </w:p>
        </w:tc>
      </w:tr>
      <w:tr w14:paraId="1B4D13C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32D8E6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Family history of cancer</w:t>
            </w:r>
          </w:p>
        </w:tc>
        <w:tc>
          <w:tcPr>
            <w:tcW w:w="468" w:type="pct"/>
            <w:tcBorders>
              <w:tl2br w:val="nil"/>
              <w:tr2bl w:val="nil"/>
            </w:tcBorders>
            <w:shd w:val="clear" w:color="auto" w:fill="auto"/>
            <w:noWrap/>
            <w:vAlign w:val="bottom"/>
          </w:tcPr>
          <w:p w14:paraId="0AD68AF1">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4E4C7CDB">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9A4E74D">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43809FC6">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1E1AC8E0">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20A76CB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5.307</w:t>
            </w:r>
          </w:p>
        </w:tc>
        <w:tc>
          <w:tcPr>
            <w:tcW w:w="211" w:type="pct"/>
            <w:tcBorders>
              <w:tl2br w:val="nil"/>
              <w:tr2bl w:val="nil"/>
            </w:tcBorders>
            <w:shd w:val="clear" w:color="auto" w:fill="auto"/>
            <w:noWrap/>
            <w:vAlign w:val="bottom"/>
          </w:tcPr>
          <w:p w14:paraId="7B6DF56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0.151</w:t>
            </w:r>
          </w:p>
        </w:tc>
      </w:tr>
      <w:tr w14:paraId="6A9F1C4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C7A91F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0321691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3335 (36.08)</w:t>
            </w:r>
          </w:p>
        </w:tc>
        <w:tc>
          <w:tcPr>
            <w:tcW w:w="1293" w:type="pct"/>
            <w:tcBorders>
              <w:tl2br w:val="nil"/>
              <w:tr2bl w:val="nil"/>
            </w:tcBorders>
            <w:shd w:val="clear" w:color="auto" w:fill="auto"/>
            <w:noWrap/>
            <w:vAlign w:val="bottom"/>
          </w:tcPr>
          <w:p w14:paraId="37BE582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2073 (36.77)</w:t>
            </w:r>
          </w:p>
        </w:tc>
        <w:tc>
          <w:tcPr>
            <w:tcW w:w="692" w:type="pct"/>
            <w:tcBorders>
              <w:tl2br w:val="nil"/>
              <w:tr2bl w:val="nil"/>
            </w:tcBorders>
            <w:shd w:val="clear" w:color="auto" w:fill="auto"/>
            <w:noWrap/>
            <w:vAlign w:val="bottom"/>
          </w:tcPr>
          <w:p w14:paraId="7330DDB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1184 (35.01)</w:t>
            </w:r>
          </w:p>
        </w:tc>
        <w:tc>
          <w:tcPr>
            <w:tcW w:w="644" w:type="pct"/>
            <w:tcBorders>
              <w:tl2br w:val="nil"/>
              <w:tr2bl w:val="nil"/>
            </w:tcBorders>
            <w:shd w:val="clear" w:color="auto" w:fill="auto"/>
            <w:noWrap/>
            <w:vAlign w:val="bottom"/>
          </w:tcPr>
          <w:p w14:paraId="73EFFC4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67 (37.22)</w:t>
            </w:r>
          </w:p>
        </w:tc>
        <w:tc>
          <w:tcPr>
            <w:tcW w:w="468" w:type="pct"/>
            <w:tcBorders>
              <w:tl2br w:val="nil"/>
              <w:tr2bl w:val="nil"/>
            </w:tcBorders>
            <w:shd w:val="clear" w:color="auto" w:fill="auto"/>
            <w:noWrap/>
            <w:vAlign w:val="bottom"/>
          </w:tcPr>
          <w:p w14:paraId="4B5AA4D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 (25.00)</w:t>
            </w:r>
          </w:p>
        </w:tc>
        <w:tc>
          <w:tcPr>
            <w:tcW w:w="247" w:type="pct"/>
            <w:tcBorders>
              <w:tl2br w:val="nil"/>
              <w:tr2bl w:val="nil"/>
            </w:tcBorders>
            <w:shd w:val="clear" w:color="auto" w:fill="auto"/>
            <w:noWrap/>
            <w:vAlign w:val="bottom"/>
          </w:tcPr>
          <w:p w14:paraId="0E8A6E2D">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AF25767">
            <w:pPr>
              <w:rPr>
                <w:rFonts w:hint="default" w:ascii="Times New Roman" w:hAnsi="Times New Roman" w:eastAsia="宋体" w:cs="Times New Roman"/>
                <w:b w:val="0"/>
                <w:bCs w:val="0"/>
                <w:i w:val="0"/>
                <w:iCs w:val="0"/>
                <w:color w:val="auto"/>
                <w:sz w:val="21"/>
                <w:szCs w:val="21"/>
                <w:u w:val="none"/>
              </w:rPr>
            </w:pPr>
          </w:p>
        </w:tc>
      </w:tr>
      <w:tr w14:paraId="3C7F1D6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2636C47">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4F6A927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5908 (63.92)</w:t>
            </w:r>
          </w:p>
        </w:tc>
        <w:tc>
          <w:tcPr>
            <w:tcW w:w="1293" w:type="pct"/>
            <w:tcBorders>
              <w:tl2br w:val="nil"/>
              <w:tr2bl w:val="nil"/>
            </w:tcBorders>
            <w:shd w:val="clear" w:color="auto" w:fill="auto"/>
            <w:noWrap/>
            <w:vAlign w:val="bottom"/>
          </w:tcPr>
          <w:p w14:paraId="24EB9E4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3564 (63.23)</w:t>
            </w:r>
          </w:p>
        </w:tc>
        <w:tc>
          <w:tcPr>
            <w:tcW w:w="692" w:type="pct"/>
            <w:tcBorders>
              <w:tl2br w:val="nil"/>
              <w:tr2bl w:val="nil"/>
            </w:tcBorders>
            <w:shd w:val="clear" w:color="auto" w:fill="auto"/>
            <w:noWrap/>
            <w:vAlign w:val="bottom"/>
          </w:tcPr>
          <w:p w14:paraId="45B04C7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2198 (64.99)</w:t>
            </w:r>
          </w:p>
        </w:tc>
        <w:tc>
          <w:tcPr>
            <w:tcW w:w="644" w:type="pct"/>
            <w:tcBorders>
              <w:tl2br w:val="nil"/>
              <w:tr2bl w:val="nil"/>
            </w:tcBorders>
            <w:shd w:val="clear" w:color="auto" w:fill="auto"/>
            <w:noWrap/>
            <w:vAlign w:val="bottom"/>
          </w:tcPr>
          <w:p w14:paraId="6CEE76F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113 (62.78)</w:t>
            </w:r>
          </w:p>
        </w:tc>
        <w:tc>
          <w:tcPr>
            <w:tcW w:w="468" w:type="pct"/>
            <w:tcBorders>
              <w:tl2br w:val="nil"/>
              <w:tr2bl w:val="nil"/>
            </w:tcBorders>
            <w:shd w:val="clear" w:color="auto" w:fill="auto"/>
            <w:noWrap/>
            <w:vAlign w:val="bottom"/>
          </w:tcPr>
          <w:p w14:paraId="457A13E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33 (75.00)</w:t>
            </w:r>
          </w:p>
        </w:tc>
        <w:tc>
          <w:tcPr>
            <w:tcW w:w="247" w:type="pct"/>
            <w:tcBorders>
              <w:tl2br w:val="nil"/>
              <w:tr2bl w:val="nil"/>
            </w:tcBorders>
            <w:shd w:val="clear" w:color="auto" w:fill="auto"/>
            <w:noWrap/>
            <w:vAlign w:val="bottom"/>
          </w:tcPr>
          <w:p w14:paraId="7F64EC41">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5ADD0BE">
            <w:pPr>
              <w:rPr>
                <w:rFonts w:hint="default" w:ascii="Times New Roman" w:hAnsi="Times New Roman" w:eastAsia="宋体" w:cs="Times New Roman"/>
                <w:b w:val="0"/>
                <w:bCs w:val="0"/>
                <w:i w:val="0"/>
                <w:iCs w:val="0"/>
                <w:color w:val="auto"/>
                <w:sz w:val="21"/>
                <w:szCs w:val="21"/>
                <w:u w:val="none"/>
              </w:rPr>
            </w:pPr>
          </w:p>
        </w:tc>
      </w:tr>
      <w:tr w14:paraId="2042177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211A93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Family history of chronic diseases</w:t>
            </w:r>
          </w:p>
        </w:tc>
        <w:tc>
          <w:tcPr>
            <w:tcW w:w="468" w:type="pct"/>
            <w:tcBorders>
              <w:tl2br w:val="nil"/>
              <w:tr2bl w:val="nil"/>
            </w:tcBorders>
            <w:shd w:val="clear" w:color="auto" w:fill="auto"/>
            <w:noWrap/>
            <w:vAlign w:val="bottom"/>
          </w:tcPr>
          <w:p w14:paraId="1F8CB359">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15B40273">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777F3C8">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1AC7009D">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304C73F5">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134C027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0.497</w:t>
            </w:r>
          </w:p>
        </w:tc>
        <w:tc>
          <w:tcPr>
            <w:tcW w:w="211" w:type="pct"/>
            <w:tcBorders>
              <w:tl2br w:val="nil"/>
              <w:tr2bl w:val="nil"/>
            </w:tcBorders>
            <w:shd w:val="clear" w:color="auto" w:fill="auto"/>
            <w:noWrap/>
            <w:vAlign w:val="bottom"/>
          </w:tcPr>
          <w:p w14:paraId="49B56CC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0.920</w:t>
            </w:r>
          </w:p>
        </w:tc>
      </w:tr>
      <w:tr w14:paraId="5AA64DF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701187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666BC87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3312 (35.83)</w:t>
            </w:r>
          </w:p>
        </w:tc>
        <w:tc>
          <w:tcPr>
            <w:tcW w:w="1293" w:type="pct"/>
            <w:tcBorders>
              <w:tl2br w:val="nil"/>
              <w:tr2bl w:val="nil"/>
            </w:tcBorders>
            <w:shd w:val="clear" w:color="auto" w:fill="auto"/>
            <w:noWrap/>
            <w:vAlign w:val="bottom"/>
          </w:tcPr>
          <w:p w14:paraId="35BA70D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2007 (35.60)</w:t>
            </w:r>
          </w:p>
        </w:tc>
        <w:tc>
          <w:tcPr>
            <w:tcW w:w="692" w:type="pct"/>
            <w:tcBorders>
              <w:tl2br w:val="nil"/>
              <w:tr2bl w:val="nil"/>
            </w:tcBorders>
            <w:shd w:val="clear" w:color="auto" w:fill="auto"/>
            <w:noWrap/>
            <w:vAlign w:val="bottom"/>
          </w:tcPr>
          <w:p w14:paraId="33914F1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1223 (36.16)</w:t>
            </w:r>
          </w:p>
        </w:tc>
        <w:tc>
          <w:tcPr>
            <w:tcW w:w="644" w:type="pct"/>
            <w:tcBorders>
              <w:tl2br w:val="nil"/>
              <w:tr2bl w:val="nil"/>
            </w:tcBorders>
            <w:shd w:val="clear" w:color="auto" w:fill="auto"/>
            <w:noWrap/>
            <w:vAlign w:val="bottom"/>
          </w:tcPr>
          <w:p w14:paraId="037E91C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67 (37.22)</w:t>
            </w:r>
          </w:p>
        </w:tc>
        <w:tc>
          <w:tcPr>
            <w:tcW w:w="468" w:type="pct"/>
            <w:tcBorders>
              <w:tl2br w:val="nil"/>
              <w:tr2bl w:val="nil"/>
            </w:tcBorders>
            <w:shd w:val="clear" w:color="auto" w:fill="auto"/>
            <w:noWrap/>
            <w:vAlign w:val="bottom"/>
          </w:tcPr>
          <w:p w14:paraId="233F080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 (34.09)</w:t>
            </w:r>
          </w:p>
        </w:tc>
        <w:tc>
          <w:tcPr>
            <w:tcW w:w="247" w:type="pct"/>
            <w:tcBorders>
              <w:tl2br w:val="nil"/>
              <w:tr2bl w:val="nil"/>
            </w:tcBorders>
            <w:shd w:val="clear" w:color="auto" w:fill="auto"/>
            <w:noWrap/>
            <w:vAlign w:val="bottom"/>
          </w:tcPr>
          <w:p w14:paraId="44806635">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08A80895">
            <w:pPr>
              <w:rPr>
                <w:rFonts w:hint="default" w:ascii="Times New Roman" w:hAnsi="Times New Roman" w:eastAsia="宋体" w:cs="Times New Roman"/>
                <w:b w:val="0"/>
                <w:bCs w:val="0"/>
                <w:i w:val="0"/>
                <w:iCs w:val="0"/>
                <w:color w:val="auto"/>
                <w:sz w:val="21"/>
                <w:szCs w:val="21"/>
                <w:u w:val="none"/>
              </w:rPr>
            </w:pPr>
          </w:p>
        </w:tc>
      </w:tr>
      <w:tr w14:paraId="5B5C8AF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F447907">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493BBB7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5931 (64.17)</w:t>
            </w:r>
          </w:p>
        </w:tc>
        <w:tc>
          <w:tcPr>
            <w:tcW w:w="1293" w:type="pct"/>
            <w:tcBorders>
              <w:tl2br w:val="nil"/>
              <w:tr2bl w:val="nil"/>
            </w:tcBorders>
            <w:shd w:val="clear" w:color="auto" w:fill="auto"/>
            <w:noWrap/>
            <w:vAlign w:val="bottom"/>
          </w:tcPr>
          <w:p w14:paraId="0A8C211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3630 (64.40)</w:t>
            </w:r>
          </w:p>
        </w:tc>
        <w:tc>
          <w:tcPr>
            <w:tcW w:w="692" w:type="pct"/>
            <w:tcBorders>
              <w:tl2br w:val="nil"/>
              <w:tr2bl w:val="nil"/>
            </w:tcBorders>
            <w:shd w:val="clear" w:color="auto" w:fill="auto"/>
            <w:noWrap/>
            <w:vAlign w:val="bottom"/>
          </w:tcPr>
          <w:p w14:paraId="7102AF6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2159 (63.84)</w:t>
            </w:r>
          </w:p>
        </w:tc>
        <w:tc>
          <w:tcPr>
            <w:tcW w:w="644" w:type="pct"/>
            <w:tcBorders>
              <w:tl2br w:val="nil"/>
              <w:tr2bl w:val="nil"/>
            </w:tcBorders>
            <w:shd w:val="clear" w:color="auto" w:fill="auto"/>
            <w:noWrap/>
            <w:vAlign w:val="bottom"/>
          </w:tcPr>
          <w:p w14:paraId="03C068E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113 (62.78)</w:t>
            </w:r>
          </w:p>
        </w:tc>
        <w:tc>
          <w:tcPr>
            <w:tcW w:w="468" w:type="pct"/>
            <w:tcBorders>
              <w:tl2br w:val="nil"/>
              <w:tr2bl w:val="nil"/>
            </w:tcBorders>
            <w:shd w:val="clear" w:color="auto" w:fill="auto"/>
            <w:noWrap/>
            <w:vAlign w:val="bottom"/>
          </w:tcPr>
          <w:p w14:paraId="2C6B017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29 (65.91)</w:t>
            </w:r>
          </w:p>
        </w:tc>
        <w:tc>
          <w:tcPr>
            <w:tcW w:w="247" w:type="pct"/>
            <w:tcBorders>
              <w:tl2br w:val="nil"/>
              <w:tr2bl w:val="nil"/>
            </w:tcBorders>
            <w:shd w:val="clear" w:color="auto" w:fill="auto"/>
            <w:noWrap/>
            <w:vAlign w:val="bottom"/>
          </w:tcPr>
          <w:p w14:paraId="1D7F4336">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639C42B">
            <w:pPr>
              <w:rPr>
                <w:rFonts w:hint="default" w:ascii="Times New Roman" w:hAnsi="Times New Roman" w:eastAsia="宋体" w:cs="Times New Roman"/>
                <w:b w:val="0"/>
                <w:bCs w:val="0"/>
                <w:i w:val="0"/>
                <w:iCs w:val="0"/>
                <w:color w:val="auto"/>
                <w:sz w:val="21"/>
                <w:szCs w:val="21"/>
                <w:u w:val="none"/>
              </w:rPr>
            </w:pPr>
          </w:p>
        </w:tc>
      </w:tr>
      <w:tr w14:paraId="5D7F4C9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AE284A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H</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p </w:t>
            </w:r>
            <w:r>
              <w:rPr>
                <w:rFonts w:hint="default" w:ascii="Times New Roman" w:hAnsi="Times New Roman" w:eastAsia="宋体" w:cs="Times New Roman"/>
                <w:b w:val="0"/>
                <w:bCs w:val="0"/>
                <w:i w:val="0"/>
                <w:iCs w:val="0"/>
                <w:color w:val="auto"/>
                <w:kern w:val="0"/>
                <w:sz w:val="21"/>
                <w:szCs w:val="21"/>
                <w:u w:val="none"/>
                <w:lang w:val="en-US" w:eastAsia="zh-CN" w:bidi="ar"/>
              </w:rPr>
              <w:t>infection</w:t>
            </w:r>
          </w:p>
        </w:tc>
        <w:tc>
          <w:tcPr>
            <w:tcW w:w="468" w:type="pct"/>
            <w:tcBorders>
              <w:tl2br w:val="nil"/>
              <w:tr2bl w:val="nil"/>
            </w:tcBorders>
            <w:shd w:val="clear" w:color="auto" w:fill="auto"/>
            <w:noWrap/>
            <w:vAlign w:val="bottom"/>
          </w:tcPr>
          <w:p w14:paraId="13AF541E">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5D6F1908">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69268B63">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00CF2031">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310CE0B5">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7DAC170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183.851</w:t>
            </w:r>
          </w:p>
        </w:tc>
        <w:tc>
          <w:tcPr>
            <w:tcW w:w="211" w:type="pct"/>
            <w:tcBorders>
              <w:tl2br w:val="nil"/>
              <w:tr2bl w:val="nil"/>
            </w:tcBorders>
            <w:shd w:val="clear" w:color="auto" w:fill="auto"/>
            <w:noWrap/>
            <w:vAlign w:val="bottom"/>
          </w:tcPr>
          <w:p w14:paraId="1FB679B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r w14:paraId="6511C82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BB1510A">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04E6784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5352 (57.90)</w:t>
            </w:r>
          </w:p>
        </w:tc>
        <w:tc>
          <w:tcPr>
            <w:tcW w:w="1293" w:type="pct"/>
            <w:tcBorders>
              <w:tl2br w:val="nil"/>
              <w:tr2bl w:val="nil"/>
            </w:tcBorders>
            <w:shd w:val="clear" w:color="auto" w:fill="auto"/>
            <w:noWrap/>
            <w:vAlign w:val="bottom"/>
          </w:tcPr>
          <w:p w14:paraId="73546B8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3557 (63.10)</w:t>
            </w:r>
          </w:p>
        </w:tc>
        <w:tc>
          <w:tcPr>
            <w:tcW w:w="692" w:type="pct"/>
            <w:tcBorders>
              <w:tl2br w:val="nil"/>
              <w:tr2bl w:val="nil"/>
            </w:tcBorders>
            <w:shd w:val="clear" w:color="auto" w:fill="auto"/>
            <w:noWrap/>
            <w:vAlign w:val="bottom"/>
          </w:tcPr>
          <w:p w14:paraId="4FAFE9F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1714 (50.68)</w:t>
            </w:r>
          </w:p>
        </w:tc>
        <w:tc>
          <w:tcPr>
            <w:tcW w:w="644" w:type="pct"/>
            <w:tcBorders>
              <w:tl2br w:val="nil"/>
              <w:tr2bl w:val="nil"/>
            </w:tcBorders>
            <w:shd w:val="clear" w:color="auto" w:fill="auto"/>
            <w:noWrap/>
            <w:vAlign w:val="bottom"/>
          </w:tcPr>
          <w:p w14:paraId="384621D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72 (40.00)</w:t>
            </w:r>
          </w:p>
        </w:tc>
        <w:tc>
          <w:tcPr>
            <w:tcW w:w="468" w:type="pct"/>
            <w:tcBorders>
              <w:tl2br w:val="nil"/>
              <w:tr2bl w:val="nil"/>
            </w:tcBorders>
            <w:shd w:val="clear" w:color="auto" w:fill="auto"/>
            <w:noWrap/>
            <w:vAlign w:val="bottom"/>
          </w:tcPr>
          <w:p w14:paraId="6667698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9 (20.45)</w:t>
            </w:r>
          </w:p>
        </w:tc>
        <w:tc>
          <w:tcPr>
            <w:tcW w:w="247" w:type="pct"/>
            <w:tcBorders>
              <w:tl2br w:val="nil"/>
              <w:tr2bl w:val="nil"/>
            </w:tcBorders>
            <w:shd w:val="clear" w:color="auto" w:fill="auto"/>
            <w:noWrap/>
            <w:vAlign w:val="bottom"/>
          </w:tcPr>
          <w:p w14:paraId="234C14C7">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64E854DF">
            <w:pPr>
              <w:rPr>
                <w:rFonts w:hint="default" w:ascii="Times New Roman" w:hAnsi="Times New Roman" w:eastAsia="宋体" w:cs="Times New Roman"/>
                <w:b w:val="0"/>
                <w:bCs w:val="0"/>
                <w:i w:val="0"/>
                <w:iCs w:val="0"/>
                <w:color w:val="auto"/>
                <w:sz w:val="21"/>
                <w:szCs w:val="21"/>
                <w:u w:val="none"/>
              </w:rPr>
            </w:pPr>
          </w:p>
        </w:tc>
      </w:tr>
      <w:tr w14:paraId="1706B55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93E85FC">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18EC741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3891 (42.10)</w:t>
            </w:r>
          </w:p>
        </w:tc>
        <w:tc>
          <w:tcPr>
            <w:tcW w:w="1293" w:type="pct"/>
            <w:tcBorders>
              <w:tl2br w:val="nil"/>
              <w:tr2bl w:val="nil"/>
            </w:tcBorders>
            <w:shd w:val="clear" w:color="auto" w:fill="auto"/>
            <w:noWrap/>
            <w:vAlign w:val="bottom"/>
          </w:tcPr>
          <w:p w14:paraId="6686EFA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2080 (36.90)</w:t>
            </w:r>
          </w:p>
        </w:tc>
        <w:tc>
          <w:tcPr>
            <w:tcW w:w="692" w:type="pct"/>
            <w:tcBorders>
              <w:tl2br w:val="nil"/>
              <w:tr2bl w:val="nil"/>
            </w:tcBorders>
            <w:shd w:val="clear" w:color="auto" w:fill="auto"/>
            <w:noWrap/>
            <w:vAlign w:val="bottom"/>
          </w:tcPr>
          <w:p w14:paraId="6484DAD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1668 (49.32)</w:t>
            </w:r>
          </w:p>
        </w:tc>
        <w:tc>
          <w:tcPr>
            <w:tcW w:w="644" w:type="pct"/>
            <w:tcBorders>
              <w:tl2br w:val="nil"/>
              <w:tr2bl w:val="nil"/>
            </w:tcBorders>
            <w:shd w:val="clear" w:color="auto" w:fill="auto"/>
            <w:noWrap/>
            <w:vAlign w:val="bottom"/>
          </w:tcPr>
          <w:p w14:paraId="65BF90C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108 (60.00)</w:t>
            </w:r>
          </w:p>
        </w:tc>
        <w:tc>
          <w:tcPr>
            <w:tcW w:w="468" w:type="pct"/>
            <w:tcBorders>
              <w:tl2br w:val="nil"/>
              <w:tr2bl w:val="nil"/>
            </w:tcBorders>
            <w:shd w:val="clear" w:color="auto" w:fill="auto"/>
            <w:noWrap/>
            <w:vAlign w:val="bottom"/>
          </w:tcPr>
          <w:p w14:paraId="1962EB0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35 (79.55)</w:t>
            </w:r>
          </w:p>
        </w:tc>
        <w:tc>
          <w:tcPr>
            <w:tcW w:w="247" w:type="pct"/>
            <w:tcBorders>
              <w:tl2br w:val="nil"/>
              <w:tr2bl w:val="nil"/>
            </w:tcBorders>
            <w:shd w:val="clear" w:color="auto" w:fill="auto"/>
            <w:noWrap/>
            <w:vAlign w:val="bottom"/>
          </w:tcPr>
          <w:p w14:paraId="6972DD78">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382596E7">
            <w:pPr>
              <w:rPr>
                <w:rFonts w:hint="default" w:ascii="Times New Roman" w:hAnsi="Times New Roman" w:eastAsia="宋体" w:cs="Times New Roman"/>
                <w:b w:val="0"/>
                <w:bCs w:val="0"/>
                <w:i w:val="0"/>
                <w:iCs w:val="0"/>
                <w:color w:val="auto"/>
                <w:sz w:val="21"/>
                <w:szCs w:val="21"/>
                <w:u w:val="none"/>
              </w:rPr>
            </w:pPr>
          </w:p>
        </w:tc>
      </w:tr>
      <w:tr w14:paraId="4365359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73" w:type="pct"/>
            <w:tcBorders>
              <w:tl2br w:val="nil"/>
              <w:tr2bl w:val="nil"/>
            </w:tcBorders>
            <w:shd w:val="clear" w:color="auto" w:fill="auto"/>
            <w:noWrap/>
            <w:vAlign w:val="bottom"/>
          </w:tcPr>
          <w:p w14:paraId="0CF6004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History of gastric diseases</w:t>
            </w:r>
          </w:p>
        </w:tc>
        <w:tc>
          <w:tcPr>
            <w:tcW w:w="468" w:type="pct"/>
            <w:tcBorders>
              <w:tl2br w:val="nil"/>
              <w:tr2bl w:val="nil"/>
            </w:tcBorders>
            <w:shd w:val="clear" w:color="auto" w:fill="auto"/>
            <w:noWrap/>
            <w:vAlign w:val="bottom"/>
          </w:tcPr>
          <w:p w14:paraId="2C65D2C0">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7932CA1A">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2A7405CE">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4F530BDA">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7136CAA5">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6520AFC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11.958</w:t>
            </w:r>
          </w:p>
        </w:tc>
        <w:tc>
          <w:tcPr>
            <w:tcW w:w="211" w:type="pct"/>
            <w:tcBorders>
              <w:tl2br w:val="nil"/>
              <w:tr2bl w:val="nil"/>
            </w:tcBorders>
            <w:shd w:val="clear" w:color="auto" w:fill="auto"/>
            <w:noWrap/>
            <w:vAlign w:val="bottom"/>
          </w:tcPr>
          <w:p w14:paraId="5ABC12E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0.008</w:t>
            </w:r>
          </w:p>
        </w:tc>
      </w:tr>
      <w:tr w14:paraId="42A88E8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5F14034">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7A50ED8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8649 (93.57)</w:t>
            </w:r>
          </w:p>
        </w:tc>
        <w:tc>
          <w:tcPr>
            <w:tcW w:w="1293" w:type="pct"/>
            <w:tcBorders>
              <w:tl2br w:val="nil"/>
              <w:tr2bl w:val="nil"/>
            </w:tcBorders>
            <w:shd w:val="clear" w:color="auto" w:fill="auto"/>
            <w:noWrap/>
            <w:vAlign w:val="bottom"/>
          </w:tcPr>
          <w:p w14:paraId="6EB9BB1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5296 (93.95)</w:t>
            </w:r>
          </w:p>
        </w:tc>
        <w:tc>
          <w:tcPr>
            <w:tcW w:w="692" w:type="pct"/>
            <w:tcBorders>
              <w:tl2br w:val="nil"/>
              <w:tr2bl w:val="nil"/>
            </w:tcBorders>
            <w:shd w:val="clear" w:color="auto" w:fill="auto"/>
            <w:noWrap/>
            <w:vAlign w:val="bottom"/>
          </w:tcPr>
          <w:p w14:paraId="4C32EAC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3154 (93.26)</w:t>
            </w:r>
          </w:p>
        </w:tc>
        <w:tc>
          <w:tcPr>
            <w:tcW w:w="644" w:type="pct"/>
            <w:tcBorders>
              <w:tl2br w:val="nil"/>
              <w:tr2bl w:val="nil"/>
            </w:tcBorders>
            <w:shd w:val="clear" w:color="auto" w:fill="auto"/>
            <w:noWrap/>
            <w:vAlign w:val="bottom"/>
          </w:tcPr>
          <w:p w14:paraId="50B3C90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158 (87.78)</w:t>
            </w:r>
          </w:p>
        </w:tc>
        <w:tc>
          <w:tcPr>
            <w:tcW w:w="468" w:type="pct"/>
            <w:tcBorders>
              <w:tl2br w:val="nil"/>
              <w:tr2bl w:val="nil"/>
            </w:tcBorders>
            <w:shd w:val="clear" w:color="auto" w:fill="auto"/>
            <w:noWrap/>
            <w:vAlign w:val="bottom"/>
          </w:tcPr>
          <w:p w14:paraId="2E89AA8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41 (93.18)</w:t>
            </w:r>
          </w:p>
        </w:tc>
        <w:tc>
          <w:tcPr>
            <w:tcW w:w="247" w:type="pct"/>
            <w:tcBorders>
              <w:tl2br w:val="nil"/>
              <w:tr2bl w:val="nil"/>
            </w:tcBorders>
            <w:shd w:val="clear" w:color="auto" w:fill="auto"/>
            <w:noWrap/>
            <w:vAlign w:val="bottom"/>
          </w:tcPr>
          <w:p w14:paraId="081618FE">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580A10E0">
            <w:pPr>
              <w:rPr>
                <w:rFonts w:hint="default" w:ascii="Times New Roman" w:hAnsi="Times New Roman" w:eastAsia="宋体" w:cs="Times New Roman"/>
                <w:b w:val="0"/>
                <w:bCs w:val="0"/>
                <w:i w:val="0"/>
                <w:iCs w:val="0"/>
                <w:color w:val="auto"/>
                <w:sz w:val="21"/>
                <w:szCs w:val="21"/>
                <w:u w:val="none"/>
              </w:rPr>
            </w:pPr>
          </w:p>
        </w:tc>
      </w:tr>
      <w:tr w14:paraId="16809CF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E6476B5">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187A1A4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594 (6.43)</w:t>
            </w:r>
          </w:p>
        </w:tc>
        <w:tc>
          <w:tcPr>
            <w:tcW w:w="1293" w:type="pct"/>
            <w:tcBorders>
              <w:tl2br w:val="nil"/>
              <w:tr2bl w:val="nil"/>
            </w:tcBorders>
            <w:shd w:val="clear" w:color="auto" w:fill="auto"/>
            <w:noWrap/>
            <w:vAlign w:val="bottom"/>
          </w:tcPr>
          <w:p w14:paraId="068FE16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341 (6.05)</w:t>
            </w:r>
          </w:p>
        </w:tc>
        <w:tc>
          <w:tcPr>
            <w:tcW w:w="692" w:type="pct"/>
            <w:tcBorders>
              <w:tl2br w:val="nil"/>
              <w:tr2bl w:val="nil"/>
            </w:tcBorders>
            <w:shd w:val="clear" w:color="auto" w:fill="auto"/>
            <w:noWrap/>
            <w:vAlign w:val="bottom"/>
          </w:tcPr>
          <w:p w14:paraId="10AADBB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228 (6.74)</w:t>
            </w:r>
          </w:p>
        </w:tc>
        <w:tc>
          <w:tcPr>
            <w:tcW w:w="644" w:type="pct"/>
            <w:tcBorders>
              <w:tl2br w:val="nil"/>
              <w:tr2bl w:val="nil"/>
            </w:tcBorders>
            <w:shd w:val="clear" w:color="auto" w:fill="auto"/>
            <w:noWrap/>
            <w:vAlign w:val="bottom"/>
          </w:tcPr>
          <w:p w14:paraId="463C9D0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22 (12.22)</w:t>
            </w:r>
          </w:p>
        </w:tc>
        <w:tc>
          <w:tcPr>
            <w:tcW w:w="468" w:type="pct"/>
            <w:tcBorders>
              <w:tl2br w:val="nil"/>
              <w:tr2bl w:val="nil"/>
            </w:tcBorders>
            <w:shd w:val="clear" w:color="auto" w:fill="auto"/>
            <w:noWrap/>
            <w:vAlign w:val="bottom"/>
          </w:tcPr>
          <w:p w14:paraId="530A66B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 (6.82)</w:t>
            </w:r>
          </w:p>
        </w:tc>
        <w:tc>
          <w:tcPr>
            <w:tcW w:w="247" w:type="pct"/>
            <w:tcBorders>
              <w:tl2br w:val="nil"/>
              <w:tr2bl w:val="nil"/>
            </w:tcBorders>
            <w:shd w:val="clear" w:color="auto" w:fill="auto"/>
            <w:noWrap/>
            <w:vAlign w:val="bottom"/>
          </w:tcPr>
          <w:p w14:paraId="2B949091">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622377F3">
            <w:pPr>
              <w:rPr>
                <w:rFonts w:hint="default" w:ascii="Times New Roman" w:hAnsi="Times New Roman" w:eastAsia="宋体" w:cs="Times New Roman"/>
                <w:b w:val="0"/>
                <w:bCs w:val="0"/>
                <w:i w:val="0"/>
                <w:iCs w:val="0"/>
                <w:color w:val="auto"/>
                <w:sz w:val="21"/>
                <w:szCs w:val="21"/>
                <w:u w:val="none"/>
              </w:rPr>
            </w:pPr>
          </w:p>
        </w:tc>
      </w:tr>
      <w:tr w14:paraId="733B58B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vAlign w:val="bottom"/>
          </w:tcPr>
          <w:p w14:paraId="3715AA1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Medication history</w:t>
            </w:r>
          </w:p>
        </w:tc>
        <w:tc>
          <w:tcPr>
            <w:tcW w:w="468" w:type="pct"/>
            <w:tcBorders>
              <w:tl2br w:val="nil"/>
              <w:tr2bl w:val="nil"/>
            </w:tcBorders>
            <w:shd w:val="clear" w:color="auto" w:fill="auto"/>
            <w:noWrap/>
            <w:vAlign w:val="bottom"/>
          </w:tcPr>
          <w:p w14:paraId="4E21E539">
            <w:pPr>
              <w:rPr>
                <w:rFonts w:hint="default" w:ascii="Times New Roman" w:hAnsi="Times New Roman" w:eastAsia="宋体" w:cs="Times New Roman"/>
                <w:b w:val="0"/>
                <w:bCs w:val="0"/>
                <w:i w:val="0"/>
                <w:iCs w:val="0"/>
                <w:color w:val="auto"/>
                <w:sz w:val="21"/>
                <w:szCs w:val="21"/>
                <w:u w:val="none"/>
              </w:rPr>
            </w:pPr>
          </w:p>
        </w:tc>
        <w:tc>
          <w:tcPr>
            <w:tcW w:w="1293" w:type="pct"/>
            <w:tcBorders>
              <w:tl2br w:val="nil"/>
              <w:tr2bl w:val="nil"/>
            </w:tcBorders>
            <w:shd w:val="clear" w:color="auto" w:fill="auto"/>
            <w:noWrap/>
            <w:vAlign w:val="bottom"/>
          </w:tcPr>
          <w:p w14:paraId="13FE16CD">
            <w:pPr>
              <w:rPr>
                <w:rFonts w:hint="default" w:ascii="Times New Roman" w:hAnsi="Times New Roman" w:eastAsia="宋体" w:cs="Times New Roman"/>
                <w:b w:val="0"/>
                <w:bCs w:val="0"/>
                <w:i w:val="0"/>
                <w:iCs w:val="0"/>
                <w:color w:val="auto"/>
                <w:sz w:val="21"/>
                <w:szCs w:val="21"/>
                <w:u w:val="none"/>
              </w:rPr>
            </w:pPr>
          </w:p>
        </w:tc>
        <w:tc>
          <w:tcPr>
            <w:tcW w:w="692" w:type="pct"/>
            <w:tcBorders>
              <w:tl2br w:val="nil"/>
              <w:tr2bl w:val="nil"/>
            </w:tcBorders>
            <w:shd w:val="clear" w:color="auto" w:fill="auto"/>
            <w:noWrap/>
            <w:vAlign w:val="bottom"/>
          </w:tcPr>
          <w:p w14:paraId="71A8281F">
            <w:pPr>
              <w:rPr>
                <w:rFonts w:hint="default" w:ascii="Times New Roman" w:hAnsi="Times New Roman" w:eastAsia="宋体" w:cs="Times New Roman"/>
                <w:b w:val="0"/>
                <w:bCs w:val="0"/>
                <w:i w:val="0"/>
                <w:iCs w:val="0"/>
                <w:color w:val="auto"/>
                <w:sz w:val="21"/>
                <w:szCs w:val="21"/>
                <w:u w:val="none"/>
              </w:rPr>
            </w:pPr>
          </w:p>
        </w:tc>
        <w:tc>
          <w:tcPr>
            <w:tcW w:w="644" w:type="pct"/>
            <w:tcBorders>
              <w:tl2br w:val="nil"/>
              <w:tr2bl w:val="nil"/>
            </w:tcBorders>
            <w:shd w:val="clear" w:color="auto" w:fill="auto"/>
            <w:noWrap/>
            <w:vAlign w:val="bottom"/>
          </w:tcPr>
          <w:p w14:paraId="56CA8E9E">
            <w:pPr>
              <w:rPr>
                <w:rFonts w:hint="default" w:ascii="Times New Roman" w:hAnsi="Times New Roman" w:eastAsia="宋体" w:cs="Times New Roman"/>
                <w:b w:val="0"/>
                <w:bCs w:val="0"/>
                <w:i w:val="0"/>
                <w:iCs w:val="0"/>
                <w:color w:val="auto"/>
                <w:sz w:val="21"/>
                <w:szCs w:val="21"/>
                <w:u w:val="none"/>
              </w:rPr>
            </w:pPr>
          </w:p>
        </w:tc>
        <w:tc>
          <w:tcPr>
            <w:tcW w:w="468" w:type="pct"/>
            <w:tcBorders>
              <w:tl2br w:val="nil"/>
              <w:tr2bl w:val="nil"/>
            </w:tcBorders>
            <w:shd w:val="clear" w:color="auto" w:fill="auto"/>
            <w:noWrap/>
            <w:vAlign w:val="bottom"/>
          </w:tcPr>
          <w:p w14:paraId="49F977D3">
            <w:pPr>
              <w:rPr>
                <w:rFonts w:hint="default" w:ascii="Times New Roman" w:hAnsi="Times New Roman" w:eastAsia="宋体" w:cs="Times New Roman"/>
                <w:b w:val="0"/>
                <w:bCs w:val="0"/>
                <w:i w:val="0"/>
                <w:iCs w:val="0"/>
                <w:color w:val="auto"/>
                <w:sz w:val="21"/>
                <w:szCs w:val="21"/>
                <w:u w:val="none"/>
              </w:rPr>
            </w:pPr>
          </w:p>
        </w:tc>
        <w:tc>
          <w:tcPr>
            <w:tcW w:w="247" w:type="pct"/>
            <w:tcBorders>
              <w:tl2br w:val="nil"/>
              <w:tr2bl w:val="nil"/>
            </w:tcBorders>
            <w:shd w:val="clear" w:color="auto" w:fill="auto"/>
            <w:noWrap/>
            <w:vAlign w:val="bottom"/>
          </w:tcPr>
          <w:p w14:paraId="25F3D99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13.073</w:t>
            </w:r>
          </w:p>
        </w:tc>
        <w:tc>
          <w:tcPr>
            <w:tcW w:w="211" w:type="pct"/>
            <w:tcBorders>
              <w:tl2br w:val="nil"/>
              <w:tr2bl w:val="nil"/>
            </w:tcBorders>
            <w:shd w:val="clear" w:color="auto" w:fill="auto"/>
            <w:noWrap/>
            <w:vAlign w:val="bottom"/>
          </w:tcPr>
          <w:p w14:paraId="47FF313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0.004</w:t>
            </w:r>
          </w:p>
        </w:tc>
      </w:tr>
      <w:tr w14:paraId="097157D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1CD3E67">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No</w:t>
            </w:r>
          </w:p>
        </w:tc>
        <w:tc>
          <w:tcPr>
            <w:tcW w:w="468" w:type="pct"/>
            <w:tcBorders>
              <w:tl2br w:val="nil"/>
              <w:tr2bl w:val="nil"/>
            </w:tcBorders>
            <w:shd w:val="clear" w:color="auto" w:fill="auto"/>
            <w:noWrap/>
            <w:vAlign w:val="bottom"/>
          </w:tcPr>
          <w:p w14:paraId="7733E66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6455 (69.84)</w:t>
            </w:r>
          </w:p>
        </w:tc>
        <w:tc>
          <w:tcPr>
            <w:tcW w:w="1293" w:type="pct"/>
            <w:tcBorders>
              <w:tl2br w:val="nil"/>
              <w:tr2bl w:val="nil"/>
            </w:tcBorders>
            <w:shd w:val="clear" w:color="auto" w:fill="auto"/>
            <w:noWrap/>
            <w:vAlign w:val="bottom"/>
          </w:tcPr>
          <w:p w14:paraId="16867BD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3993 (70.84)</w:t>
            </w:r>
          </w:p>
        </w:tc>
        <w:tc>
          <w:tcPr>
            <w:tcW w:w="692" w:type="pct"/>
            <w:tcBorders>
              <w:tl2br w:val="nil"/>
              <w:tr2bl w:val="nil"/>
            </w:tcBorders>
            <w:shd w:val="clear" w:color="auto" w:fill="auto"/>
            <w:noWrap/>
            <w:vAlign w:val="bottom"/>
          </w:tcPr>
          <w:p w14:paraId="1546521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2325 (68.75)</w:t>
            </w:r>
          </w:p>
        </w:tc>
        <w:tc>
          <w:tcPr>
            <w:tcW w:w="644" w:type="pct"/>
            <w:tcBorders>
              <w:tl2br w:val="nil"/>
              <w:tr2bl w:val="nil"/>
            </w:tcBorders>
            <w:shd w:val="clear" w:color="auto" w:fill="auto"/>
            <w:noWrap/>
            <w:vAlign w:val="bottom"/>
          </w:tcPr>
          <w:p w14:paraId="4E17667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112 (62.22)</w:t>
            </w:r>
          </w:p>
        </w:tc>
        <w:tc>
          <w:tcPr>
            <w:tcW w:w="468" w:type="pct"/>
            <w:tcBorders>
              <w:tl2br w:val="nil"/>
              <w:tr2bl w:val="nil"/>
            </w:tcBorders>
            <w:shd w:val="clear" w:color="auto" w:fill="auto"/>
            <w:noWrap/>
            <w:vAlign w:val="bottom"/>
          </w:tcPr>
          <w:p w14:paraId="77275C7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25 (56.82)</w:t>
            </w:r>
          </w:p>
        </w:tc>
        <w:tc>
          <w:tcPr>
            <w:tcW w:w="247" w:type="pct"/>
            <w:tcBorders>
              <w:tl2br w:val="nil"/>
              <w:tr2bl w:val="nil"/>
            </w:tcBorders>
            <w:shd w:val="clear" w:color="auto" w:fill="auto"/>
            <w:noWrap/>
            <w:vAlign w:val="bottom"/>
          </w:tcPr>
          <w:p w14:paraId="7DDF687D">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26773E91">
            <w:pPr>
              <w:rPr>
                <w:rFonts w:hint="default" w:ascii="Times New Roman" w:hAnsi="Times New Roman" w:eastAsia="宋体" w:cs="Times New Roman"/>
                <w:b w:val="0"/>
                <w:bCs w:val="0"/>
                <w:i w:val="0"/>
                <w:iCs w:val="0"/>
                <w:color w:val="auto"/>
                <w:sz w:val="21"/>
                <w:szCs w:val="21"/>
                <w:u w:val="none"/>
              </w:rPr>
            </w:pPr>
          </w:p>
        </w:tc>
      </w:tr>
      <w:tr w14:paraId="419CE75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61FBCABD">
            <w:pPr>
              <w:keepNext w:val="0"/>
              <w:keepLines w:val="0"/>
              <w:widowControl/>
              <w:suppressLineNumbers w:val="0"/>
              <w:ind w:firstLine="210" w:firstLineChars="100"/>
              <w:jc w:val="left"/>
              <w:textAlignment w:val="bottom"/>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sz w:val="21"/>
                <w:szCs w:val="21"/>
                <w:u w:val="none"/>
                <w:lang w:val="en-US" w:eastAsia="zh-CN"/>
              </w:rPr>
              <w:t>Yes</w:t>
            </w:r>
          </w:p>
        </w:tc>
        <w:tc>
          <w:tcPr>
            <w:tcW w:w="468" w:type="pct"/>
            <w:tcBorders>
              <w:tl2br w:val="nil"/>
              <w:tr2bl w:val="nil"/>
            </w:tcBorders>
            <w:shd w:val="clear" w:color="auto" w:fill="auto"/>
            <w:noWrap/>
            <w:vAlign w:val="bottom"/>
          </w:tcPr>
          <w:p w14:paraId="7566F75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2788 (30.16)</w:t>
            </w:r>
          </w:p>
        </w:tc>
        <w:tc>
          <w:tcPr>
            <w:tcW w:w="1293" w:type="pct"/>
            <w:tcBorders>
              <w:tl2br w:val="nil"/>
              <w:tr2bl w:val="nil"/>
            </w:tcBorders>
            <w:shd w:val="clear" w:color="auto" w:fill="auto"/>
            <w:noWrap/>
            <w:vAlign w:val="bottom"/>
          </w:tcPr>
          <w:p w14:paraId="320E42C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1644 (29.16)</w:t>
            </w:r>
          </w:p>
        </w:tc>
        <w:tc>
          <w:tcPr>
            <w:tcW w:w="692" w:type="pct"/>
            <w:tcBorders>
              <w:tl2br w:val="nil"/>
              <w:tr2bl w:val="nil"/>
            </w:tcBorders>
            <w:shd w:val="clear" w:color="auto" w:fill="auto"/>
            <w:noWrap/>
            <w:vAlign w:val="bottom"/>
          </w:tcPr>
          <w:p w14:paraId="6374EEC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1057 (31.25)</w:t>
            </w:r>
          </w:p>
        </w:tc>
        <w:tc>
          <w:tcPr>
            <w:tcW w:w="644" w:type="pct"/>
            <w:tcBorders>
              <w:tl2br w:val="nil"/>
              <w:tr2bl w:val="nil"/>
            </w:tcBorders>
            <w:shd w:val="clear" w:color="auto" w:fill="auto"/>
            <w:noWrap/>
            <w:vAlign w:val="bottom"/>
          </w:tcPr>
          <w:p w14:paraId="4FE0563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68 (37.78)</w:t>
            </w:r>
          </w:p>
        </w:tc>
        <w:tc>
          <w:tcPr>
            <w:tcW w:w="468" w:type="pct"/>
            <w:tcBorders>
              <w:tl2br w:val="nil"/>
              <w:tr2bl w:val="nil"/>
            </w:tcBorders>
            <w:shd w:val="clear" w:color="auto" w:fill="auto"/>
            <w:noWrap/>
            <w:vAlign w:val="bottom"/>
          </w:tcPr>
          <w:p w14:paraId="1022BF2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19 (43.18)</w:t>
            </w:r>
          </w:p>
        </w:tc>
        <w:tc>
          <w:tcPr>
            <w:tcW w:w="247" w:type="pct"/>
            <w:tcBorders>
              <w:tl2br w:val="nil"/>
              <w:tr2bl w:val="nil"/>
            </w:tcBorders>
            <w:shd w:val="clear" w:color="auto" w:fill="auto"/>
            <w:noWrap/>
            <w:vAlign w:val="bottom"/>
          </w:tcPr>
          <w:p w14:paraId="40F9A053">
            <w:pPr>
              <w:rPr>
                <w:rFonts w:hint="default" w:ascii="Times New Roman" w:hAnsi="Times New Roman" w:eastAsia="宋体" w:cs="Times New Roman"/>
                <w:b w:val="0"/>
                <w:bCs w:val="0"/>
                <w:i w:val="0"/>
                <w:iCs w:val="0"/>
                <w:color w:val="auto"/>
                <w:sz w:val="21"/>
                <w:szCs w:val="21"/>
                <w:u w:val="none"/>
              </w:rPr>
            </w:pPr>
          </w:p>
        </w:tc>
        <w:tc>
          <w:tcPr>
            <w:tcW w:w="211" w:type="pct"/>
            <w:tcBorders>
              <w:tl2br w:val="nil"/>
              <w:tr2bl w:val="nil"/>
            </w:tcBorders>
            <w:shd w:val="clear" w:color="auto" w:fill="auto"/>
            <w:noWrap/>
            <w:vAlign w:val="bottom"/>
          </w:tcPr>
          <w:p w14:paraId="4A80F6B1">
            <w:pPr>
              <w:rPr>
                <w:rFonts w:hint="default" w:ascii="Times New Roman" w:hAnsi="Times New Roman" w:eastAsia="宋体" w:cs="Times New Roman"/>
                <w:b w:val="0"/>
                <w:bCs w:val="0"/>
                <w:i w:val="0"/>
                <w:iCs w:val="0"/>
                <w:color w:val="auto"/>
                <w:sz w:val="21"/>
                <w:szCs w:val="21"/>
                <w:u w:val="none"/>
              </w:rPr>
            </w:pPr>
          </w:p>
        </w:tc>
      </w:tr>
      <w:tr w14:paraId="7400FAC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DF8116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val="0"/>
                <w:iCs w:val="0"/>
                <w:color w:val="auto"/>
                <w:kern w:val="0"/>
                <w:sz w:val="21"/>
                <w:szCs w:val="21"/>
                <w:u w:val="none"/>
                <w:lang w:val="en-US" w:eastAsia="zh-CN" w:bidi="ar"/>
              </w:rPr>
              <w:t>Height (</w:t>
            </w:r>
            <w:r>
              <w:rPr>
                <w:rFonts w:hint="default" w:ascii="Times New Roman" w:hAnsi="Times New Roman" w:eastAsia="宋体" w:cs="Times New Roman"/>
                <w:b w:val="0"/>
                <w:bCs w:val="0"/>
                <w:i w:val="0"/>
                <w:iCs w:val="0"/>
                <w:color w:val="auto"/>
                <w:kern w:val="0"/>
                <w:sz w:val="21"/>
                <w:szCs w:val="21"/>
                <w:u w:val="none"/>
                <w:lang w:val="en-US" w:eastAsia="zh-CN" w:bidi="ar"/>
              </w:rPr>
              <w:t>cm</w:t>
            </w:r>
            <w:r>
              <w:rPr>
                <w:rFonts w:hint="eastAsia" w:ascii="Times New Roman" w:hAnsi="Times New Roman" w:eastAsia="宋体" w:cs="Times New Roman"/>
                <w:b w:val="0"/>
                <w:bCs w:val="0"/>
                <w:i w:val="0"/>
                <w:iCs w:val="0"/>
                <w:color w:val="auto"/>
                <w:kern w:val="0"/>
                <w:sz w:val="21"/>
                <w:szCs w:val="21"/>
                <w:u w:val="none"/>
                <w:lang w:val="en-US" w:eastAsia="zh-CN" w:bidi="ar"/>
              </w:rPr>
              <w:t>)</w:t>
            </w:r>
          </w:p>
        </w:tc>
        <w:tc>
          <w:tcPr>
            <w:tcW w:w="468" w:type="pct"/>
            <w:tcBorders>
              <w:tl2br w:val="nil"/>
              <w:tr2bl w:val="nil"/>
            </w:tcBorders>
            <w:shd w:val="clear" w:color="auto" w:fill="auto"/>
            <w:noWrap/>
            <w:vAlign w:val="center"/>
          </w:tcPr>
          <w:p w14:paraId="01BE8055">
            <w:pPr>
              <w:keepNext w:val="0"/>
              <w:keepLines w:val="0"/>
              <w:widowControl/>
              <w:suppressLineNumbers w:val="0"/>
              <w:jc w:val="both"/>
              <w:textAlignment w:val="bottom"/>
              <w:rPr>
                <w:rFonts w:hint="eastAsia"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162.00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p>
          <w:p w14:paraId="67C1F2D1">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(156.00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168.00)</w:t>
            </w:r>
          </w:p>
        </w:tc>
        <w:tc>
          <w:tcPr>
            <w:tcW w:w="1293" w:type="pct"/>
            <w:tcBorders>
              <w:tl2br w:val="nil"/>
              <w:tr2bl w:val="nil"/>
            </w:tcBorders>
            <w:shd w:val="clear" w:color="auto" w:fill="auto"/>
            <w:noWrap/>
            <w:vAlign w:val="center"/>
          </w:tcPr>
          <w:p w14:paraId="06CDA98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161.00 (156.00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168.00)</w:t>
            </w:r>
          </w:p>
        </w:tc>
        <w:tc>
          <w:tcPr>
            <w:tcW w:w="692" w:type="pct"/>
            <w:tcBorders>
              <w:tl2br w:val="nil"/>
              <w:tr2bl w:val="nil"/>
            </w:tcBorders>
            <w:shd w:val="clear" w:color="auto" w:fill="auto"/>
            <w:noWrap/>
            <w:vAlign w:val="center"/>
          </w:tcPr>
          <w:p w14:paraId="69EC3027">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162.00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(156.00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168.00)</w:t>
            </w:r>
          </w:p>
        </w:tc>
        <w:tc>
          <w:tcPr>
            <w:tcW w:w="644" w:type="pct"/>
            <w:tcBorders>
              <w:tl2br w:val="nil"/>
              <w:tr2bl w:val="nil"/>
            </w:tcBorders>
            <w:shd w:val="clear" w:color="auto" w:fill="auto"/>
            <w:noWrap/>
            <w:vAlign w:val="center"/>
          </w:tcPr>
          <w:p w14:paraId="03A7CDC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164.00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(159.00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170.00)</w:t>
            </w:r>
          </w:p>
        </w:tc>
        <w:tc>
          <w:tcPr>
            <w:tcW w:w="468" w:type="pct"/>
            <w:tcBorders>
              <w:tl2br w:val="nil"/>
              <w:tr2bl w:val="nil"/>
            </w:tcBorders>
            <w:shd w:val="clear" w:color="auto" w:fill="auto"/>
            <w:noWrap/>
            <w:vAlign w:val="center"/>
          </w:tcPr>
          <w:p w14:paraId="7838112F">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165.50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(160.00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169.00)</w:t>
            </w:r>
          </w:p>
        </w:tc>
        <w:tc>
          <w:tcPr>
            <w:tcW w:w="247" w:type="pct"/>
            <w:tcBorders>
              <w:tl2br w:val="nil"/>
              <w:tr2bl w:val="nil"/>
            </w:tcBorders>
            <w:shd w:val="clear" w:color="auto" w:fill="auto"/>
            <w:noWrap/>
            <w:vAlign w:val="bottom"/>
          </w:tcPr>
          <w:p w14:paraId="5BB72D7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19.176</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07EA53D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r w14:paraId="4BBAF23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14B8BA6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val="0"/>
                <w:iCs w:val="0"/>
                <w:color w:val="auto"/>
                <w:kern w:val="0"/>
                <w:sz w:val="21"/>
                <w:szCs w:val="21"/>
                <w:u w:val="none"/>
                <w:lang w:val="en-US" w:eastAsia="zh-CN" w:bidi="ar"/>
              </w:rPr>
              <w:t>Weight (</w:t>
            </w:r>
            <w:r>
              <w:rPr>
                <w:rFonts w:hint="default" w:ascii="Times New Roman" w:hAnsi="Times New Roman" w:eastAsia="宋体" w:cs="Times New Roman"/>
                <w:b w:val="0"/>
                <w:bCs w:val="0"/>
                <w:i w:val="0"/>
                <w:iCs w:val="0"/>
                <w:color w:val="auto"/>
                <w:kern w:val="0"/>
                <w:sz w:val="21"/>
                <w:szCs w:val="21"/>
                <w:u w:val="none"/>
                <w:lang w:val="en-US" w:eastAsia="zh-CN" w:bidi="ar"/>
              </w:rPr>
              <w:t>kg</w:t>
            </w:r>
            <w:r>
              <w:rPr>
                <w:rFonts w:hint="eastAsia" w:ascii="Times New Roman" w:hAnsi="Times New Roman" w:eastAsia="宋体" w:cs="Times New Roman"/>
                <w:b w:val="0"/>
                <w:bCs w:val="0"/>
                <w:i w:val="0"/>
                <w:iCs w:val="0"/>
                <w:color w:val="auto"/>
                <w:kern w:val="0"/>
                <w:sz w:val="21"/>
                <w:szCs w:val="21"/>
                <w:u w:val="none"/>
                <w:lang w:val="en-US" w:eastAsia="zh-CN" w:bidi="ar"/>
              </w:rPr>
              <w:t>)</w:t>
            </w:r>
          </w:p>
        </w:tc>
        <w:tc>
          <w:tcPr>
            <w:tcW w:w="468" w:type="pct"/>
            <w:tcBorders>
              <w:tl2br w:val="nil"/>
              <w:tr2bl w:val="nil"/>
            </w:tcBorders>
            <w:shd w:val="clear" w:color="auto" w:fill="auto"/>
            <w:noWrap/>
            <w:vAlign w:val="center"/>
          </w:tcPr>
          <w:p w14:paraId="42884378">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 xml:space="preserve">63.10 </w:t>
            </w:r>
          </w:p>
          <w:p w14:paraId="0D39332F">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(56.50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 xml:space="preserve"> 70.60)</w:t>
            </w:r>
          </w:p>
        </w:tc>
        <w:tc>
          <w:tcPr>
            <w:tcW w:w="1293" w:type="pct"/>
            <w:tcBorders>
              <w:tl2br w:val="nil"/>
              <w:tr2bl w:val="nil"/>
            </w:tcBorders>
            <w:shd w:val="clear" w:color="auto" w:fill="auto"/>
            <w:noWrap/>
            <w:vAlign w:val="center"/>
          </w:tcPr>
          <w:p w14:paraId="4A41A977">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63.20 (56.60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70.90)</w:t>
            </w:r>
          </w:p>
        </w:tc>
        <w:tc>
          <w:tcPr>
            <w:tcW w:w="692" w:type="pct"/>
            <w:tcBorders>
              <w:tl2br w:val="nil"/>
              <w:tr2bl w:val="nil"/>
            </w:tcBorders>
            <w:shd w:val="clear" w:color="auto" w:fill="auto"/>
            <w:noWrap/>
            <w:vAlign w:val="center"/>
          </w:tcPr>
          <w:p w14:paraId="16765E59">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62.80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(56.30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70.00)</w:t>
            </w:r>
          </w:p>
        </w:tc>
        <w:tc>
          <w:tcPr>
            <w:tcW w:w="644" w:type="pct"/>
            <w:tcBorders>
              <w:tl2br w:val="nil"/>
              <w:tr2bl w:val="nil"/>
            </w:tcBorders>
            <w:shd w:val="clear" w:color="auto" w:fill="auto"/>
            <w:noWrap/>
            <w:vAlign w:val="center"/>
          </w:tcPr>
          <w:p w14:paraId="0E48547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65.30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(57.77</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72.62)</w:t>
            </w:r>
          </w:p>
        </w:tc>
        <w:tc>
          <w:tcPr>
            <w:tcW w:w="468" w:type="pct"/>
            <w:tcBorders>
              <w:tl2br w:val="nil"/>
              <w:tr2bl w:val="nil"/>
            </w:tcBorders>
            <w:shd w:val="clear" w:color="auto" w:fill="auto"/>
            <w:noWrap/>
            <w:vAlign w:val="center"/>
          </w:tcPr>
          <w:p w14:paraId="088B1BE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68.80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(59.35</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73.60)</w:t>
            </w:r>
          </w:p>
        </w:tc>
        <w:tc>
          <w:tcPr>
            <w:tcW w:w="247" w:type="pct"/>
            <w:tcBorders>
              <w:tl2br w:val="nil"/>
              <w:tr2bl w:val="nil"/>
            </w:tcBorders>
            <w:shd w:val="clear" w:color="auto" w:fill="auto"/>
            <w:noWrap/>
            <w:vAlign w:val="bottom"/>
          </w:tcPr>
          <w:p w14:paraId="159B87F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15.370</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19F0BBA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0.002</w:t>
            </w:r>
          </w:p>
        </w:tc>
      </w:tr>
      <w:tr w14:paraId="118C2E2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7C4F373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BMI (kg/m</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2</w:t>
            </w:r>
            <w:r>
              <w:rPr>
                <w:rFonts w:hint="default" w:ascii="Times New Roman" w:hAnsi="Times New Roman" w:eastAsia="宋体" w:cs="Times New Roman"/>
                <w:b w:val="0"/>
                <w:bCs w:val="0"/>
                <w:i w:val="0"/>
                <w:iCs w:val="0"/>
                <w:color w:val="auto"/>
                <w:kern w:val="0"/>
                <w:sz w:val="21"/>
                <w:szCs w:val="21"/>
                <w:u w:val="none"/>
                <w:vertAlign w:val="baseline"/>
                <w:lang w:val="en-US" w:eastAsia="zh-CN" w:bidi="ar"/>
              </w:rPr>
              <w:t>)</w:t>
            </w:r>
          </w:p>
        </w:tc>
        <w:tc>
          <w:tcPr>
            <w:tcW w:w="468" w:type="pct"/>
            <w:tcBorders>
              <w:tl2br w:val="nil"/>
              <w:tr2bl w:val="nil"/>
            </w:tcBorders>
            <w:shd w:val="clear" w:color="auto" w:fill="auto"/>
            <w:noWrap/>
            <w:vAlign w:val="bottom"/>
          </w:tcPr>
          <w:p w14:paraId="6BABD2B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24.17 (22.15, 26.18)</w:t>
            </w:r>
          </w:p>
        </w:tc>
        <w:tc>
          <w:tcPr>
            <w:tcW w:w="1293" w:type="pct"/>
            <w:tcBorders>
              <w:tl2br w:val="nil"/>
              <w:tr2bl w:val="nil"/>
            </w:tcBorders>
            <w:shd w:val="clear" w:color="auto" w:fill="auto"/>
            <w:noWrap/>
            <w:vAlign w:val="bottom"/>
          </w:tcPr>
          <w:p w14:paraId="4D3F0EC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24.26 (22.21, 26.26)</w:t>
            </w:r>
          </w:p>
        </w:tc>
        <w:tc>
          <w:tcPr>
            <w:tcW w:w="692" w:type="pct"/>
            <w:tcBorders>
              <w:tl2br w:val="nil"/>
              <w:tr2bl w:val="nil"/>
            </w:tcBorders>
            <w:shd w:val="clear" w:color="auto" w:fill="auto"/>
            <w:noWrap/>
            <w:vAlign w:val="bottom"/>
          </w:tcPr>
          <w:p w14:paraId="639C1D8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24.01 (22.03, 26.04)</w:t>
            </w:r>
          </w:p>
        </w:tc>
        <w:tc>
          <w:tcPr>
            <w:tcW w:w="644" w:type="pct"/>
            <w:tcBorders>
              <w:tl2br w:val="nil"/>
              <w:tr2bl w:val="nil"/>
            </w:tcBorders>
            <w:shd w:val="clear" w:color="auto" w:fill="auto"/>
            <w:noWrap/>
            <w:vAlign w:val="bottom"/>
          </w:tcPr>
          <w:p w14:paraId="0D931E6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23.98 (22.23, 2</w:t>
            </w:r>
            <w:r>
              <w:rPr>
                <w:rFonts w:hint="eastAsia" w:ascii="Times New Roman" w:hAnsi="Times New Roman" w:eastAsia="宋体" w:cs="Times New Roman"/>
                <w:b w:val="0"/>
                <w:bCs w:val="0"/>
                <w:i w:val="0"/>
                <w:iCs w:val="0"/>
                <w:color w:val="auto"/>
                <w:kern w:val="0"/>
                <w:sz w:val="21"/>
                <w:szCs w:val="21"/>
                <w:u w:val="none"/>
                <w:lang w:val="en-US" w:eastAsia="zh-CN" w:bidi="ar"/>
              </w:rPr>
              <w:t>5.94</w:t>
            </w: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468" w:type="pct"/>
            <w:tcBorders>
              <w:tl2br w:val="nil"/>
              <w:tr2bl w:val="nil"/>
            </w:tcBorders>
            <w:shd w:val="clear" w:color="auto" w:fill="auto"/>
            <w:noWrap/>
            <w:vAlign w:val="bottom"/>
          </w:tcPr>
          <w:p w14:paraId="38A44FB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25.33 (22.</w:t>
            </w:r>
            <w:r>
              <w:rPr>
                <w:rFonts w:hint="eastAsia" w:ascii="Times New Roman" w:hAnsi="Times New Roman" w:eastAsia="宋体" w:cs="Times New Roman"/>
                <w:b w:val="0"/>
                <w:bCs w:val="0"/>
                <w:i w:val="0"/>
                <w:iCs w:val="0"/>
                <w:color w:val="auto"/>
                <w:kern w:val="0"/>
                <w:sz w:val="21"/>
                <w:szCs w:val="21"/>
                <w:u w:val="none"/>
                <w:lang w:val="en-US" w:eastAsia="zh-CN" w:bidi="ar"/>
              </w:rPr>
              <w:t>89</w:t>
            </w:r>
            <w:r>
              <w:rPr>
                <w:rFonts w:hint="default" w:ascii="Times New Roman" w:hAnsi="Times New Roman" w:eastAsia="宋体" w:cs="Times New Roman"/>
                <w:b w:val="0"/>
                <w:bCs w:val="0"/>
                <w:i w:val="0"/>
                <w:iCs w:val="0"/>
                <w:color w:val="auto"/>
                <w:kern w:val="0"/>
                <w:sz w:val="21"/>
                <w:szCs w:val="21"/>
                <w:u w:val="none"/>
                <w:lang w:val="en-US" w:eastAsia="zh-CN" w:bidi="ar"/>
              </w:rPr>
              <w:t>, 26.7</w:t>
            </w:r>
            <w:r>
              <w:rPr>
                <w:rFonts w:hint="eastAsia" w:ascii="Times New Roman" w:hAnsi="Times New Roman" w:eastAsia="宋体" w:cs="Times New Roman"/>
                <w:b w:val="0"/>
                <w:bCs w:val="0"/>
                <w:i w:val="0"/>
                <w:iCs w:val="0"/>
                <w:color w:val="auto"/>
                <w:kern w:val="0"/>
                <w:sz w:val="21"/>
                <w:szCs w:val="21"/>
                <w:u w:val="none"/>
                <w:lang w:val="en-US" w:eastAsia="zh-CN" w:bidi="ar"/>
              </w:rPr>
              <w:t>2</w:t>
            </w: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247" w:type="pct"/>
            <w:tcBorders>
              <w:tl2br w:val="nil"/>
              <w:tr2bl w:val="nil"/>
            </w:tcBorders>
            <w:shd w:val="clear" w:color="auto" w:fill="auto"/>
            <w:noWrap/>
            <w:vAlign w:val="bottom"/>
          </w:tcPr>
          <w:p w14:paraId="15883EF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12.866</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160D254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0.005</w:t>
            </w:r>
          </w:p>
        </w:tc>
      </w:tr>
      <w:tr w14:paraId="4FEFDC5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54AF125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WC (cm)</w:t>
            </w:r>
          </w:p>
        </w:tc>
        <w:tc>
          <w:tcPr>
            <w:tcW w:w="468" w:type="pct"/>
            <w:tcBorders>
              <w:tl2br w:val="nil"/>
              <w:tr2bl w:val="nil"/>
            </w:tcBorders>
            <w:shd w:val="clear" w:color="auto" w:fill="auto"/>
            <w:noWrap/>
            <w:vAlign w:val="center"/>
          </w:tcPr>
          <w:p w14:paraId="440E7725">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 xml:space="preserve">83.00 </w:t>
            </w:r>
          </w:p>
          <w:p w14:paraId="6E46A0DE">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(77.00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 xml:space="preserve"> 89.00)</w:t>
            </w:r>
          </w:p>
        </w:tc>
        <w:tc>
          <w:tcPr>
            <w:tcW w:w="1293" w:type="pct"/>
            <w:tcBorders>
              <w:tl2br w:val="nil"/>
              <w:tr2bl w:val="nil"/>
            </w:tcBorders>
            <w:shd w:val="clear" w:color="auto" w:fill="auto"/>
            <w:noWrap/>
            <w:vAlign w:val="center"/>
          </w:tcPr>
          <w:p w14:paraId="7DCF8AFE">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83.00 (77.00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89.00)</w:t>
            </w:r>
          </w:p>
        </w:tc>
        <w:tc>
          <w:tcPr>
            <w:tcW w:w="692" w:type="pct"/>
            <w:tcBorders>
              <w:tl2br w:val="nil"/>
              <w:tr2bl w:val="nil"/>
            </w:tcBorders>
            <w:shd w:val="clear" w:color="auto" w:fill="auto"/>
            <w:noWrap/>
            <w:vAlign w:val="center"/>
          </w:tcPr>
          <w:p w14:paraId="02F6B5D1">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83.00 (77.00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89.00)</w:t>
            </w:r>
          </w:p>
        </w:tc>
        <w:tc>
          <w:tcPr>
            <w:tcW w:w="644" w:type="pct"/>
            <w:tcBorders>
              <w:tl2br w:val="nil"/>
              <w:tr2bl w:val="nil"/>
            </w:tcBorders>
            <w:shd w:val="clear" w:color="auto" w:fill="auto"/>
            <w:noWrap/>
            <w:vAlign w:val="center"/>
          </w:tcPr>
          <w:p w14:paraId="7AFBD8F8">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84.00</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(78.00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90.00)</w:t>
            </w:r>
          </w:p>
        </w:tc>
        <w:tc>
          <w:tcPr>
            <w:tcW w:w="468" w:type="pct"/>
            <w:tcBorders>
              <w:tl2br w:val="nil"/>
              <w:tr2bl w:val="nil"/>
            </w:tcBorders>
            <w:shd w:val="clear" w:color="auto" w:fill="auto"/>
            <w:noWrap/>
            <w:vAlign w:val="center"/>
          </w:tcPr>
          <w:p w14:paraId="1B0FF2F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 xml:space="preserve">86.50 </w:t>
            </w:r>
          </w:p>
          <w:p w14:paraId="130D08F7">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(81.00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92.00)</w:t>
            </w:r>
          </w:p>
        </w:tc>
        <w:tc>
          <w:tcPr>
            <w:tcW w:w="247" w:type="pct"/>
            <w:tcBorders>
              <w:tl2br w:val="nil"/>
              <w:tr2bl w:val="nil"/>
            </w:tcBorders>
            <w:shd w:val="clear" w:color="auto" w:fill="auto"/>
            <w:noWrap/>
            <w:vAlign w:val="bottom"/>
          </w:tcPr>
          <w:p w14:paraId="5CA15921">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8.744</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5B99BA6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0.033</w:t>
            </w:r>
          </w:p>
        </w:tc>
      </w:tr>
      <w:tr w14:paraId="1D5F42D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023D5DD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TC (mmol/L)</w:t>
            </w:r>
          </w:p>
        </w:tc>
        <w:tc>
          <w:tcPr>
            <w:tcW w:w="468" w:type="pct"/>
            <w:tcBorders>
              <w:tl2br w:val="nil"/>
              <w:tr2bl w:val="nil"/>
            </w:tcBorders>
            <w:shd w:val="clear" w:color="auto" w:fill="auto"/>
            <w:noWrap/>
            <w:vAlign w:val="center"/>
          </w:tcPr>
          <w:p w14:paraId="44E6C99B">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4.96</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(4.41</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5.57)</w:t>
            </w:r>
          </w:p>
        </w:tc>
        <w:tc>
          <w:tcPr>
            <w:tcW w:w="1293" w:type="pct"/>
            <w:tcBorders>
              <w:tl2br w:val="nil"/>
              <w:tr2bl w:val="nil"/>
            </w:tcBorders>
            <w:shd w:val="clear" w:color="auto" w:fill="auto"/>
            <w:noWrap/>
            <w:vAlign w:val="center"/>
          </w:tcPr>
          <w:p w14:paraId="1C767068">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4.96 (4.41</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5.56)</w:t>
            </w:r>
          </w:p>
        </w:tc>
        <w:tc>
          <w:tcPr>
            <w:tcW w:w="692" w:type="pct"/>
            <w:tcBorders>
              <w:tl2br w:val="nil"/>
              <w:tr2bl w:val="nil"/>
            </w:tcBorders>
            <w:shd w:val="clear" w:color="auto" w:fill="auto"/>
            <w:noWrap/>
            <w:vAlign w:val="center"/>
          </w:tcPr>
          <w:p w14:paraId="48E62ECD">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4.97 (4.41</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5.58)</w:t>
            </w:r>
          </w:p>
        </w:tc>
        <w:tc>
          <w:tcPr>
            <w:tcW w:w="644" w:type="pct"/>
            <w:tcBorders>
              <w:tl2br w:val="nil"/>
              <w:tr2bl w:val="nil"/>
            </w:tcBorders>
            <w:shd w:val="clear" w:color="auto" w:fill="auto"/>
            <w:noWrap/>
            <w:vAlign w:val="center"/>
          </w:tcPr>
          <w:p w14:paraId="2A0460EC">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5.01 (4.49</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5.62)</w:t>
            </w:r>
          </w:p>
        </w:tc>
        <w:tc>
          <w:tcPr>
            <w:tcW w:w="468" w:type="pct"/>
            <w:tcBorders>
              <w:tl2br w:val="nil"/>
              <w:tr2bl w:val="nil"/>
            </w:tcBorders>
            <w:shd w:val="clear" w:color="auto" w:fill="auto"/>
            <w:noWrap/>
            <w:vAlign w:val="bottom"/>
          </w:tcPr>
          <w:p w14:paraId="6798B61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4.86 (4.1</w:t>
            </w:r>
            <w:r>
              <w:rPr>
                <w:rFonts w:hint="eastAsia" w:ascii="Times New Roman" w:hAnsi="Times New Roman" w:eastAsia="宋体" w:cs="Times New Roman"/>
                <w:b w:val="0"/>
                <w:bCs w:val="0"/>
                <w:i w:val="0"/>
                <w:iCs w:val="0"/>
                <w:color w:val="auto"/>
                <w:kern w:val="0"/>
                <w:sz w:val="21"/>
                <w:szCs w:val="21"/>
                <w:u w:val="none"/>
                <w:lang w:val="en-US" w:eastAsia="zh-CN" w:bidi="ar"/>
              </w:rPr>
              <w:t>7</w:t>
            </w:r>
            <w:r>
              <w:rPr>
                <w:rFonts w:hint="default" w:ascii="Times New Roman" w:hAnsi="Times New Roman" w:eastAsia="宋体" w:cs="Times New Roman"/>
                <w:b w:val="0"/>
                <w:bCs w:val="0"/>
                <w:i w:val="0"/>
                <w:iCs w:val="0"/>
                <w:color w:val="auto"/>
                <w:kern w:val="0"/>
                <w:sz w:val="21"/>
                <w:szCs w:val="21"/>
                <w:u w:val="none"/>
                <w:lang w:val="en-US" w:eastAsia="zh-CN" w:bidi="ar"/>
              </w:rPr>
              <w:t>, 5.4</w:t>
            </w:r>
            <w:r>
              <w:rPr>
                <w:rFonts w:hint="eastAsia" w:ascii="Times New Roman" w:hAnsi="Times New Roman" w:eastAsia="宋体" w:cs="Times New Roman"/>
                <w:b w:val="0"/>
                <w:bCs w:val="0"/>
                <w:i w:val="0"/>
                <w:iCs w:val="0"/>
                <w:color w:val="auto"/>
                <w:kern w:val="0"/>
                <w:sz w:val="21"/>
                <w:szCs w:val="21"/>
                <w:u w:val="none"/>
                <w:lang w:val="en-US" w:eastAsia="zh-CN" w:bidi="ar"/>
              </w:rPr>
              <w:t>4</w:t>
            </w: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247" w:type="pct"/>
            <w:tcBorders>
              <w:tl2br w:val="nil"/>
              <w:tr2bl w:val="nil"/>
            </w:tcBorders>
            <w:shd w:val="clear" w:color="auto" w:fill="auto"/>
            <w:noWrap/>
            <w:vAlign w:val="bottom"/>
          </w:tcPr>
          <w:p w14:paraId="1C0EE97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2.503</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416028A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0.475</w:t>
            </w:r>
          </w:p>
        </w:tc>
      </w:tr>
      <w:tr w14:paraId="3EEC4EC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4CEAADA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TG (mmol/L)</w:t>
            </w:r>
          </w:p>
        </w:tc>
        <w:tc>
          <w:tcPr>
            <w:tcW w:w="468" w:type="pct"/>
            <w:tcBorders>
              <w:tl2br w:val="nil"/>
              <w:tr2bl w:val="nil"/>
            </w:tcBorders>
            <w:shd w:val="clear" w:color="auto" w:fill="auto"/>
            <w:noWrap/>
            <w:vAlign w:val="center"/>
          </w:tcPr>
          <w:p w14:paraId="3FCFC0C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1.63</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(1.12</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2.39)</w:t>
            </w:r>
          </w:p>
        </w:tc>
        <w:tc>
          <w:tcPr>
            <w:tcW w:w="1293" w:type="pct"/>
            <w:tcBorders>
              <w:tl2br w:val="nil"/>
              <w:tr2bl w:val="nil"/>
            </w:tcBorders>
            <w:shd w:val="clear" w:color="auto" w:fill="auto"/>
            <w:noWrap/>
            <w:vAlign w:val="center"/>
          </w:tcPr>
          <w:p w14:paraId="6A9630E7">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1.64 (1.12</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2.40)</w:t>
            </w:r>
          </w:p>
        </w:tc>
        <w:tc>
          <w:tcPr>
            <w:tcW w:w="692" w:type="pct"/>
            <w:tcBorders>
              <w:tl2br w:val="nil"/>
              <w:tr2bl w:val="nil"/>
            </w:tcBorders>
            <w:shd w:val="clear" w:color="auto" w:fill="auto"/>
            <w:noWrap/>
            <w:vAlign w:val="center"/>
          </w:tcPr>
          <w:p w14:paraId="010D6849">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1.61 (1.12</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2.36)</w:t>
            </w:r>
          </w:p>
        </w:tc>
        <w:tc>
          <w:tcPr>
            <w:tcW w:w="644" w:type="pct"/>
            <w:tcBorders>
              <w:tl2br w:val="nil"/>
              <w:tr2bl w:val="nil"/>
            </w:tcBorders>
            <w:shd w:val="clear" w:color="auto" w:fill="auto"/>
            <w:noWrap/>
            <w:vAlign w:val="center"/>
          </w:tcPr>
          <w:p w14:paraId="69ECC85A">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 (1.05</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2.43)</w:t>
            </w:r>
          </w:p>
        </w:tc>
        <w:tc>
          <w:tcPr>
            <w:tcW w:w="468" w:type="pct"/>
            <w:tcBorders>
              <w:tl2br w:val="nil"/>
              <w:tr2bl w:val="nil"/>
            </w:tcBorders>
            <w:shd w:val="clear" w:color="auto" w:fill="auto"/>
            <w:noWrap/>
            <w:vAlign w:val="bottom"/>
          </w:tcPr>
          <w:p w14:paraId="1D6D2DC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1.69 (1.3</w:t>
            </w:r>
            <w:r>
              <w:rPr>
                <w:rFonts w:hint="eastAsia" w:ascii="Times New Roman" w:hAnsi="Times New Roman" w:eastAsia="宋体" w:cs="Times New Roman"/>
                <w:b w:val="0"/>
                <w:bCs w:val="0"/>
                <w:i w:val="0"/>
                <w:iCs w:val="0"/>
                <w:color w:val="auto"/>
                <w:kern w:val="0"/>
                <w:sz w:val="21"/>
                <w:szCs w:val="21"/>
                <w:u w:val="none"/>
                <w:lang w:val="en-US" w:eastAsia="zh-CN" w:bidi="ar"/>
              </w:rPr>
              <w:t>7</w:t>
            </w:r>
            <w:r>
              <w:rPr>
                <w:rFonts w:hint="default" w:ascii="Times New Roman" w:hAnsi="Times New Roman" w:eastAsia="宋体" w:cs="Times New Roman"/>
                <w:b w:val="0"/>
                <w:bCs w:val="0"/>
                <w:i w:val="0"/>
                <w:iCs w:val="0"/>
                <w:color w:val="auto"/>
                <w:kern w:val="0"/>
                <w:sz w:val="21"/>
                <w:szCs w:val="21"/>
                <w:u w:val="none"/>
                <w:lang w:val="en-US" w:eastAsia="zh-CN" w:bidi="ar"/>
              </w:rPr>
              <w:t>, 2.1</w:t>
            </w:r>
            <w:r>
              <w:rPr>
                <w:rFonts w:hint="eastAsia" w:ascii="Times New Roman" w:hAnsi="Times New Roman" w:eastAsia="宋体" w:cs="Times New Roman"/>
                <w:b w:val="0"/>
                <w:bCs w:val="0"/>
                <w:i w:val="0"/>
                <w:iCs w:val="0"/>
                <w:color w:val="auto"/>
                <w:kern w:val="0"/>
                <w:sz w:val="21"/>
                <w:szCs w:val="21"/>
                <w:u w:val="none"/>
                <w:lang w:val="en-US" w:eastAsia="zh-CN" w:bidi="ar"/>
              </w:rPr>
              <w:t>1</w:t>
            </w: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247" w:type="pct"/>
            <w:tcBorders>
              <w:tl2br w:val="nil"/>
              <w:tr2bl w:val="nil"/>
            </w:tcBorders>
            <w:shd w:val="clear" w:color="auto" w:fill="auto"/>
            <w:noWrap/>
            <w:vAlign w:val="bottom"/>
          </w:tcPr>
          <w:p w14:paraId="14378CA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1.903</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44FDCD5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0.593</w:t>
            </w:r>
          </w:p>
        </w:tc>
      </w:tr>
      <w:tr w14:paraId="27A0FD7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2A891FD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LDL-C (mmol/L)</w:t>
            </w:r>
          </w:p>
        </w:tc>
        <w:tc>
          <w:tcPr>
            <w:tcW w:w="468" w:type="pct"/>
            <w:tcBorders>
              <w:tl2br w:val="nil"/>
              <w:tr2bl w:val="nil"/>
            </w:tcBorders>
            <w:shd w:val="clear" w:color="auto" w:fill="auto"/>
            <w:noWrap/>
            <w:vAlign w:val="center"/>
          </w:tcPr>
          <w:p w14:paraId="0771F2CC">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2.86)</w:t>
            </w:r>
          </w:p>
        </w:tc>
        <w:tc>
          <w:tcPr>
            <w:tcW w:w="1293" w:type="pct"/>
            <w:tcBorders>
              <w:tl2br w:val="nil"/>
              <w:tr2bl w:val="nil"/>
            </w:tcBorders>
            <w:shd w:val="clear" w:color="auto" w:fill="auto"/>
            <w:noWrap/>
            <w:vAlign w:val="center"/>
          </w:tcPr>
          <w:p w14:paraId="2E11E74E">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 (2.00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2.86)</w:t>
            </w:r>
          </w:p>
        </w:tc>
        <w:tc>
          <w:tcPr>
            <w:tcW w:w="692" w:type="pct"/>
            <w:tcBorders>
              <w:tl2br w:val="nil"/>
              <w:tr2bl w:val="nil"/>
            </w:tcBorders>
            <w:shd w:val="clear" w:color="auto" w:fill="auto"/>
            <w:noWrap/>
            <w:vAlign w:val="center"/>
          </w:tcPr>
          <w:p w14:paraId="26D3B49D">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2.42 (2.00</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2.88)</w:t>
            </w:r>
          </w:p>
        </w:tc>
        <w:tc>
          <w:tcPr>
            <w:tcW w:w="644" w:type="pct"/>
            <w:tcBorders>
              <w:tl2br w:val="nil"/>
              <w:tr2bl w:val="nil"/>
            </w:tcBorders>
            <w:shd w:val="clear" w:color="auto" w:fill="auto"/>
            <w:noWrap/>
            <w:vAlign w:val="center"/>
          </w:tcPr>
          <w:p w14:paraId="073C204B">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2.45 (1.94</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2.86)</w:t>
            </w:r>
          </w:p>
        </w:tc>
        <w:tc>
          <w:tcPr>
            <w:tcW w:w="468" w:type="pct"/>
            <w:tcBorders>
              <w:tl2br w:val="nil"/>
              <w:tr2bl w:val="nil"/>
            </w:tcBorders>
            <w:shd w:val="clear" w:color="auto" w:fill="auto"/>
            <w:noWrap/>
            <w:vAlign w:val="bottom"/>
          </w:tcPr>
          <w:p w14:paraId="0CC4829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2.56 (1.9</w:t>
            </w:r>
            <w:r>
              <w:rPr>
                <w:rFonts w:hint="eastAsia" w:ascii="Times New Roman" w:hAnsi="Times New Roman" w:eastAsia="宋体" w:cs="Times New Roman"/>
                <w:b w:val="0"/>
                <w:bCs w:val="0"/>
                <w:i w:val="0"/>
                <w:iCs w:val="0"/>
                <w:color w:val="auto"/>
                <w:kern w:val="0"/>
                <w:sz w:val="21"/>
                <w:szCs w:val="21"/>
                <w:u w:val="none"/>
                <w:lang w:val="en-US" w:eastAsia="zh-CN" w:bidi="ar"/>
              </w:rPr>
              <w:t>9</w:t>
            </w:r>
            <w:r>
              <w:rPr>
                <w:rFonts w:hint="default" w:ascii="Times New Roman" w:hAnsi="Times New Roman" w:eastAsia="宋体" w:cs="Times New Roman"/>
                <w:b w:val="0"/>
                <w:bCs w:val="0"/>
                <w:i w:val="0"/>
                <w:iCs w:val="0"/>
                <w:color w:val="auto"/>
                <w:kern w:val="0"/>
                <w:sz w:val="21"/>
                <w:szCs w:val="21"/>
                <w:u w:val="none"/>
                <w:lang w:val="en-US" w:eastAsia="zh-CN" w:bidi="ar"/>
              </w:rPr>
              <w:t>, 2.8</w:t>
            </w:r>
            <w:r>
              <w:rPr>
                <w:rFonts w:hint="eastAsia" w:ascii="Times New Roman" w:hAnsi="Times New Roman" w:eastAsia="宋体" w:cs="Times New Roman"/>
                <w:b w:val="0"/>
                <w:bCs w:val="0"/>
                <w:i w:val="0"/>
                <w:iCs w:val="0"/>
                <w:color w:val="auto"/>
                <w:kern w:val="0"/>
                <w:sz w:val="21"/>
                <w:szCs w:val="21"/>
                <w:u w:val="none"/>
                <w:lang w:val="en-US" w:eastAsia="zh-CN" w:bidi="ar"/>
              </w:rPr>
              <w:t>0</w:t>
            </w: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247" w:type="pct"/>
            <w:tcBorders>
              <w:tl2br w:val="nil"/>
              <w:tr2bl w:val="nil"/>
            </w:tcBorders>
            <w:shd w:val="clear" w:color="auto" w:fill="auto"/>
            <w:noWrap/>
            <w:vAlign w:val="bottom"/>
          </w:tcPr>
          <w:p w14:paraId="1358E67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0.293</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6050015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0.961</w:t>
            </w:r>
          </w:p>
        </w:tc>
      </w:tr>
      <w:tr w14:paraId="2C6EDC8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73" w:type="pct"/>
            <w:tcBorders>
              <w:tl2br w:val="nil"/>
              <w:tr2bl w:val="nil"/>
            </w:tcBorders>
            <w:shd w:val="clear" w:color="auto" w:fill="auto"/>
            <w:noWrap/>
            <w:vAlign w:val="bottom"/>
          </w:tcPr>
          <w:p w14:paraId="3C0ED2B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HDL-C (mmol/L)</w:t>
            </w:r>
          </w:p>
        </w:tc>
        <w:tc>
          <w:tcPr>
            <w:tcW w:w="468" w:type="pct"/>
            <w:tcBorders>
              <w:tl2br w:val="nil"/>
              <w:tr2bl w:val="nil"/>
            </w:tcBorders>
            <w:shd w:val="clear" w:color="auto" w:fill="auto"/>
            <w:noWrap/>
            <w:vAlign w:val="center"/>
          </w:tcPr>
          <w:p w14:paraId="0B46273F">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1.35 (1.16</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1.56)</w:t>
            </w:r>
          </w:p>
        </w:tc>
        <w:tc>
          <w:tcPr>
            <w:tcW w:w="1293" w:type="pct"/>
            <w:tcBorders>
              <w:tl2br w:val="nil"/>
              <w:tr2bl w:val="nil"/>
            </w:tcBorders>
            <w:shd w:val="clear" w:color="auto" w:fill="auto"/>
            <w:noWrap/>
            <w:vAlign w:val="center"/>
          </w:tcPr>
          <w:p w14:paraId="65047254">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1.34 (1.15</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1.55)</w:t>
            </w:r>
          </w:p>
        </w:tc>
        <w:tc>
          <w:tcPr>
            <w:tcW w:w="692" w:type="pct"/>
            <w:tcBorders>
              <w:tl2br w:val="nil"/>
              <w:tr2bl w:val="nil"/>
            </w:tcBorders>
            <w:shd w:val="clear" w:color="auto" w:fill="auto"/>
            <w:noWrap/>
            <w:vAlign w:val="center"/>
          </w:tcPr>
          <w:p w14:paraId="702D5AD1">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1.36 (1.17</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1.58)</w:t>
            </w:r>
          </w:p>
        </w:tc>
        <w:tc>
          <w:tcPr>
            <w:tcW w:w="644" w:type="pct"/>
            <w:tcBorders>
              <w:tl2br w:val="nil"/>
              <w:tr2bl w:val="nil"/>
            </w:tcBorders>
            <w:shd w:val="clear" w:color="auto" w:fill="auto"/>
            <w:noWrap/>
            <w:vAlign w:val="center"/>
          </w:tcPr>
          <w:p w14:paraId="18C57E74">
            <w:pPr>
              <w:keepNext w:val="0"/>
              <w:keepLines w:val="0"/>
              <w:widowControl/>
              <w:suppressLineNumbers w:val="0"/>
              <w:jc w:val="both"/>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1.37 (1.19</w:t>
            </w:r>
            <w:r>
              <w:rPr>
                <w:rFonts w:hint="default" w:ascii="Times New Roman" w:hAnsi="Times New Roman"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1.59)</w:t>
            </w:r>
          </w:p>
        </w:tc>
        <w:tc>
          <w:tcPr>
            <w:tcW w:w="468" w:type="pct"/>
            <w:tcBorders>
              <w:tl2br w:val="nil"/>
              <w:tr2bl w:val="nil"/>
            </w:tcBorders>
            <w:shd w:val="clear" w:color="auto" w:fill="auto"/>
            <w:noWrap/>
            <w:vAlign w:val="bottom"/>
          </w:tcPr>
          <w:p w14:paraId="562AB43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1.23 (1.06,</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1.4</w:t>
            </w:r>
            <w:r>
              <w:rPr>
                <w:rFonts w:hint="eastAsia" w:ascii="Times New Roman" w:hAnsi="Times New Roman" w:eastAsia="宋体" w:cs="Times New Roman"/>
                <w:b w:val="0"/>
                <w:bCs w:val="0"/>
                <w:i w:val="0"/>
                <w:iCs w:val="0"/>
                <w:color w:val="auto"/>
                <w:kern w:val="0"/>
                <w:sz w:val="21"/>
                <w:szCs w:val="21"/>
                <w:u w:val="none"/>
                <w:lang w:val="en-US" w:eastAsia="zh-CN" w:bidi="ar"/>
              </w:rPr>
              <w:t>4</w:t>
            </w:r>
            <w:r>
              <w:rPr>
                <w:rFonts w:hint="default" w:ascii="Times New Roman" w:hAnsi="Times New Roman" w:eastAsia="宋体" w:cs="Times New Roman"/>
                <w:b w:val="0"/>
                <w:bCs w:val="0"/>
                <w:i w:val="0"/>
                <w:iCs w:val="0"/>
                <w:color w:val="auto"/>
                <w:kern w:val="0"/>
                <w:sz w:val="21"/>
                <w:szCs w:val="21"/>
                <w:u w:val="none"/>
                <w:lang w:val="en-US" w:eastAsia="zh-CN" w:bidi="ar"/>
              </w:rPr>
              <w:t>)</w:t>
            </w:r>
          </w:p>
        </w:tc>
        <w:tc>
          <w:tcPr>
            <w:tcW w:w="247" w:type="pct"/>
            <w:tcBorders>
              <w:tl2br w:val="nil"/>
              <w:tr2bl w:val="nil"/>
            </w:tcBorders>
            <w:shd w:val="clear" w:color="auto" w:fill="auto"/>
            <w:noWrap/>
            <w:vAlign w:val="bottom"/>
          </w:tcPr>
          <w:p w14:paraId="5249AC3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19.306</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l2br w:val="nil"/>
              <w:tr2bl w:val="nil"/>
            </w:tcBorders>
            <w:shd w:val="clear" w:color="auto" w:fill="auto"/>
            <w:noWrap/>
            <w:vAlign w:val="bottom"/>
          </w:tcPr>
          <w:p w14:paraId="088B7E6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&lt;0.001</w:t>
            </w:r>
          </w:p>
        </w:tc>
      </w:tr>
    </w:tbl>
    <w:p w14:paraId="533D9920">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r>
        <w:rPr>
          <w:rFonts w:hint="eastAsia" w:ascii="Times New Roman" w:hAnsi="Times New Roman" w:eastAsia="宋体" w:cs="Times New Roman"/>
          <w:i w:val="0"/>
          <w:iCs w:val="0"/>
          <w:color w:val="auto"/>
          <w:kern w:val="0"/>
          <w:sz w:val="22"/>
          <w:szCs w:val="22"/>
          <w:u w:val="none"/>
          <w:vertAlign w:val="baseline"/>
          <w:lang w:val="en-US" w:eastAsia="zh-CN" w:bidi="ar"/>
        </w:rPr>
        <w:t>Note: Categorical variables are presented as n (%), continuous variables as median (Q1, Q3). # Kruskal-Wallis test; * Fisher's exact test. GC = gastric cancer; Q1 = 1st Quartile; Q3 = 3rd Quartile; BMI = body mass index; WC = waist circumference; TC = total cholesterol; TG = triglyceride; LDL-C = low-density lipoprotein cholesterol; HDL-C = high-density lipoprotein cholesterol.</w:t>
      </w:r>
    </w:p>
    <w:p w14:paraId="7593E9E4">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2BE7ADA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楷体" w:cs="Times New Roman"/>
          <w:color w:val="auto"/>
          <w:kern w:val="0"/>
          <w:szCs w:val="21"/>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2.2</w:t>
      </w:r>
      <w:r>
        <w:rPr>
          <w:rFonts w:hint="default" w:ascii="Times New Roman" w:hAnsi="Times New Roman" w:eastAsia="楷体" w:cs="Times New Roman"/>
          <w:color w:val="auto"/>
          <w:kern w:val="0"/>
          <w:szCs w:val="21"/>
          <w:lang w:val="en-US" w:eastAsia="zh-CN" w:bidi="ar"/>
        </w:rPr>
        <w:t xml:space="preserve">新型肥胖相关指标的分布特征  </w:t>
      </w:r>
    </w:p>
    <w:p w14:paraId="053ABA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eastAsia="宋体" w:cs="Times New Roman"/>
          <w:i w:val="0"/>
          <w:iCs w:val="0"/>
          <w:color w:val="auto"/>
          <w:kern w:val="0"/>
          <w:sz w:val="22"/>
          <w:szCs w:val="22"/>
          <w:u w:val="none"/>
          <w:vertAlign w:val="baseline"/>
          <w:lang w:val="en-US" w:eastAsia="zh-CN" w:bidi="ar"/>
        </w:rPr>
      </w:pPr>
      <w:r>
        <w:rPr>
          <w:rFonts w:hint="default" w:ascii="Times New Roman" w:hAnsi="Times New Roman" w:eastAsia="宋体" w:cs="Times New Roman"/>
          <w:color w:val="auto"/>
          <w:kern w:val="0"/>
          <w:szCs w:val="21"/>
          <w:lang w:val="en-US" w:eastAsia="zh-CN" w:bidi="ar"/>
        </w:rPr>
        <w:t>不同胃部健康者</w:t>
      </w:r>
      <w:r>
        <w:rPr>
          <w:rFonts w:hint="eastAsia" w:ascii="Times New Roman" w:hAnsi="Times New Roman" w:eastAsia="宋体" w:cs="Times New Roman"/>
          <w:color w:val="auto"/>
          <w:kern w:val="0"/>
          <w:szCs w:val="21"/>
          <w:lang w:val="en-US" w:eastAsia="zh-CN" w:bidi="ar"/>
        </w:rPr>
        <w:t>仅</w:t>
      </w:r>
      <w:r>
        <w:rPr>
          <w:rFonts w:hint="default" w:ascii="Times New Roman" w:hAnsi="Times New Roman" w:eastAsia="宋体" w:cs="Times New Roman"/>
          <w:i w:val="0"/>
          <w:iCs w:val="0"/>
          <w:color w:val="auto"/>
          <w:kern w:val="0"/>
          <w:sz w:val="21"/>
          <w:szCs w:val="21"/>
          <w:u w:val="none"/>
          <w:lang w:val="en-US" w:eastAsia="zh-CN" w:bidi="ar"/>
        </w:rPr>
        <w:t>VAI和CVAI</w:t>
      </w:r>
      <w:r>
        <w:rPr>
          <w:rFonts w:hint="default" w:ascii="Times New Roman" w:hAnsi="Times New Roman" w:cs="Times New Roman"/>
          <w:color w:val="auto"/>
          <w:lang w:val="en-US" w:eastAsia="zh-CN"/>
        </w:rPr>
        <w:t>水平差异有统计学意义</w:t>
      </w:r>
      <w:r>
        <w:rPr>
          <w:rFonts w:hint="default" w:ascii="Times New Roman" w:hAnsi="Times New Roman" w:eastAsia="宋体" w:cs="Times New Roman"/>
          <w:b w:val="0"/>
          <w:bCs w:val="0"/>
          <w:color w:val="auto"/>
          <w:sz w:val="21"/>
          <w:szCs w:val="21"/>
          <w:lang w:val="en-US" w:eastAsia="zh-CN"/>
        </w:rPr>
        <w:t>（</w:t>
      </w:r>
      <w:r>
        <w:rPr>
          <w:rFonts w:hint="default" w:ascii="Times New Roman" w:hAnsi="Times New Roman" w:eastAsia="宋体" w:cs="Times New Roman"/>
          <w:b w:val="0"/>
          <w:bCs w:val="0"/>
          <w:i/>
          <w:iCs/>
          <w:color w:val="auto"/>
          <w:sz w:val="21"/>
          <w:szCs w:val="21"/>
          <w:lang w:val="en-US" w:eastAsia="zh-CN"/>
        </w:rPr>
        <w:t>P</w:t>
      </w:r>
      <w:r>
        <w:rPr>
          <w:rFonts w:hint="default" w:ascii="Times New Roman" w:hAnsi="Times New Roman" w:eastAsia="宋体" w:cs="Times New Roman"/>
          <w:b w:val="0"/>
          <w:bCs w:val="0"/>
          <w:color w:val="auto"/>
          <w:sz w:val="21"/>
          <w:szCs w:val="21"/>
          <w:lang w:val="en-US" w:eastAsia="zh-CN"/>
        </w:rPr>
        <w:t>&lt;0.05）。见表2。</w:t>
      </w:r>
    </w:p>
    <w:tbl>
      <w:tblPr>
        <w:tblStyle w:val="4"/>
        <w:tblpPr w:leftFromText="180" w:rightFromText="180" w:vertAnchor="text" w:horzAnchor="page" w:tblpX="1522" w:tblpY="618"/>
        <w:tblOverlap w:val="never"/>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1"/>
        <w:gridCol w:w="1774"/>
        <w:gridCol w:w="3850"/>
        <w:gridCol w:w="2398"/>
        <w:gridCol w:w="2229"/>
        <w:gridCol w:w="1859"/>
        <w:gridCol w:w="684"/>
        <w:gridCol w:w="599"/>
      </w:tblGrid>
      <w:tr w14:paraId="430A45B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5000" w:type="pct"/>
            <w:gridSpan w:val="8"/>
            <w:tcBorders>
              <w:top w:val="nil"/>
              <w:bottom w:val="single" w:color="auto" w:sz="4" w:space="0"/>
            </w:tcBorders>
            <w:shd w:val="clear" w:color="auto" w:fill="auto"/>
            <w:noWrap/>
            <w:vAlign w:val="bottom"/>
          </w:tcPr>
          <w:p w14:paraId="6B2795F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Style w:val="8"/>
                <w:rFonts w:hint="default" w:ascii="Times New Roman" w:hAnsi="Times New Roman" w:eastAsia="宋体" w:cs="Times New Roman"/>
                <w:b w:val="0"/>
                <w:bCs w:val="0"/>
                <w:color w:val="auto"/>
                <w:sz w:val="21"/>
                <w:szCs w:val="21"/>
                <w:lang w:val="en-US" w:eastAsia="zh-CN" w:bidi="ar"/>
              </w:rPr>
            </w:pPr>
            <w:r>
              <w:rPr>
                <w:rFonts w:hint="default" w:ascii="Times New Roman" w:hAnsi="Times New Roman" w:cs="Times New Roman"/>
                <w:b w:val="0"/>
                <w:bCs w:val="0"/>
                <w:color w:val="auto"/>
                <w:lang w:val="en-US" w:eastAsia="zh-CN"/>
              </w:rPr>
              <w:t>Table 2 Distribution characteristics of new obesity-related indicators of the study subjects [</w:t>
            </w:r>
            <w:r>
              <w:rPr>
                <w:rFonts w:hint="default" w:ascii="Times New Roman" w:hAnsi="Times New Roman" w:eastAsia="宋体" w:cs="Times New Roman"/>
                <w:b w:val="0"/>
                <w:bCs w:val="0"/>
                <w:i/>
                <w:iCs/>
                <w:color w:val="auto"/>
                <w:kern w:val="0"/>
                <w:sz w:val="21"/>
                <w:szCs w:val="21"/>
                <w:u w:val="none"/>
                <w:lang w:val="en-US" w:eastAsia="zh-CN" w:bidi="ar"/>
              </w:rPr>
              <w:t>M</w:t>
            </w:r>
            <w:r>
              <w:rPr>
                <w:rFonts w:hint="default"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iCs/>
                <w:color w:val="auto"/>
                <w:kern w:val="0"/>
                <w:sz w:val="21"/>
                <w:szCs w:val="21"/>
                <w:u w:val="none"/>
                <w:lang w:val="en-US" w:eastAsia="zh-CN" w:bidi="ar"/>
              </w:rPr>
              <w:t>Q</w:t>
            </w:r>
            <w:r>
              <w:rPr>
                <w:rFonts w:hint="default" w:ascii="Times New Roman" w:hAnsi="Times New Roman" w:eastAsia="宋体" w:cs="Times New Roman"/>
                <w:b w:val="0"/>
                <w:bCs w:val="0"/>
                <w:i w:val="0"/>
                <w:iCs w:val="0"/>
                <w:color w:val="auto"/>
                <w:kern w:val="0"/>
                <w:sz w:val="21"/>
                <w:szCs w:val="21"/>
                <w:u w:val="none"/>
                <w:vertAlign w:val="subscript"/>
                <w:lang w:val="en-US" w:eastAsia="zh-CN" w:bidi="ar"/>
              </w:rPr>
              <w:t>1</w:t>
            </w:r>
            <w:r>
              <w:rPr>
                <w:rFonts w:hint="default"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iCs/>
                <w:color w:val="auto"/>
                <w:kern w:val="0"/>
                <w:sz w:val="21"/>
                <w:szCs w:val="21"/>
                <w:u w:val="none"/>
                <w:lang w:val="en-US" w:eastAsia="zh-CN" w:bidi="ar"/>
              </w:rPr>
              <w:t>Q</w:t>
            </w:r>
            <w:r>
              <w:rPr>
                <w:rFonts w:hint="default" w:ascii="Times New Roman" w:hAnsi="Times New Roman" w:eastAsia="宋体" w:cs="Times New Roman"/>
                <w:b w:val="0"/>
                <w:bCs w:val="0"/>
                <w:i w:val="0"/>
                <w:iCs w:val="0"/>
                <w:color w:val="auto"/>
                <w:kern w:val="0"/>
                <w:sz w:val="21"/>
                <w:szCs w:val="21"/>
                <w:u w:val="none"/>
                <w:vertAlign w:val="subscript"/>
                <w:lang w:val="en-US" w:eastAsia="zh-CN" w:bidi="ar"/>
              </w:rPr>
              <w:t>3</w:t>
            </w:r>
            <w:r>
              <w:rPr>
                <w:rFonts w:hint="default" w:ascii="Times New Roman" w:hAnsi="Times New Roman" w:eastAsia="宋体" w:cs="Times New Roman"/>
                <w:b w:val="0"/>
                <w:bCs w:val="0"/>
                <w:i w:val="0"/>
                <w:iCs w:val="0"/>
                <w:color w:val="auto"/>
                <w:kern w:val="0"/>
                <w:sz w:val="21"/>
                <w:szCs w:val="21"/>
                <w:u w:val="none"/>
                <w:lang w:val="en-US" w:eastAsia="zh-CN" w:bidi="ar"/>
              </w:rPr>
              <w:t>)</w:t>
            </w:r>
            <w:r>
              <w:rPr>
                <w:rFonts w:hint="default" w:ascii="Times New Roman" w:hAnsi="Times New Roman" w:cs="Times New Roman"/>
                <w:b w:val="0"/>
                <w:bCs w:val="0"/>
                <w:color w:val="auto"/>
                <w:lang w:val="en-US" w:eastAsia="zh-CN"/>
              </w:rPr>
              <w:t>]</w:t>
            </w:r>
          </w:p>
        </w:tc>
      </w:tr>
      <w:tr w14:paraId="74DC0B0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75" w:type="pct"/>
            <w:tcBorders>
              <w:top w:val="single" w:color="auto" w:sz="4" w:space="0"/>
              <w:bottom w:val="single" w:color="auto" w:sz="4" w:space="0"/>
              <w:tl2br w:val="nil"/>
              <w:tr2bl w:val="nil"/>
            </w:tcBorders>
            <w:shd w:val="clear" w:color="auto" w:fill="auto"/>
            <w:noWrap/>
            <w:vAlign w:val="bottom"/>
          </w:tcPr>
          <w:p w14:paraId="72613E3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val="0"/>
                <w:iCs w:val="0"/>
                <w:color w:val="auto"/>
                <w:sz w:val="21"/>
                <w:szCs w:val="21"/>
                <w:u w:val="none"/>
                <w:lang w:val="en-US" w:eastAsia="zh-CN"/>
              </w:rPr>
              <w:t>Variable</w:t>
            </w:r>
          </w:p>
        </w:tc>
        <w:tc>
          <w:tcPr>
            <w:tcW w:w="625" w:type="pct"/>
            <w:tcBorders>
              <w:top w:val="single" w:color="auto" w:sz="4" w:space="0"/>
              <w:bottom w:val="single" w:color="auto" w:sz="4" w:space="0"/>
              <w:tl2br w:val="nil"/>
              <w:tr2bl w:val="nil"/>
            </w:tcBorders>
            <w:shd w:val="clear" w:color="auto" w:fill="auto"/>
            <w:noWrap/>
            <w:vAlign w:val="bottom"/>
          </w:tcPr>
          <w:p w14:paraId="35ACF43E">
            <w:pPr>
              <w:keepNext w:val="0"/>
              <w:keepLines w:val="0"/>
              <w:widowControl/>
              <w:suppressLineNumbers w:val="0"/>
              <w:jc w:val="left"/>
              <w:textAlignment w:val="bottom"/>
              <w:rPr>
                <w:rStyle w:val="8"/>
                <w:rFonts w:hint="eastAsia" w:ascii="Times New Roman" w:hAnsi="Times New Roman" w:eastAsia="宋体" w:cs="Times New Roman"/>
                <w:b w:val="0"/>
                <w:bCs w:val="0"/>
                <w:color w:val="auto"/>
                <w:sz w:val="21"/>
                <w:szCs w:val="21"/>
                <w:lang w:val="en-US" w:eastAsia="zh-CN" w:bidi="ar"/>
              </w:rPr>
            </w:pPr>
            <w:r>
              <w:rPr>
                <w:rStyle w:val="8"/>
                <w:rFonts w:hint="eastAsia" w:ascii="Times New Roman" w:hAnsi="Times New Roman" w:eastAsia="宋体" w:cs="Times New Roman"/>
                <w:b w:val="0"/>
                <w:bCs w:val="0"/>
                <w:color w:val="auto"/>
                <w:sz w:val="21"/>
                <w:szCs w:val="21"/>
                <w:lang w:val="en-US" w:eastAsia="zh-CN" w:bidi="ar"/>
              </w:rPr>
              <w:t xml:space="preserve">Overall </w:t>
            </w:r>
          </w:p>
          <w:p w14:paraId="2602722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Style w:val="8"/>
                <w:rFonts w:hint="default" w:ascii="Times New Roman" w:hAnsi="Times New Roman" w:eastAsia="宋体" w:cs="Times New Roman"/>
                <w:b w:val="0"/>
                <w:bCs w:val="0"/>
                <w:color w:val="auto"/>
                <w:sz w:val="21"/>
                <w:szCs w:val="21"/>
                <w:lang w:val="en-US" w:eastAsia="zh-CN" w:bidi="ar"/>
              </w:rPr>
              <w:t>(n=9243)</w:t>
            </w:r>
          </w:p>
        </w:tc>
        <w:tc>
          <w:tcPr>
            <w:tcW w:w="1358" w:type="pct"/>
            <w:tcBorders>
              <w:top w:val="single" w:color="auto" w:sz="4" w:space="0"/>
              <w:bottom w:val="single" w:color="auto" w:sz="4" w:space="0"/>
              <w:tl2br w:val="nil"/>
              <w:tr2bl w:val="nil"/>
            </w:tcBorders>
            <w:shd w:val="clear" w:color="auto" w:fill="auto"/>
            <w:noWrap/>
            <w:vAlign w:val="bottom"/>
          </w:tcPr>
          <w:p w14:paraId="51F2A7F2">
            <w:pPr>
              <w:keepNext w:val="0"/>
              <w:keepLines w:val="0"/>
              <w:widowControl/>
              <w:suppressLineNumbers w:val="0"/>
              <w:jc w:val="left"/>
              <w:textAlignment w:val="bottom"/>
              <w:rPr>
                <w:rStyle w:val="7"/>
                <w:rFonts w:hint="eastAsia" w:ascii="Times New Roman" w:hAnsi="Times New Roman" w:cs="Times New Roman"/>
                <w:b w:val="0"/>
                <w:bCs w:val="0"/>
                <w:color w:val="auto"/>
                <w:sz w:val="21"/>
                <w:szCs w:val="21"/>
                <w:lang w:val="en-US" w:eastAsia="zh-CN" w:bidi="ar"/>
              </w:rPr>
            </w:pPr>
            <w:r>
              <w:rPr>
                <w:rStyle w:val="7"/>
                <w:rFonts w:hint="default" w:ascii="Times New Roman" w:hAnsi="Times New Roman" w:cs="Times New Roman"/>
                <w:b w:val="0"/>
                <w:bCs w:val="0"/>
                <w:color w:val="auto"/>
                <w:sz w:val="21"/>
                <w:szCs w:val="21"/>
                <w:lang w:val="en-US" w:eastAsia="zh-CN" w:bidi="ar"/>
              </w:rPr>
              <w:t>Non-gastric cancer and precancerous lesions/diseases</w:t>
            </w:r>
            <w:r>
              <w:rPr>
                <w:rStyle w:val="7"/>
                <w:rFonts w:hint="eastAsia" w:ascii="Times New Roman" w:hAnsi="Times New Roman" w:cs="Times New Roman"/>
                <w:b w:val="0"/>
                <w:bCs w:val="0"/>
                <w:color w:val="auto"/>
                <w:sz w:val="21"/>
                <w:szCs w:val="21"/>
                <w:lang w:val="en-US" w:eastAsia="zh-CN" w:bidi="ar"/>
              </w:rPr>
              <w:t xml:space="preserve"> </w:t>
            </w:r>
          </w:p>
          <w:p w14:paraId="1994830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Style w:val="8"/>
                <w:rFonts w:hint="default" w:ascii="Times New Roman" w:hAnsi="Times New Roman" w:eastAsia="宋体" w:cs="Times New Roman"/>
                <w:b w:val="0"/>
                <w:bCs w:val="0"/>
                <w:color w:val="auto"/>
                <w:sz w:val="21"/>
                <w:szCs w:val="21"/>
                <w:lang w:val="en-US" w:eastAsia="zh-CN" w:bidi="ar"/>
              </w:rPr>
              <w:t>(n=5637)</w:t>
            </w:r>
          </w:p>
        </w:tc>
        <w:tc>
          <w:tcPr>
            <w:tcW w:w="845" w:type="pct"/>
            <w:tcBorders>
              <w:top w:val="single" w:color="auto" w:sz="4" w:space="0"/>
              <w:bottom w:val="single" w:color="auto" w:sz="4" w:space="0"/>
              <w:tl2br w:val="nil"/>
              <w:tr2bl w:val="nil"/>
            </w:tcBorders>
            <w:shd w:val="clear" w:color="auto" w:fill="auto"/>
            <w:noWrap/>
            <w:vAlign w:val="bottom"/>
          </w:tcPr>
          <w:p w14:paraId="522921A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diseases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(n=3382)</w:t>
            </w:r>
          </w:p>
        </w:tc>
        <w:tc>
          <w:tcPr>
            <w:tcW w:w="786" w:type="pct"/>
            <w:tcBorders>
              <w:top w:val="single" w:color="auto" w:sz="4" w:space="0"/>
              <w:bottom w:val="single" w:color="auto" w:sz="4" w:space="0"/>
              <w:tl2br w:val="nil"/>
              <w:tr2bl w:val="nil"/>
            </w:tcBorders>
            <w:shd w:val="clear" w:color="auto" w:fill="auto"/>
            <w:noWrap/>
            <w:vAlign w:val="bottom"/>
          </w:tcPr>
          <w:p w14:paraId="5DA260D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lesions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21"/>
                <w:szCs w:val="21"/>
                <w:u w:val="none"/>
                <w:lang w:val="en-US" w:eastAsia="zh-CN" w:bidi="ar"/>
              </w:rPr>
              <w:t>(n=180)</w:t>
            </w:r>
          </w:p>
        </w:tc>
        <w:tc>
          <w:tcPr>
            <w:tcW w:w="655" w:type="pct"/>
            <w:tcBorders>
              <w:top w:val="single" w:color="auto" w:sz="4" w:space="0"/>
              <w:bottom w:val="single" w:color="auto" w:sz="4" w:space="0"/>
              <w:tl2br w:val="nil"/>
              <w:tr2bl w:val="nil"/>
            </w:tcBorders>
            <w:shd w:val="clear" w:color="auto" w:fill="auto"/>
            <w:noWrap/>
            <w:vAlign w:val="bottom"/>
          </w:tcPr>
          <w:p w14:paraId="4AD5EC77">
            <w:pPr>
              <w:keepNext w:val="0"/>
              <w:keepLines w:val="0"/>
              <w:widowControl/>
              <w:suppressLineNumbers w:val="0"/>
              <w:jc w:val="left"/>
              <w:textAlignment w:val="bottom"/>
              <w:rPr>
                <w:rFonts w:hint="eastAsia"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val="0"/>
                <w:iCs w:val="0"/>
                <w:color w:val="auto"/>
                <w:kern w:val="0"/>
                <w:sz w:val="21"/>
                <w:szCs w:val="21"/>
                <w:u w:val="none"/>
                <w:lang w:val="en-US" w:eastAsia="zh-CN" w:bidi="ar"/>
              </w:rPr>
              <w:t>GC</w:t>
            </w:r>
          </w:p>
          <w:p w14:paraId="376FD71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(n=44)</w:t>
            </w:r>
          </w:p>
        </w:tc>
        <w:tc>
          <w:tcPr>
            <w:tcW w:w="241" w:type="pct"/>
            <w:tcBorders>
              <w:top w:val="single" w:color="auto" w:sz="4" w:space="0"/>
              <w:bottom w:val="single" w:color="auto" w:sz="4" w:space="0"/>
              <w:tl2br w:val="nil"/>
              <w:tr2bl w:val="nil"/>
            </w:tcBorders>
            <w:shd w:val="clear" w:color="auto" w:fill="auto"/>
            <w:noWrap/>
            <w:vAlign w:val="bottom"/>
          </w:tcPr>
          <w:p w14:paraId="627BBB0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eastAsia" w:ascii="Times New Roman" w:hAnsi="Times New Roman" w:eastAsia="宋体" w:cs="Times New Roman"/>
                <w:b w:val="0"/>
                <w:bCs w:val="0"/>
                <w:i/>
                <w:iCs/>
                <w:color w:val="auto"/>
                <w:kern w:val="0"/>
                <w:sz w:val="21"/>
                <w:szCs w:val="21"/>
                <w:u w:val="none"/>
                <w:lang w:val="en-US" w:eastAsia="zh-CN" w:bidi="ar"/>
              </w:rPr>
              <w:t>H</w:t>
            </w:r>
            <w:r>
              <w:rPr>
                <w:rFonts w:hint="default" w:ascii="Times New Roman" w:hAnsi="Times New Roman" w:eastAsia="宋体" w:cs="Times New Roman"/>
                <w:b w:val="0"/>
                <w:bCs w:val="0"/>
                <w:i w:val="0"/>
                <w:iCs w:val="0"/>
                <w:color w:val="auto"/>
                <w:kern w:val="0"/>
                <w:sz w:val="21"/>
                <w:szCs w:val="21"/>
                <w:u w:val="none"/>
                <w:vertAlign w:val="superscript"/>
                <w:lang w:val="en-US" w:eastAsia="zh-CN" w:bidi="ar"/>
              </w:rPr>
              <w:t>#</w:t>
            </w:r>
          </w:p>
        </w:tc>
        <w:tc>
          <w:tcPr>
            <w:tcW w:w="211" w:type="pct"/>
            <w:tcBorders>
              <w:top w:val="single" w:color="auto" w:sz="4" w:space="0"/>
              <w:bottom w:val="single" w:color="auto" w:sz="4" w:space="0"/>
              <w:tl2br w:val="nil"/>
              <w:tr2bl w:val="nil"/>
            </w:tcBorders>
            <w:shd w:val="clear" w:color="auto" w:fill="auto"/>
            <w:noWrap/>
            <w:vAlign w:val="bottom"/>
          </w:tcPr>
          <w:p w14:paraId="0C6660B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Style w:val="8"/>
                <w:rFonts w:hint="default" w:ascii="Times New Roman" w:hAnsi="Times New Roman" w:eastAsia="宋体" w:cs="Times New Roman"/>
                <w:b w:val="0"/>
                <w:bCs w:val="0"/>
                <w:i/>
                <w:iCs/>
                <w:color w:val="auto"/>
                <w:sz w:val="21"/>
                <w:szCs w:val="21"/>
                <w:lang w:val="en-US" w:eastAsia="zh-CN" w:bidi="ar"/>
              </w:rPr>
              <w:t>P</w:t>
            </w:r>
          </w:p>
        </w:tc>
      </w:tr>
      <w:tr w14:paraId="6ECD510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5" w:type="pct"/>
            <w:tcBorders>
              <w:tl2br w:val="nil"/>
              <w:tr2bl w:val="nil"/>
            </w:tcBorders>
            <w:shd w:val="clear" w:color="auto" w:fill="auto"/>
            <w:noWrap/>
            <w:vAlign w:val="bottom"/>
          </w:tcPr>
          <w:p w14:paraId="2A876D7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LAP</w:t>
            </w:r>
          </w:p>
        </w:tc>
        <w:tc>
          <w:tcPr>
            <w:tcW w:w="625" w:type="pct"/>
            <w:tcBorders>
              <w:tl2br w:val="nil"/>
              <w:tr2bl w:val="nil"/>
            </w:tcBorders>
            <w:shd w:val="clear" w:color="auto" w:fill="auto"/>
            <w:noWrap/>
            <w:vAlign w:val="bottom"/>
          </w:tcPr>
          <w:p w14:paraId="5A63E55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36.11 (20.50, 60.05)</w:t>
            </w:r>
          </w:p>
        </w:tc>
        <w:tc>
          <w:tcPr>
            <w:tcW w:w="1358" w:type="pct"/>
            <w:tcBorders>
              <w:tl2br w:val="nil"/>
              <w:tr2bl w:val="nil"/>
            </w:tcBorders>
            <w:shd w:val="clear" w:color="auto" w:fill="auto"/>
            <w:noWrap/>
            <w:vAlign w:val="bottom"/>
          </w:tcPr>
          <w:p w14:paraId="2FAF9E6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36.50 (20.90, 61.38)</w:t>
            </w:r>
          </w:p>
        </w:tc>
        <w:tc>
          <w:tcPr>
            <w:tcW w:w="845" w:type="pct"/>
            <w:tcBorders>
              <w:tl2br w:val="nil"/>
              <w:tr2bl w:val="nil"/>
            </w:tcBorders>
            <w:shd w:val="clear" w:color="auto" w:fill="auto"/>
            <w:noWrap/>
            <w:vAlign w:val="bottom"/>
          </w:tcPr>
          <w:p w14:paraId="49C6AC2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35.70 (19.95, 57.99)</w:t>
            </w:r>
          </w:p>
        </w:tc>
        <w:tc>
          <w:tcPr>
            <w:tcW w:w="786" w:type="pct"/>
            <w:tcBorders>
              <w:tl2br w:val="nil"/>
              <w:tr2bl w:val="nil"/>
            </w:tcBorders>
            <w:shd w:val="clear" w:color="auto" w:fill="auto"/>
            <w:noWrap/>
            <w:vAlign w:val="bottom"/>
          </w:tcPr>
          <w:p w14:paraId="30F4B5E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35.11 (18.72, 60.40)</w:t>
            </w:r>
          </w:p>
        </w:tc>
        <w:tc>
          <w:tcPr>
            <w:tcW w:w="655" w:type="pct"/>
            <w:tcBorders>
              <w:tl2br w:val="nil"/>
              <w:tr2bl w:val="nil"/>
            </w:tcBorders>
            <w:shd w:val="clear" w:color="auto" w:fill="auto"/>
            <w:noWrap/>
            <w:vAlign w:val="bottom"/>
          </w:tcPr>
          <w:p w14:paraId="1BC99CB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36.34 (22.34, 59.33)</w:t>
            </w:r>
          </w:p>
        </w:tc>
        <w:tc>
          <w:tcPr>
            <w:tcW w:w="241" w:type="pct"/>
            <w:tcBorders>
              <w:tl2br w:val="nil"/>
              <w:tr2bl w:val="nil"/>
            </w:tcBorders>
            <w:shd w:val="clear" w:color="auto" w:fill="auto"/>
            <w:noWrap/>
            <w:vAlign w:val="bottom"/>
          </w:tcPr>
          <w:p w14:paraId="5F17145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4.630</w:t>
            </w:r>
          </w:p>
        </w:tc>
        <w:tc>
          <w:tcPr>
            <w:tcW w:w="211" w:type="pct"/>
            <w:tcBorders>
              <w:tl2br w:val="nil"/>
              <w:tr2bl w:val="nil"/>
            </w:tcBorders>
            <w:shd w:val="clear" w:color="auto" w:fill="auto"/>
            <w:noWrap/>
            <w:vAlign w:val="bottom"/>
          </w:tcPr>
          <w:p w14:paraId="2206F28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0.201</w:t>
            </w:r>
          </w:p>
        </w:tc>
      </w:tr>
      <w:tr w14:paraId="37EC414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75" w:type="pct"/>
            <w:tcBorders>
              <w:tl2br w:val="nil"/>
              <w:tr2bl w:val="nil"/>
            </w:tcBorders>
            <w:shd w:val="clear" w:color="auto" w:fill="auto"/>
            <w:noWrap/>
            <w:vAlign w:val="bottom"/>
          </w:tcPr>
          <w:p w14:paraId="0D16469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VAI</w:t>
            </w:r>
          </w:p>
        </w:tc>
        <w:tc>
          <w:tcPr>
            <w:tcW w:w="625" w:type="pct"/>
            <w:tcBorders>
              <w:tl2br w:val="nil"/>
              <w:tr2bl w:val="nil"/>
            </w:tcBorders>
            <w:shd w:val="clear" w:color="auto" w:fill="auto"/>
            <w:noWrap/>
            <w:vAlign w:val="bottom"/>
          </w:tcPr>
          <w:p w14:paraId="7166BC7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1.94 (1.19, 3.12)</w:t>
            </w:r>
          </w:p>
        </w:tc>
        <w:tc>
          <w:tcPr>
            <w:tcW w:w="1358" w:type="pct"/>
            <w:tcBorders>
              <w:tl2br w:val="nil"/>
              <w:tr2bl w:val="nil"/>
            </w:tcBorders>
            <w:shd w:val="clear" w:color="auto" w:fill="auto"/>
            <w:noWrap/>
            <w:vAlign w:val="bottom"/>
          </w:tcPr>
          <w:p w14:paraId="15E6AC20">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1.97 (1.23, 3.16)</w:t>
            </w:r>
          </w:p>
        </w:tc>
        <w:tc>
          <w:tcPr>
            <w:tcW w:w="845" w:type="pct"/>
            <w:tcBorders>
              <w:tl2br w:val="nil"/>
              <w:tr2bl w:val="nil"/>
            </w:tcBorders>
            <w:shd w:val="clear" w:color="auto" w:fill="auto"/>
            <w:noWrap/>
            <w:vAlign w:val="bottom"/>
          </w:tcPr>
          <w:p w14:paraId="27552FA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1.89 (1.15, 3.08)</w:t>
            </w:r>
          </w:p>
        </w:tc>
        <w:tc>
          <w:tcPr>
            <w:tcW w:w="786" w:type="pct"/>
            <w:tcBorders>
              <w:tl2br w:val="nil"/>
              <w:tr2bl w:val="nil"/>
            </w:tcBorders>
            <w:shd w:val="clear" w:color="auto" w:fill="auto"/>
            <w:noWrap/>
            <w:vAlign w:val="bottom"/>
          </w:tcPr>
          <w:p w14:paraId="5905390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1.84 (1.00, 3.01)</w:t>
            </w:r>
          </w:p>
        </w:tc>
        <w:tc>
          <w:tcPr>
            <w:tcW w:w="655" w:type="pct"/>
            <w:tcBorders>
              <w:tl2br w:val="nil"/>
              <w:tr2bl w:val="nil"/>
            </w:tcBorders>
            <w:shd w:val="clear" w:color="auto" w:fill="auto"/>
            <w:noWrap/>
            <w:vAlign w:val="bottom"/>
          </w:tcPr>
          <w:p w14:paraId="16FDE77B">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1.98 (1.32, 3.43)</w:t>
            </w:r>
          </w:p>
        </w:tc>
        <w:tc>
          <w:tcPr>
            <w:tcW w:w="241" w:type="pct"/>
            <w:tcBorders>
              <w:tl2br w:val="nil"/>
              <w:tr2bl w:val="nil"/>
            </w:tcBorders>
            <w:shd w:val="clear" w:color="auto" w:fill="auto"/>
            <w:noWrap/>
            <w:vAlign w:val="bottom"/>
          </w:tcPr>
          <w:p w14:paraId="4033E1D4">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14.211</w:t>
            </w:r>
          </w:p>
        </w:tc>
        <w:tc>
          <w:tcPr>
            <w:tcW w:w="211" w:type="pct"/>
            <w:tcBorders>
              <w:tl2br w:val="nil"/>
              <w:tr2bl w:val="nil"/>
            </w:tcBorders>
            <w:shd w:val="clear" w:color="auto" w:fill="auto"/>
            <w:noWrap/>
            <w:vAlign w:val="bottom"/>
          </w:tcPr>
          <w:p w14:paraId="026133E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0.003</w:t>
            </w:r>
          </w:p>
        </w:tc>
      </w:tr>
      <w:tr w14:paraId="7269FE1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75" w:type="pct"/>
            <w:tcBorders>
              <w:tl2br w:val="nil"/>
              <w:tr2bl w:val="nil"/>
            </w:tcBorders>
            <w:shd w:val="clear" w:color="auto" w:fill="auto"/>
            <w:noWrap/>
            <w:vAlign w:val="bottom"/>
          </w:tcPr>
          <w:p w14:paraId="2FFCA6D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CVAI</w:t>
            </w:r>
          </w:p>
        </w:tc>
        <w:tc>
          <w:tcPr>
            <w:tcW w:w="625" w:type="pct"/>
            <w:tcBorders>
              <w:tl2br w:val="nil"/>
              <w:tr2bl w:val="nil"/>
            </w:tcBorders>
            <w:shd w:val="clear" w:color="auto" w:fill="auto"/>
            <w:noWrap/>
            <w:vAlign w:val="bottom"/>
          </w:tcPr>
          <w:p w14:paraId="786A87B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96.81</w:t>
            </w:r>
            <w:r>
              <w:rPr>
                <w:rFonts w:hint="eastAsia" w:ascii="Times New Roman" w:hAnsi="Times New Roman" w:eastAsia="宋体" w:cs="Times New Roman"/>
                <w:i w:val="0"/>
                <w:iCs w:val="0"/>
                <w:color w:val="auto"/>
                <w:kern w:val="0"/>
                <w:sz w:val="21"/>
                <w:szCs w:val="21"/>
                <w:u w:val="none"/>
                <w:lang w:val="en-US" w:eastAsia="zh-CN" w:bidi="ar"/>
              </w:rPr>
              <w:t xml:space="preserve"> </w:t>
            </w:r>
            <w:r>
              <w:rPr>
                <w:rFonts w:hint="default" w:ascii="Times New Roman" w:hAnsi="Times New Roman" w:eastAsia="宋体" w:cs="Times New Roman"/>
                <w:i w:val="0"/>
                <w:iCs w:val="0"/>
                <w:color w:val="auto"/>
                <w:kern w:val="0"/>
                <w:sz w:val="21"/>
                <w:szCs w:val="21"/>
                <w:u w:val="none"/>
                <w:lang w:val="en-US" w:eastAsia="zh-CN" w:bidi="ar"/>
              </w:rPr>
              <w:t>(73.82, 119.29)</w:t>
            </w:r>
          </w:p>
        </w:tc>
        <w:tc>
          <w:tcPr>
            <w:tcW w:w="1358" w:type="pct"/>
            <w:tcBorders>
              <w:tl2br w:val="nil"/>
              <w:tr2bl w:val="nil"/>
            </w:tcBorders>
            <w:shd w:val="clear" w:color="auto" w:fill="auto"/>
            <w:noWrap/>
            <w:vAlign w:val="bottom"/>
          </w:tcPr>
          <w:p w14:paraId="638E2F0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96.70 (73.44, 119.13)</w:t>
            </w:r>
          </w:p>
        </w:tc>
        <w:tc>
          <w:tcPr>
            <w:tcW w:w="845" w:type="pct"/>
            <w:tcBorders>
              <w:tl2br w:val="nil"/>
              <w:tr2bl w:val="nil"/>
            </w:tcBorders>
            <w:shd w:val="clear" w:color="auto" w:fill="auto"/>
            <w:noWrap/>
            <w:vAlign w:val="bottom"/>
          </w:tcPr>
          <w:p w14:paraId="1B39F61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96.67</w:t>
            </w:r>
            <w:r>
              <w:rPr>
                <w:rFonts w:hint="eastAsia" w:ascii="Times New Roman" w:hAnsi="Times New Roman" w:eastAsia="宋体" w:cs="Times New Roman"/>
                <w:i w:val="0"/>
                <w:iCs w:val="0"/>
                <w:color w:val="auto"/>
                <w:kern w:val="0"/>
                <w:sz w:val="21"/>
                <w:szCs w:val="21"/>
                <w:u w:val="none"/>
                <w:lang w:val="en-US" w:eastAsia="zh-CN" w:bidi="ar"/>
              </w:rPr>
              <w:t xml:space="preserve"> </w:t>
            </w:r>
            <w:r>
              <w:rPr>
                <w:rFonts w:hint="default" w:ascii="Times New Roman" w:hAnsi="Times New Roman" w:eastAsia="宋体" w:cs="Times New Roman"/>
                <w:i w:val="0"/>
                <w:iCs w:val="0"/>
                <w:color w:val="auto"/>
                <w:kern w:val="0"/>
                <w:sz w:val="21"/>
                <w:szCs w:val="21"/>
                <w:u w:val="none"/>
                <w:lang w:val="en-US" w:eastAsia="zh-CN" w:bidi="ar"/>
              </w:rPr>
              <w:t>(74.27, 119.17)</w:t>
            </w:r>
          </w:p>
        </w:tc>
        <w:tc>
          <w:tcPr>
            <w:tcW w:w="786" w:type="pct"/>
            <w:tcBorders>
              <w:tl2br w:val="nil"/>
              <w:tr2bl w:val="nil"/>
            </w:tcBorders>
            <w:shd w:val="clear" w:color="auto" w:fill="auto"/>
            <w:noWrap/>
            <w:vAlign w:val="bottom"/>
          </w:tcPr>
          <w:p w14:paraId="45967B9E">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100.63 (72.01, 123.28)</w:t>
            </w:r>
          </w:p>
        </w:tc>
        <w:tc>
          <w:tcPr>
            <w:tcW w:w="655" w:type="pct"/>
            <w:tcBorders>
              <w:tl2br w:val="nil"/>
              <w:tr2bl w:val="nil"/>
            </w:tcBorders>
            <w:shd w:val="clear" w:color="auto" w:fill="auto"/>
            <w:noWrap/>
            <w:vAlign w:val="bottom"/>
          </w:tcPr>
          <w:p w14:paraId="52441BAD">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113.18 (88.77, 130.05)</w:t>
            </w:r>
          </w:p>
        </w:tc>
        <w:tc>
          <w:tcPr>
            <w:tcW w:w="241" w:type="pct"/>
            <w:tcBorders>
              <w:tl2br w:val="nil"/>
              <w:tr2bl w:val="nil"/>
            </w:tcBorders>
            <w:shd w:val="clear" w:color="auto" w:fill="auto"/>
            <w:noWrap/>
            <w:vAlign w:val="bottom"/>
          </w:tcPr>
          <w:p w14:paraId="387FA2EF">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8.033</w:t>
            </w:r>
          </w:p>
        </w:tc>
        <w:tc>
          <w:tcPr>
            <w:tcW w:w="211" w:type="pct"/>
            <w:tcBorders>
              <w:tl2br w:val="nil"/>
              <w:tr2bl w:val="nil"/>
            </w:tcBorders>
            <w:shd w:val="clear" w:color="auto" w:fill="auto"/>
            <w:noWrap/>
            <w:vAlign w:val="bottom"/>
          </w:tcPr>
          <w:p w14:paraId="19EFAF6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0.045</w:t>
            </w:r>
          </w:p>
        </w:tc>
      </w:tr>
      <w:tr w14:paraId="205022F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275" w:type="pct"/>
            <w:tcBorders>
              <w:tl2br w:val="nil"/>
              <w:tr2bl w:val="nil"/>
            </w:tcBorders>
            <w:shd w:val="clear" w:color="auto" w:fill="auto"/>
            <w:noWrap/>
            <w:vAlign w:val="bottom"/>
          </w:tcPr>
          <w:p w14:paraId="35AE8A0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WTI</w:t>
            </w:r>
          </w:p>
        </w:tc>
        <w:tc>
          <w:tcPr>
            <w:tcW w:w="625" w:type="pct"/>
            <w:tcBorders>
              <w:tl2br w:val="nil"/>
              <w:tr2bl w:val="nil"/>
            </w:tcBorders>
            <w:shd w:val="clear" w:color="auto" w:fill="auto"/>
            <w:noWrap/>
            <w:vAlign w:val="bottom"/>
          </w:tcPr>
          <w:p w14:paraId="1F5CE9D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135.68</w:t>
            </w:r>
            <w:r>
              <w:rPr>
                <w:rFonts w:hint="eastAsia" w:ascii="Times New Roman" w:hAnsi="Times New Roman" w:eastAsia="宋体" w:cs="Times New Roman"/>
                <w:i w:val="0"/>
                <w:iCs w:val="0"/>
                <w:color w:val="auto"/>
                <w:kern w:val="0"/>
                <w:sz w:val="21"/>
                <w:szCs w:val="21"/>
                <w:u w:val="none"/>
                <w:lang w:val="en-US" w:eastAsia="zh-CN" w:bidi="ar"/>
              </w:rPr>
              <w:t xml:space="preserve"> </w:t>
            </w:r>
            <w:r>
              <w:rPr>
                <w:rFonts w:hint="default" w:ascii="Times New Roman" w:hAnsi="Times New Roman" w:eastAsia="宋体" w:cs="Times New Roman"/>
                <w:i w:val="0"/>
                <w:iCs w:val="0"/>
                <w:color w:val="auto"/>
                <w:kern w:val="0"/>
                <w:sz w:val="21"/>
                <w:szCs w:val="21"/>
                <w:u w:val="none"/>
                <w:lang w:val="en-US" w:eastAsia="zh-CN" w:bidi="ar"/>
              </w:rPr>
              <w:t>(90.00, 205.03)</w:t>
            </w:r>
          </w:p>
        </w:tc>
        <w:tc>
          <w:tcPr>
            <w:tcW w:w="1358" w:type="pct"/>
            <w:tcBorders>
              <w:tl2br w:val="nil"/>
              <w:tr2bl w:val="nil"/>
            </w:tcBorders>
            <w:shd w:val="clear" w:color="auto" w:fill="auto"/>
            <w:noWrap/>
            <w:vAlign w:val="bottom"/>
          </w:tcPr>
          <w:p w14:paraId="2E038DD3">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136.12 (90.06, 206.67)</w:t>
            </w:r>
          </w:p>
        </w:tc>
        <w:tc>
          <w:tcPr>
            <w:tcW w:w="845" w:type="pct"/>
            <w:tcBorders>
              <w:tl2br w:val="nil"/>
              <w:tr2bl w:val="nil"/>
            </w:tcBorders>
            <w:shd w:val="clear" w:color="auto" w:fill="auto"/>
            <w:noWrap/>
            <w:vAlign w:val="bottom"/>
          </w:tcPr>
          <w:p w14:paraId="20257AD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134.31 (90.05, 201.10)</w:t>
            </w:r>
          </w:p>
        </w:tc>
        <w:tc>
          <w:tcPr>
            <w:tcW w:w="786" w:type="pct"/>
            <w:tcBorders>
              <w:tl2br w:val="nil"/>
              <w:tr2bl w:val="nil"/>
            </w:tcBorders>
            <w:shd w:val="clear" w:color="auto" w:fill="auto"/>
            <w:noWrap/>
            <w:vAlign w:val="bottom"/>
          </w:tcPr>
          <w:p w14:paraId="1E0AD00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140.12 (85.26, 211.83)</w:t>
            </w:r>
          </w:p>
        </w:tc>
        <w:tc>
          <w:tcPr>
            <w:tcW w:w="655" w:type="pct"/>
            <w:tcBorders>
              <w:tl2br w:val="nil"/>
              <w:tr2bl w:val="nil"/>
            </w:tcBorders>
            <w:shd w:val="clear" w:color="auto" w:fill="auto"/>
            <w:noWrap/>
            <w:vAlign w:val="bottom"/>
          </w:tcPr>
          <w:p w14:paraId="61F3964A">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137.73 (113.70, 188.73)</w:t>
            </w:r>
          </w:p>
        </w:tc>
        <w:tc>
          <w:tcPr>
            <w:tcW w:w="241" w:type="pct"/>
            <w:tcBorders>
              <w:tl2br w:val="nil"/>
              <w:tr2bl w:val="nil"/>
            </w:tcBorders>
            <w:shd w:val="clear" w:color="auto" w:fill="auto"/>
            <w:noWrap/>
            <w:vAlign w:val="bottom"/>
          </w:tcPr>
          <w:p w14:paraId="0E518D96">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1.942</w:t>
            </w:r>
          </w:p>
        </w:tc>
        <w:tc>
          <w:tcPr>
            <w:tcW w:w="211" w:type="pct"/>
            <w:tcBorders>
              <w:tl2br w:val="nil"/>
              <w:tr2bl w:val="nil"/>
            </w:tcBorders>
            <w:shd w:val="clear" w:color="auto" w:fill="auto"/>
            <w:noWrap/>
            <w:vAlign w:val="bottom"/>
          </w:tcPr>
          <w:p w14:paraId="27B26A5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0.585</w:t>
            </w:r>
          </w:p>
        </w:tc>
      </w:tr>
      <w:tr w14:paraId="78D0DC5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275" w:type="pct"/>
            <w:tcBorders>
              <w:tl2br w:val="nil"/>
              <w:tr2bl w:val="nil"/>
            </w:tcBorders>
            <w:shd w:val="clear" w:color="auto" w:fill="auto"/>
            <w:noWrap/>
            <w:vAlign w:val="bottom"/>
          </w:tcPr>
          <w:p w14:paraId="534D675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CMI</w:t>
            </w:r>
          </w:p>
        </w:tc>
        <w:tc>
          <w:tcPr>
            <w:tcW w:w="625" w:type="pct"/>
            <w:tcBorders>
              <w:tl2br w:val="nil"/>
              <w:tr2bl w:val="nil"/>
            </w:tcBorders>
            <w:shd w:val="clear" w:color="auto" w:fill="auto"/>
            <w:noWrap/>
            <w:vAlign w:val="bottom"/>
          </w:tcPr>
          <w:p w14:paraId="55603599">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0.62 (0.38, 1.03)</w:t>
            </w:r>
          </w:p>
        </w:tc>
        <w:tc>
          <w:tcPr>
            <w:tcW w:w="1358" w:type="pct"/>
            <w:tcBorders>
              <w:tl2br w:val="nil"/>
              <w:tr2bl w:val="nil"/>
            </w:tcBorders>
            <w:shd w:val="clear" w:color="auto" w:fill="auto"/>
            <w:noWrap/>
            <w:vAlign w:val="bottom"/>
          </w:tcPr>
          <w:p w14:paraId="76FAD715">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0.63 (0.38, 1.04)</w:t>
            </w:r>
          </w:p>
        </w:tc>
        <w:tc>
          <w:tcPr>
            <w:tcW w:w="845" w:type="pct"/>
            <w:tcBorders>
              <w:tl2br w:val="nil"/>
              <w:tr2bl w:val="nil"/>
            </w:tcBorders>
            <w:shd w:val="clear" w:color="auto" w:fill="auto"/>
            <w:noWrap/>
            <w:vAlign w:val="bottom"/>
          </w:tcPr>
          <w:p w14:paraId="069717B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0.60 (0.37, 1.01)</w:t>
            </w:r>
          </w:p>
        </w:tc>
        <w:tc>
          <w:tcPr>
            <w:tcW w:w="786" w:type="pct"/>
            <w:tcBorders>
              <w:tl2br w:val="nil"/>
              <w:tr2bl w:val="nil"/>
            </w:tcBorders>
            <w:shd w:val="clear" w:color="auto" w:fill="auto"/>
            <w:noWrap/>
            <w:vAlign w:val="bottom"/>
          </w:tcPr>
          <w:p w14:paraId="4C5F3007">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0.59 (0.35, 1.04)</w:t>
            </w:r>
          </w:p>
        </w:tc>
        <w:tc>
          <w:tcPr>
            <w:tcW w:w="655" w:type="pct"/>
            <w:tcBorders>
              <w:tl2br w:val="nil"/>
              <w:tr2bl w:val="nil"/>
            </w:tcBorders>
            <w:shd w:val="clear" w:color="auto" w:fill="auto"/>
            <w:noWrap/>
            <w:vAlign w:val="bottom"/>
          </w:tcPr>
          <w:p w14:paraId="3ED299A8">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0.70 (0.47, 1.10)</w:t>
            </w:r>
          </w:p>
        </w:tc>
        <w:tc>
          <w:tcPr>
            <w:tcW w:w="241" w:type="pct"/>
            <w:tcBorders>
              <w:tl2br w:val="nil"/>
              <w:tr2bl w:val="nil"/>
            </w:tcBorders>
            <w:shd w:val="clear" w:color="auto" w:fill="auto"/>
            <w:noWrap/>
            <w:vAlign w:val="bottom"/>
          </w:tcPr>
          <w:p w14:paraId="2030D4A2">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6.898</w:t>
            </w:r>
          </w:p>
        </w:tc>
        <w:tc>
          <w:tcPr>
            <w:tcW w:w="211" w:type="pct"/>
            <w:tcBorders>
              <w:tl2br w:val="nil"/>
              <w:tr2bl w:val="nil"/>
            </w:tcBorders>
            <w:shd w:val="clear" w:color="auto" w:fill="auto"/>
            <w:noWrap/>
            <w:vAlign w:val="bottom"/>
          </w:tcPr>
          <w:p w14:paraId="7898CF5C">
            <w:pPr>
              <w:keepNext w:val="0"/>
              <w:keepLines w:val="0"/>
              <w:widowControl/>
              <w:suppressLineNumbers w:val="0"/>
              <w:jc w:val="left"/>
              <w:textAlignment w:val="bottom"/>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0.075</w:t>
            </w:r>
          </w:p>
        </w:tc>
      </w:tr>
    </w:tbl>
    <w:p w14:paraId="1C429080">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06179B25">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r>
        <w:rPr>
          <w:rFonts w:hint="eastAsia" w:ascii="Times New Roman" w:hAnsi="Times New Roman" w:eastAsia="宋体" w:cs="Times New Roman"/>
          <w:i w:val="0"/>
          <w:iCs w:val="0"/>
          <w:color w:val="auto"/>
          <w:kern w:val="0"/>
          <w:sz w:val="22"/>
          <w:szCs w:val="22"/>
          <w:u w:val="none"/>
          <w:vertAlign w:val="baseline"/>
          <w:lang w:val="en-US" w:eastAsia="zh-CN" w:bidi="ar"/>
        </w:rPr>
        <w:t>Note: Continuous variables are presented as median (Q1, Q3). # Kruskal-Wallis test. LAP = lipid accumulation product; VAI = visceral adiposity index; CVAI = Chinese visceral adiposity index; WTI = waist triglyceride index; CMI = cardiometabolic index; GC = gastric cancer; Q1 = 1st Quartile; Q3 = 3rd Quartile.</w:t>
      </w:r>
    </w:p>
    <w:p w14:paraId="6F838700">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614EB9CC">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09E95C5B">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1F4913C9">
      <w:pPr>
        <w:numPr>
          <w:ilvl w:val="0"/>
          <w:numId w:val="0"/>
        </w:numPr>
        <w:ind w:leftChars="0"/>
        <w:rPr>
          <w:rFonts w:hint="default" w:ascii="Times New Roman" w:hAnsi="Times New Roman" w:eastAsia="楷体" w:cs="Times New Roman"/>
          <w:color w:val="auto"/>
          <w:kern w:val="0"/>
          <w:szCs w:val="21"/>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2.3</w:t>
      </w:r>
      <w:r>
        <w:rPr>
          <w:rFonts w:hint="default" w:ascii="Times New Roman" w:hAnsi="Times New Roman" w:eastAsia="楷体" w:cs="Times New Roman"/>
          <w:color w:val="auto"/>
          <w:kern w:val="0"/>
          <w:szCs w:val="21"/>
          <w:lang w:val="en-US" w:eastAsia="zh-CN" w:bidi="ar"/>
        </w:rPr>
        <w:t>新型肥胖相关指标与胃癌及癌前病变/</w:t>
      </w:r>
      <w:r>
        <w:rPr>
          <w:rFonts w:hint="eastAsia" w:ascii="Times New Roman" w:hAnsi="Times New Roman" w:eastAsia="楷体" w:cs="Times New Roman"/>
          <w:color w:val="auto"/>
          <w:kern w:val="0"/>
          <w:szCs w:val="21"/>
          <w:lang w:val="en-US" w:eastAsia="zh-CN" w:bidi="ar"/>
        </w:rPr>
        <w:t>疾病</w:t>
      </w:r>
      <w:r>
        <w:rPr>
          <w:rFonts w:hint="default" w:ascii="Times New Roman" w:hAnsi="Times New Roman" w:eastAsia="楷体" w:cs="Times New Roman"/>
          <w:color w:val="auto"/>
          <w:kern w:val="0"/>
          <w:szCs w:val="21"/>
          <w:lang w:val="en-US" w:eastAsia="zh-CN" w:bidi="ar"/>
        </w:rPr>
        <w:t>的</w:t>
      </w:r>
      <w:r>
        <w:rPr>
          <w:rFonts w:hint="eastAsia" w:ascii="Times New Roman" w:hAnsi="Times New Roman" w:eastAsia="楷体" w:cs="Times New Roman"/>
          <w:color w:val="auto"/>
          <w:kern w:val="0"/>
          <w:szCs w:val="21"/>
          <w:lang w:val="en-US" w:eastAsia="zh-CN" w:bidi="ar"/>
        </w:rPr>
        <w:t>无序</w:t>
      </w:r>
      <w:r>
        <w:rPr>
          <w:rFonts w:hint="default" w:ascii="Times New Roman" w:hAnsi="Times New Roman" w:eastAsia="楷体" w:cs="Times New Roman"/>
          <w:color w:val="auto"/>
          <w:kern w:val="0"/>
          <w:szCs w:val="21"/>
          <w:lang w:val="en-US" w:eastAsia="zh-CN" w:bidi="ar"/>
        </w:rPr>
        <w:t>多</w:t>
      </w:r>
      <w:r>
        <w:rPr>
          <w:rFonts w:hint="eastAsia" w:ascii="Times New Roman" w:hAnsi="Times New Roman" w:eastAsia="楷体" w:cs="Times New Roman"/>
          <w:color w:val="auto"/>
          <w:kern w:val="0"/>
          <w:szCs w:val="21"/>
          <w:lang w:val="en-US" w:eastAsia="zh-CN" w:bidi="ar"/>
        </w:rPr>
        <w:t>分类</w:t>
      </w:r>
      <w:r>
        <w:rPr>
          <w:rFonts w:hint="default" w:ascii="Times New Roman" w:hAnsi="Times New Roman" w:eastAsia="楷体" w:cs="Times New Roman"/>
          <w:color w:val="auto"/>
          <w:kern w:val="0"/>
          <w:szCs w:val="21"/>
          <w:lang w:val="en-US" w:eastAsia="zh-CN" w:bidi="ar"/>
        </w:rPr>
        <w:t xml:space="preserve">logistic回归分析  </w:t>
      </w:r>
    </w:p>
    <w:p w14:paraId="497DFF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auto"/>
          <w:kern w:val="0"/>
          <w:szCs w:val="21"/>
          <w:lang w:val="en-US" w:eastAsia="zh-CN" w:bidi="ar"/>
        </w:rPr>
      </w:pPr>
      <w:r>
        <w:rPr>
          <w:rFonts w:hint="eastAsia" w:ascii="Times New Roman" w:hAnsi="Times New Roman" w:eastAsia="宋体" w:cs="Times New Roman"/>
          <w:color w:val="auto"/>
          <w:kern w:val="0"/>
          <w:szCs w:val="21"/>
          <w:lang w:val="en-US" w:eastAsia="zh-CN" w:bidi="ar"/>
        </w:rPr>
        <w:t>纳入单因素分析有意义的变量后，无序</w:t>
      </w:r>
      <w:r>
        <w:rPr>
          <w:rFonts w:hint="default" w:ascii="Times New Roman" w:hAnsi="Times New Roman" w:eastAsia="宋体" w:cs="Times New Roman"/>
          <w:color w:val="auto"/>
          <w:kern w:val="0"/>
          <w:szCs w:val="21"/>
          <w:lang w:val="en-US" w:eastAsia="zh-CN" w:bidi="ar"/>
        </w:rPr>
        <w:t>多</w:t>
      </w:r>
      <w:r>
        <w:rPr>
          <w:rFonts w:hint="eastAsia" w:ascii="Times New Roman" w:hAnsi="Times New Roman" w:eastAsia="宋体" w:cs="Times New Roman"/>
          <w:color w:val="auto"/>
          <w:kern w:val="0"/>
          <w:szCs w:val="21"/>
          <w:lang w:val="en-US" w:eastAsia="zh-CN" w:bidi="ar"/>
        </w:rPr>
        <w:t>分类logistic</w:t>
      </w:r>
      <w:r>
        <w:rPr>
          <w:rFonts w:hint="default" w:ascii="Times New Roman" w:hAnsi="Times New Roman" w:eastAsia="宋体" w:cs="Times New Roman"/>
          <w:color w:val="auto"/>
          <w:kern w:val="0"/>
          <w:szCs w:val="21"/>
          <w:lang w:val="en-US" w:eastAsia="zh-CN" w:bidi="ar"/>
        </w:rPr>
        <w:t>结果显示，与Q1组相比，LAP和CVA</w:t>
      </w:r>
      <w:r>
        <w:rPr>
          <w:rFonts w:hint="eastAsia" w:ascii="Times New Roman" w:hAnsi="Times New Roman" w:eastAsia="宋体" w:cs="Times New Roman"/>
          <w:color w:val="auto"/>
          <w:kern w:val="0"/>
          <w:szCs w:val="21"/>
          <w:lang w:val="en-US" w:eastAsia="zh-CN" w:bidi="ar"/>
        </w:rPr>
        <w:t>I</w:t>
      </w:r>
      <w:r>
        <w:rPr>
          <w:rFonts w:hint="default" w:ascii="Times New Roman" w:hAnsi="Times New Roman" w:eastAsia="宋体" w:cs="Times New Roman"/>
          <w:color w:val="auto"/>
          <w:kern w:val="0"/>
          <w:szCs w:val="21"/>
          <w:lang w:val="en-US" w:eastAsia="zh-CN" w:bidi="ar"/>
        </w:rPr>
        <w:t>的Q4组患癌前疾病的风险分别降低13.6%（</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0.864</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0.761~0.981</w:t>
      </w:r>
      <w:r>
        <w:rPr>
          <w:rFonts w:hint="default" w:ascii="Times New Roman" w:hAnsi="Times New Roman" w:eastAsia="宋体" w:cs="Times New Roman"/>
          <w:color w:val="auto"/>
          <w:kern w:val="0"/>
          <w:szCs w:val="21"/>
          <w:lang w:val="en-US" w:eastAsia="zh-CN" w:bidi="ar"/>
        </w:rPr>
        <w:t>）和16.1%（</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0.839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0.736~0.957</w:t>
      </w:r>
      <w:r>
        <w:rPr>
          <w:rFonts w:hint="default" w:ascii="Times New Roman" w:hAnsi="Times New Roman" w:eastAsia="宋体" w:cs="Times New Roman"/>
          <w:color w:val="auto"/>
          <w:kern w:val="0"/>
          <w:szCs w:val="21"/>
          <w:lang w:val="en-US" w:eastAsia="zh-CN" w:bidi="ar"/>
        </w:rPr>
        <w:t>）；CMI的Q4组患</w:t>
      </w:r>
      <w:r>
        <w:rPr>
          <w:rFonts w:hint="eastAsia" w:ascii="Times New Roman" w:hAnsi="Times New Roman" w:eastAsia="宋体" w:cs="Times New Roman"/>
          <w:color w:val="auto"/>
          <w:kern w:val="0"/>
          <w:szCs w:val="21"/>
          <w:lang w:val="en-US" w:eastAsia="zh-CN" w:bidi="ar"/>
        </w:rPr>
        <w:t>GC</w:t>
      </w:r>
      <w:r>
        <w:rPr>
          <w:rFonts w:hint="default" w:ascii="Times New Roman" w:hAnsi="Times New Roman" w:eastAsia="宋体" w:cs="Times New Roman"/>
          <w:color w:val="auto"/>
          <w:kern w:val="0"/>
          <w:szCs w:val="21"/>
          <w:lang w:val="en-US" w:eastAsia="zh-CN" w:bidi="ar"/>
        </w:rPr>
        <w:t>的风险是Q1组的3.262倍（</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3.262</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1.133~9.397）。此外，LAP、VAI、CVAI和CMI每增加一个</w:t>
      </w:r>
      <w:r>
        <w:rPr>
          <w:rFonts w:hint="eastAsia" w:ascii="Times New Roman" w:hAnsi="Times New Roman" w:eastAsia="宋体" w:cs="Times New Roman"/>
          <w:i w:val="0"/>
          <w:iCs w:val="0"/>
          <w:color w:val="auto"/>
          <w:kern w:val="0"/>
          <w:sz w:val="22"/>
          <w:szCs w:val="22"/>
          <w:u w:val="none"/>
          <w:lang w:val="en-US" w:eastAsia="zh-CN" w:bidi="ar"/>
        </w:rPr>
        <w:t>标准差，</w:t>
      </w:r>
      <w:r>
        <w:rPr>
          <w:rFonts w:hint="default" w:ascii="Times New Roman" w:hAnsi="Times New Roman" w:eastAsia="宋体" w:cs="Times New Roman"/>
          <w:i w:val="0"/>
          <w:iCs w:val="0"/>
          <w:color w:val="auto"/>
          <w:kern w:val="0"/>
          <w:sz w:val="22"/>
          <w:szCs w:val="22"/>
          <w:u w:val="none"/>
          <w:lang w:val="en-US" w:eastAsia="zh-CN" w:bidi="ar"/>
        </w:rPr>
        <w:t>癌前疾病的风险分别降低5.1%（</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0.949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0.905~0.994）、5.1%（</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0.949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0.904~0.995）、6.2%（</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0.938</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0.896~0.983）和4.9%（</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i w:val="0"/>
          <w:iCs w:val="0"/>
          <w:color w:val="auto"/>
          <w:kern w:val="0"/>
          <w:sz w:val="22"/>
          <w:szCs w:val="22"/>
          <w:u w:val="none"/>
          <w:lang w:val="en-US" w:eastAsia="zh-CN" w:bidi="ar"/>
        </w:rPr>
        <w:t>0.951</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i w:val="0"/>
          <w:iCs w:val="0"/>
          <w:color w:val="auto"/>
          <w:kern w:val="0"/>
          <w:sz w:val="22"/>
          <w:szCs w:val="22"/>
          <w:u w:val="none"/>
          <w:lang w:val="en-US" w:eastAsia="zh-CN" w:bidi="ar"/>
        </w:rPr>
        <w:t>0.906~0.998）。见表3</w:t>
      </w:r>
      <w:r>
        <w:rPr>
          <w:rFonts w:hint="default" w:ascii="Times New Roman" w:hAnsi="Times New Roman" w:eastAsia="宋体" w:cs="Times New Roman"/>
          <w:color w:val="auto"/>
          <w:kern w:val="0"/>
          <w:szCs w:val="21"/>
          <w:lang w:val="en-US" w:eastAsia="zh-CN" w:bidi="ar"/>
        </w:rPr>
        <w:t>。</w:t>
      </w:r>
    </w:p>
    <w:p w14:paraId="6DD6C1D1">
      <w:pPr>
        <w:numPr>
          <w:ilvl w:val="0"/>
          <w:numId w:val="0"/>
        </w:numPr>
        <w:ind w:leftChars="0"/>
        <w:rPr>
          <w:rFonts w:hint="default" w:ascii="Times New Roman" w:hAnsi="Times New Roman" w:eastAsia="宋体" w:cs="Times New Roman"/>
          <w:color w:val="auto"/>
          <w:kern w:val="0"/>
          <w:szCs w:val="21"/>
          <w:lang w:val="en-US" w:eastAsia="zh-CN" w:bidi="ar"/>
        </w:rPr>
      </w:pPr>
    </w:p>
    <w:p w14:paraId="2E5CAE6C">
      <w:pPr>
        <w:numPr>
          <w:ilvl w:val="0"/>
          <w:numId w:val="0"/>
        </w:numPr>
        <w:ind w:leftChars="0"/>
        <w:rPr>
          <w:rFonts w:hint="default" w:ascii="Times New Roman" w:hAnsi="Times New Roman" w:eastAsia="宋体" w:cs="Times New Roman"/>
          <w:color w:val="auto"/>
          <w:kern w:val="0"/>
          <w:szCs w:val="21"/>
          <w:lang w:val="en-US" w:eastAsia="zh-CN" w:bidi="ar"/>
        </w:rPr>
      </w:pPr>
    </w:p>
    <w:p w14:paraId="13274547">
      <w:pPr>
        <w:numPr>
          <w:ilvl w:val="0"/>
          <w:numId w:val="0"/>
        </w:numPr>
        <w:ind w:leftChars="0"/>
        <w:rPr>
          <w:rFonts w:hint="default" w:ascii="Times New Roman" w:hAnsi="Times New Roman" w:eastAsia="宋体" w:cs="Times New Roman"/>
          <w:color w:val="auto"/>
          <w:kern w:val="0"/>
          <w:szCs w:val="21"/>
          <w:lang w:val="en-US" w:eastAsia="zh-CN" w:bidi="ar"/>
        </w:rPr>
      </w:pPr>
    </w:p>
    <w:tbl>
      <w:tblPr>
        <w:tblStyle w:val="4"/>
        <w:tblpPr w:leftFromText="180" w:rightFromText="180" w:vertAnchor="text" w:horzAnchor="page" w:tblpX="1428" w:tblpY="276"/>
        <w:tblOverlap w:val="never"/>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17"/>
        <w:gridCol w:w="909"/>
        <w:gridCol w:w="2908"/>
        <w:gridCol w:w="281"/>
        <w:gridCol w:w="913"/>
        <w:gridCol w:w="2909"/>
        <w:gridCol w:w="281"/>
        <w:gridCol w:w="913"/>
        <w:gridCol w:w="2943"/>
      </w:tblGrid>
      <w:tr w14:paraId="3A2F7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000" w:type="pct"/>
            <w:gridSpan w:val="9"/>
            <w:tcBorders>
              <w:top w:val="nil"/>
              <w:left w:val="nil"/>
              <w:bottom w:val="single" w:color="000000" w:sz="8" w:space="0"/>
              <w:right w:val="nil"/>
            </w:tcBorders>
            <w:shd w:val="clear" w:color="auto" w:fill="auto"/>
            <w:noWrap/>
            <w:vAlign w:val="center"/>
          </w:tcPr>
          <w:p w14:paraId="76E6764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eastAsia" w:ascii="Times New Roman" w:hAnsi="Times New Roman" w:eastAsia="宋体" w:cs="Times New Roman"/>
                <w:b w:val="0"/>
                <w:bCs w:val="0"/>
                <w:i w:val="0"/>
                <w:iCs w:val="0"/>
                <w:color w:val="auto"/>
                <w:kern w:val="0"/>
                <w:sz w:val="21"/>
                <w:szCs w:val="21"/>
                <w:u w:val="none"/>
                <w:lang w:val="en-US" w:eastAsia="zh-CN" w:bidi="ar"/>
              </w:rPr>
              <w:t>Table 3 M</w:t>
            </w:r>
            <w:r>
              <w:rPr>
                <w:rFonts w:hint="default" w:ascii="Times New Roman" w:hAnsi="Times New Roman" w:eastAsia="宋体" w:cs="Times New Roman"/>
                <w:b w:val="0"/>
                <w:bCs w:val="0"/>
                <w:i w:val="0"/>
                <w:iCs w:val="0"/>
                <w:color w:val="auto"/>
                <w:kern w:val="0"/>
                <w:sz w:val="21"/>
                <w:szCs w:val="21"/>
                <w:u w:val="none"/>
                <w:lang w:val="en-US" w:eastAsia="zh-CN" w:bidi="ar"/>
              </w:rPr>
              <w:t>ultinomial logistic regression analysis of novel obesity-related indices with gastric cancer and precancerous lesions/diseases</w:t>
            </w:r>
          </w:p>
        </w:tc>
      </w:tr>
      <w:tr w14:paraId="4C260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747" w:type="pct"/>
            <w:vMerge w:val="restart"/>
            <w:tcBorders>
              <w:top w:val="nil"/>
              <w:left w:val="nil"/>
              <w:bottom w:val="single" w:color="000000" w:sz="8" w:space="0"/>
              <w:right w:val="nil"/>
            </w:tcBorders>
            <w:shd w:val="clear" w:color="auto" w:fill="auto"/>
            <w:noWrap/>
            <w:vAlign w:val="center"/>
          </w:tcPr>
          <w:p w14:paraId="44A6E45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eastAsia" w:ascii="Times New Roman" w:hAnsi="Times New Roman" w:eastAsia="宋体" w:cs="Times New Roman"/>
                <w:b w:val="0"/>
                <w:bCs w:val="0"/>
                <w:i w:val="0"/>
                <w:iCs w:val="0"/>
                <w:color w:val="auto"/>
                <w:sz w:val="21"/>
                <w:szCs w:val="21"/>
                <w:u w:val="none"/>
                <w:lang w:val="en-US" w:eastAsia="zh-CN"/>
              </w:rPr>
              <w:t>Variable</w:t>
            </w:r>
          </w:p>
        </w:tc>
        <w:tc>
          <w:tcPr>
            <w:tcW w:w="1347" w:type="pct"/>
            <w:gridSpan w:val="2"/>
            <w:tcBorders>
              <w:top w:val="single" w:color="000000" w:sz="8" w:space="0"/>
              <w:left w:val="nil"/>
              <w:bottom w:val="nil"/>
              <w:right w:val="nil"/>
            </w:tcBorders>
            <w:shd w:val="clear" w:color="auto" w:fill="auto"/>
            <w:noWrap/>
            <w:vAlign w:val="center"/>
          </w:tcPr>
          <w:p w14:paraId="04EEC79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diseases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p>
        </w:tc>
        <w:tc>
          <w:tcPr>
            <w:tcW w:w="99" w:type="pct"/>
            <w:vMerge w:val="restart"/>
            <w:tcBorders>
              <w:top w:val="single" w:color="000000" w:sz="8" w:space="0"/>
              <w:left w:val="nil"/>
              <w:bottom w:val="single" w:color="000000" w:sz="8" w:space="0"/>
              <w:right w:val="nil"/>
            </w:tcBorders>
            <w:shd w:val="clear" w:color="auto" w:fill="auto"/>
            <w:noWrap/>
            <w:vAlign w:val="center"/>
          </w:tcPr>
          <w:p w14:paraId="691CEF5E">
            <w:pPr>
              <w:jc w:val="left"/>
              <w:rPr>
                <w:rFonts w:hint="default" w:ascii="Times New Roman" w:hAnsi="Times New Roman" w:eastAsia="宋体" w:cs="Times New Roman"/>
                <w:b w:val="0"/>
                <w:bCs w:val="0"/>
                <w:i w:val="0"/>
                <w:iCs w:val="0"/>
                <w:color w:val="auto"/>
                <w:sz w:val="22"/>
                <w:szCs w:val="22"/>
                <w:u w:val="none"/>
              </w:rPr>
            </w:pPr>
          </w:p>
        </w:tc>
        <w:tc>
          <w:tcPr>
            <w:tcW w:w="1348" w:type="pct"/>
            <w:gridSpan w:val="2"/>
            <w:tcBorders>
              <w:top w:val="single" w:color="000000" w:sz="8" w:space="0"/>
              <w:left w:val="nil"/>
              <w:bottom w:val="nil"/>
              <w:right w:val="nil"/>
            </w:tcBorders>
            <w:shd w:val="clear" w:color="auto" w:fill="auto"/>
            <w:noWrap/>
            <w:vAlign w:val="center"/>
          </w:tcPr>
          <w:p w14:paraId="2745C57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lesions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p>
        </w:tc>
        <w:tc>
          <w:tcPr>
            <w:tcW w:w="99" w:type="pct"/>
            <w:vMerge w:val="restart"/>
            <w:tcBorders>
              <w:top w:val="single" w:color="000000" w:sz="8" w:space="0"/>
              <w:left w:val="nil"/>
              <w:bottom w:val="single" w:color="000000" w:sz="8" w:space="0"/>
              <w:right w:val="nil"/>
            </w:tcBorders>
            <w:shd w:val="clear" w:color="auto" w:fill="auto"/>
            <w:noWrap/>
            <w:vAlign w:val="center"/>
          </w:tcPr>
          <w:p w14:paraId="55D31738">
            <w:pPr>
              <w:jc w:val="left"/>
              <w:rPr>
                <w:rFonts w:hint="default" w:ascii="Times New Roman" w:hAnsi="Times New Roman" w:eastAsia="宋体" w:cs="Times New Roman"/>
                <w:b w:val="0"/>
                <w:bCs w:val="0"/>
                <w:i w:val="0"/>
                <w:iCs w:val="0"/>
                <w:color w:val="auto"/>
                <w:sz w:val="22"/>
                <w:szCs w:val="22"/>
                <w:u w:val="none"/>
              </w:rPr>
            </w:pPr>
          </w:p>
        </w:tc>
        <w:tc>
          <w:tcPr>
            <w:tcW w:w="1358" w:type="pct"/>
            <w:gridSpan w:val="2"/>
            <w:tcBorders>
              <w:top w:val="single" w:color="000000" w:sz="8" w:space="0"/>
              <w:left w:val="nil"/>
              <w:bottom w:val="nil"/>
              <w:right w:val="nil"/>
            </w:tcBorders>
            <w:shd w:val="clear" w:color="auto" w:fill="auto"/>
            <w:noWrap/>
            <w:vAlign w:val="center"/>
          </w:tcPr>
          <w:p w14:paraId="412B85D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lang w:val="en-US" w:eastAsia="zh-CN"/>
              </w:rPr>
            </w:pPr>
            <w:r>
              <w:rPr>
                <w:rFonts w:hint="eastAsia" w:ascii="Times New Roman" w:hAnsi="Times New Roman" w:eastAsia="宋体" w:cs="Times New Roman"/>
                <w:b w:val="0"/>
                <w:bCs w:val="0"/>
                <w:i w:val="0"/>
                <w:iCs w:val="0"/>
                <w:color w:val="auto"/>
                <w:sz w:val="22"/>
                <w:szCs w:val="22"/>
                <w:u w:val="none"/>
                <w:lang w:val="en-US" w:eastAsia="zh-CN"/>
              </w:rPr>
              <w:t>GC</w:t>
            </w:r>
          </w:p>
        </w:tc>
      </w:tr>
      <w:tr w14:paraId="4C551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1" w:hRule="atLeast"/>
        </w:trPr>
        <w:tc>
          <w:tcPr>
            <w:tcW w:w="747" w:type="pct"/>
            <w:vMerge w:val="continue"/>
            <w:tcBorders>
              <w:top w:val="nil"/>
              <w:left w:val="nil"/>
              <w:bottom w:val="single" w:color="000000" w:sz="8" w:space="0"/>
              <w:right w:val="nil"/>
            </w:tcBorders>
            <w:shd w:val="clear" w:color="auto" w:fill="auto"/>
            <w:noWrap/>
            <w:vAlign w:val="center"/>
          </w:tcPr>
          <w:p w14:paraId="7232FFEA">
            <w:pPr>
              <w:jc w:val="left"/>
              <w:rPr>
                <w:rFonts w:hint="default" w:ascii="Times New Roman" w:hAnsi="Times New Roman" w:eastAsia="宋体" w:cs="Times New Roman"/>
                <w:b w:val="0"/>
                <w:bCs w:val="0"/>
                <w:i w:val="0"/>
                <w:iCs w:val="0"/>
                <w:color w:val="auto"/>
                <w:sz w:val="18"/>
                <w:szCs w:val="18"/>
                <w:u w:val="none"/>
              </w:rPr>
            </w:pPr>
          </w:p>
        </w:tc>
        <w:tc>
          <w:tcPr>
            <w:tcW w:w="1347" w:type="pct"/>
            <w:gridSpan w:val="2"/>
            <w:tcBorders>
              <w:top w:val="nil"/>
              <w:left w:val="nil"/>
              <w:bottom w:val="single" w:color="000000" w:sz="8" w:space="0"/>
              <w:right w:val="nil"/>
            </w:tcBorders>
            <w:shd w:val="clear" w:color="auto" w:fill="auto"/>
            <w:noWrap/>
            <w:vAlign w:val="center"/>
          </w:tcPr>
          <w:p w14:paraId="5DB39AA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(n=3382)</w:t>
            </w:r>
          </w:p>
        </w:tc>
        <w:tc>
          <w:tcPr>
            <w:tcW w:w="99" w:type="pct"/>
            <w:vMerge w:val="continue"/>
            <w:tcBorders>
              <w:top w:val="single" w:color="000000" w:sz="8" w:space="0"/>
              <w:left w:val="nil"/>
              <w:bottom w:val="single" w:color="000000" w:sz="8" w:space="0"/>
              <w:right w:val="nil"/>
            </w:tcBorders>
            <w:shd w:val="clear" w:color="auto" w:fill="auto"/>
            <w:noWrap/>
            <w:vAlign w:val="center"/>
          </w:tcPr>
          <w:p w14:paraId="734D7C4F">
            <w:pPr>
              <w:jc w:val="left"/>
              <w:rPr>
                <w:rFonts w:hint="default" w:ascii="Times New Roman" w:hAnsi="Times New Roman" w:eastAsia="宋体" w:cs="Times New Roman"/>
                <w:b w:val="0"/>
                <w:bCs w:val="0"/>
                <w:i w:val="0"/>
                <w:iCs w:val="0"/>
                <w:color w:val="auto"/>
                <w:sz w:val="22"/>
                <w:szCs w:val="22"/>
                <w:u w:val="none"/>
              </w:rPr>
            </w:pPr>
          </w:p>
        </w:tc>
        <w:tc>
          <w:tcPr>
            <w:tcW w:w="1348" w:type="pct"/>
            <w:gridSpan w:val="2"/>
            <w:tcBorders>
              <w:top w:val="nil"/>
              <w:left w:val="nil"/>
              <w:bottom w:val="single" w:color="000000" w:sz="8" w:space="0"/>
              <w:right w:val="nil"/>
            </w:tcBorders>
            <w:shd w:val="clear" w:color="auto" w:fill="auto"/>
            <w:noWrap/>
            <w:vAlign w:val="center"/>
          </w:tcPr>
          <w:p w14:paraId="2464280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(n=180)</w:t>
            </w:r>
          </w:p>
        </w:tc>
        <w:tc>
          <w:tcPr>
            <w:tcW w:w="99" w:type="pct"/>
            <w:vMerge w:val="continue"/>
            <w:tcBorders>
              <w:top w:val="single" w:color="000000" w:sz="8" w:space="0"/>
              <w:left w:val="nil"/>
              <w:bottom w:val="single" w:color="000000" w:sz="8" w:space="0"/>
              <w:right w:val="nil"/>
            </w:tcBorders>
            <w:shd w:val="clear" w:color="auto" w:fill="auto"/>
            <w:noWrap/>
            <w:vAlign w:val="center"/>
          </w:tcPr>
          <w:p w14:paraId="7308671B">
            <w:pPr>
              <w:jc w:val="left"/>
              <w:rPr>
                <w:rFonts w:hint="default" w:ascii="Times New Roman" w:hAnsi="Times New Roman" w:eastAsia="宋体" w:cs="Times New Roman"/>
                <w:b w:val="0"/>
                <w:bCs w:val="0"/>
                <w:i w:val="0"/>
                <w:iCs w:val="0"/>
                <w:color w:val="auto"/>
                <w:sz w:val="22"/>
                <w:szCs w:val="22"/>
                <w:u w:val="none"/>
              </w:rPr>
            </w:pPr>
          </w:p>
        </w:tc>
        <w:tc>
          <w:tcPr>
            <w:tcW w:w="1358" w:type="pct"/>
            <w:gridSpan w:val="2"/>
            <w:tcBorders>
              <w:top w:val="nil"/>
              <w:left w:val="nil"/>
              <w:bottom w:val="single" w:color="000000" w:sz="8" w:space="0"/>
              <w:right w:val="nil"/>
            </w:tcBorders>
            <w:shd w:val="clear" w:color="auto" w:fill="auto"/>
            <w:noWrap/>
            <w:vAlign w:val="center"/>
          </w:tcPr>
          <w:p w14:paraId="587202D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(n=44)</w:t>
            </w:r>
          </w:p>
        </w:tc>
      </w:tr>
      <w:tr w14:paraId="3E59B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vMerge w:val="continue"/>
            <w:tcBorders>
              <w:top w:val="nil"/>
              <w:left w:val="nil"/>
              <w:bottom w:val="single" w:color="000000" w:sz="8" w:space="0"/>
              <w:right w:val="nil"/>
            </w:tcBorders>
            <w:shd w:val="clear" w:color="auto" w:fill="auto"/>
            <w:noWrap/>
            <w:vAlign w:val="center"/>
          </w:tcPr>
          <w:p w14:paraId="2B8E6F43">
            <w:pPr>
              <w:jc w:val="left"/>
              <w:rPr>
                <w:rFonts w:hint="default" w:ascii="Times New Roman" w:hAnsi="Times New Roman" w:eastAsia="宋体" w:cs="Times New Roman"/>
                <w:b w:val="0"/>
                <w:bCs w:val="0"/>
                <w:i w:val="0"/>
                <w:iCs w:val="0"/>
                <w:color w:val="auto"/>
                <w:sz w:val="18"/>
                <w:szCs w:val="18"/>
                <w:u w:val="none"/>
              </w:rPr>
            </w:pPr>
          </w:p>
        </w:tc>
        <w:tc>
          <w:tcPr>
            <w:tcW w:w="321" w:type="pct"/>
            <w:tcBorders>
              <w:top w:val="nil"/>
              <w:left w:val="nil"/>
              <w:bottom w:val="single" w:color="000000" w:sz="8" w:space="0"/>
              <w:right w:val="nil"/>
            </w:tcBorders>
            <w:shd w:val="clear" w:color="auto" w:fill="auto"/>
            <w:noWrap/>
            <w:vAlign w:val="center"/>
          </w:tcPr>
          <w:p w14:paraId="14E17DF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026" w:type="pct"/>
            <w:tcBorders>
              <w:top w:val="nil"/>
              <w:left w:val="nil"/>
              <w:bottom w:val="single" w:color="000000" w:sz="8" w:space="0"/>
              <w:right w:val="nil"/>
            </w:tcBorders>
            <w:shd w:val="clear" w:color="auto" w:fill="auto"/>
            <w:noWrap/>
            <w:vAlign w:val="center"/>
          </w:tcPr>
          <w:p w14:paraId="5C254CB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99" w:type="pct"/>
            <w:tcBorders>
              <w:top w:val="nil"/>
              <w:left w:val="nil"/>
              <w:bottom w:val="single" w:color="000000" w:sz="8" w:space="0"/>
              <w:right w:val="nil"/>
            </w:tcBorders>
            <w:shd w:val="clear" w:color="auto" w:fill="auto"/>
            <w:noWrap/>
            <w:vAlign w:val="center"/>
          </w:tcPr>
          <w:p w14:paraId="13BC3E46">
            <w:pPr>
              <w:jc w:val="left"/>
              <w:rPr>
                <w:rFonts w:hint="default" w:ascii="Times New Roman" w:hAnsi="Times New Roman" w:eastAsia="宋体" w:cs="Times New Roman"/>
                <w:b w:val="0"/>
                <w:bCs w:val="0"/>
                <w:i w:val="0"/>
                <w:iCs w:val="0"/>
                <w:color w:val="auto"/>
                <w:sz w:val="18"/>
                <w:szCs w:val="18"/>
                <w:u w:val="none"/>
              </w:rPr>
            </w:pPr>
          </w:p>
        </w:tc>
        <w:tc>
          <w:tcPr>
            <w:tcW w:w="322" w:type="pct"/>
            <w:tcBorders>
              <w:top w:val="nil"/>
              <w:left w:val="nil"/>
              <w:bottom w:val="single" w:color="000000" w:sz="8" w:space="0"/>
              <w:right w:val="nil"/>
            </w:tcBorders>
            <w:shd w:val="clear" w:color="auto" w:fill="auto"/>
            <w:noWrap/>
            <w:vAlign w:val="center"/>
          </w:tcPr>
          <w:p w14:paraId="7FF458A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026" w:type="pct"/>
            <w:tcBorders>
              <w:top w:val="nil"/>
              <w:left w:val="nil"/>
              <w:bottom w:val="single" w:color="000000" w:sz="8" w:space="0"/>
              <w:right w:val="nil"/>
            </w:tcBorders>
            <w:shd w:val="clear" w:color="auto" w:fill="auto"/>
            <w:noWrap/>
            <w:vAlign w:val="center"/>
          </w:tcPr>
          <w:p w14:paraId="497FFC5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99" w:type="pct"/>
            <w:tcBorders>
              <w:top w:val="single" w:color="000000" w:sz="8" w:space="0"/>
              <w:left w:val="nil"/>
              <w:bottom w:val="single" w:color="000000" w:sz="8" w:space="0"/>
              <w:right w:val="nil"/>
            </w:tcBorders>
            <w:shd w:val="clear" w:color="auto" w:fill="auto"/>
            <w:noWrap/>
            <w:vAlign w:val="center"/>
          </w:tcPr>
          <w:p w14:paraId="0529AAD7">
            <w:pPr>
              <w:jc w:val="left"/>
              <w:rPr>
                <w:rFonts w:hint="default" w:ascii="Times New Roman" w:hAnsi="Times New Roman" w:eastAsia="宋体" w:cs="Times New Roman"/>
                <w:b w:val="0"/>
                <w:bCs w:val="0"/>
                <w:i w:val="0"/>
                <w:iCs w:val="0"/>
                <w:color w:val="auto"/>
                <w:sz w:val="18"/>
                <w:szCs w:val="18"/>
                <w:u w:val="none"/>
              </w:rPr>
            </w:pPr>
          </w:p>
        </w:tc>
        <w:tc>
          <w:tcPr>
            <w:tcW w:w="322" w:type="pct"/>
            <w:tcBorders>
              <w:top w:val="single" w:color="000000" w:sz="8" w:space="0"/>
              <w:left w:val="nil"/>
              <w:bottom w:val="single" w:color="000000" w:sz="8" w:space="0"/>
              <w:right w:val="nil"/>
            </w:tcBorders>
            <w:shd w:val="clear" w:color="auto" w:fill="auto"/>
            <w:noWrap/>
            <w:vAlign w:val="center"/>
          </w:tcPr>
          <w:p w14:paraId="7155733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036" w:type="pct"/>
            <w:tcBorders>
              <w:top w:val="single" w:color="000000" w:sz="8" w:space="0"/>
              <w:left w:val="nil"/>
              <w:bottom w:val="single" w:color="000000" w:sz="8" w:space="0"/>
              <w:right w:val="nil"/>
            </w:tcBorders>
            <w:shd w:val="clear" w:color="auto" w:fill="auto"/>
            <w:noWrap/>
            <w:vAlign w:val="center"/>
          </w:tcPr>
          <w:p w14:paraId="7CCDE0B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r>
      <w:tr w14:paraId="769F3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43C4C3B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LAP</w:t>
            </w:r>
          </w:p>
        </w:tc>
        <w:tc>
          <w:tcPr>
            <w:tcW w:w="321" w:type="pct"/>
            <w:tcBorders>
              <w:top w:val="nil"/>
              <w:left w:val="nil"/>
              <w:bottom w:val="nil"/>
              <w:right w:val="nil"/>
            </w:tcBorders>
            <w:shd w:val="clear" w:color="auto" w:fill="auto"/>
            <w:noWrap/>
            <w:vAlign w:val="center"/>
          </w:tcPr>
          <w:p w14:paraId="15DB4B2C">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298EAE7A">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289F60E6">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150E8C2D">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3E376755">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177F6698">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8F8F4FC">
            <w:pPr>
              <w:jc w:val="left"/>
              <w:rPr>
                <w:rFonts w:hint="default" w:ascii="Times New Roman" w:hAnsi="Times New Roman" w:eastAsia="宋体" w:cs="Times New Roman"/>
                <w:b w:val="0"/>
                <w:bCs w:val="0"/>
                <w:i w:val="0"/>
                <w:iCs w:val="0"/>
                <w:color w:val="auto"/>
                <w:sz w:val="22"/>
                <w:szCs w:val="22"/>
                <w:u w:val="none"/>
              </w:rPr>
            </w:pPr>
          </w:p>
        </w:tc>
        <w:tc>
          <w:tcPr>
            <w:tcW w:w="1036" w:type="pct"/>
            <w:tcBorders>
              <w:top w:val="nil"/>
              <w:left w:val="nil"/>
              <w:bottom w:val="nil"/>
              <w:right w:val="nil"/>
            </w:tcBorders>
            <w:shd w:val="clear" w:color="auto" w:fill="auto"/>
            <w:noWrap/>
            <w:vAlign w:val="center"/>
          </w:tcPr>
          <w:p w14:paraId="564B7096">
            <w:pPr>
              <w:jc w:val="left"/>
              <w:rPr>
                <w:rFonts w:hint="default" w:ascii="Times New Roman" w:hAnsi="Times New Roman" w:eastAsia="宋体" w:cs="Times New Roman"/>
                <w:b w:val="0"/>
                <w:bCs w:val="0"/>
                <w:i w:val="0"/>
                <w:iCs w:val="0"/>
                <w:color w:val="auto"/>
                <w:sz w:val="22"/>
                <w:szCs w:val="22"/>
                <w:u w:val="none"/>
              </w:rPr>
            </w:pPr>
          </w:p>
        </w:tc>
      </w:tr>
      <w:tr w14:paraId="63F89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7F08491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Q1 (&lt;20.50)</w:t>
            </w:r>
          </w:p>
        </w:tc>
        <w:tc>
          <w:tcPr>
            <w:tcW w:w="321" w:type="pct"/>
            <w:tcBorders>
              <w:top w:val="nil"/>
              <w:left w:val="nil"/>
              <w:bottom w:val="nil"/>
              <w:right w:val="nil"/>
            </w:tcBorders>
            <w:shd w:val="clear" w:color="auto" w:fill="auto"/>
            <w:noWrap/>
            <w:vAlign w:val="center"/>
          </w:tcPr>
          <w:p w14:paraId="2602B64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787046C7">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02FEC400">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EE27D73">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7164DA5D">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465A1CFD">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B1A66C2">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36" w:type="pct"/>
            <w:tcBorders>
              <w:top w:val="nil"/>
              <w:left w:val="nil"/>
              <w:bottom w:val="nil"/>
              <w:right w:val="nil"/>
            </w:tcBorders>
            <w:shd w:val="clear" w:color="auto" w:fill="auto"/>
            <w:noWrap/>
            <w:vAlign w:val="center"/>
          </w:tcPr>
          <w:p w14:paraId="1ED0A27A">
            <w:pPr>
              <w:jc w:val="left"/>
              <w:rPr>
                <w:rFonts w:hint="default" w:ascii="Times New Roman" w:hAnsi="Times New Roman" w:eastAsia="宋体" w:cs="Times New Roman"/>
                <w:b w:val="0"/>
                <w:bCs w:val="0"/>
                <w:i w:val="0"/>
                <w:iCs w:val="0"/>
                <w:color w:val="auto"/>
                <w:sz w:val="22"/>
                <w:szCs w:val="22"/>
                <w:u w:val="none"/>
              </w:rPr>
            </w:pPr>
          </w:p>
        </w:tc>
      </w:tr>
      <w:tr w14:paraId="48709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05453B5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Q2 (20.50~)</w:t>
            </w:r>
          </w:p>
        </w:tc>
        <w:tc>
          <w:tcPr>
            <w:tcW w:w="321" w:type="pct"/>
            <w:tcBorders>
              <w:top w:val="nil"/>
              <w:left w:val="nil"/>
              <w:bottom w:val="nil"/>
              <w:right w:val="nil"/>
            </w:tcBorders>
            <w:shd w:val="clear" w:color="auto" w:fill="auto"/>
            <w:noWrap/>
            <w:vAlign w:val="center"/>
          </w:tcPr>
          <w:p w14:paraId="059FB5E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0.146</w:t>
            </w:r>
          </w:p>
        </w:tc>
        <w:tc>
          <w:tcPr>
            <w:tcW w:w="1026" w:type="pct"/>
            <w:tcBorders>
              <w:top w:val="nil"/>
              <w:left w:val="nil"/>
              <w:bottom w:val="nil"/>
              <w:right w:val="nil"/>
            </w:tcBorders>
            <w:shd w:val="clear" w:color="auto" w:fill="auto"/>
            <w:noWrap/>
            <w:vAlign w:val="center"/>
          </w:tcPr>
          <w:p w14:paraId="1C586B7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0.912 (0.805~1.033)</w:t>
            </w:r>
          </w:p>
        </w:tc>
        <w:tc>
          <w:tcPr>
            <w:tcW w:w="99" w:type="pct"/>
            <w:tcBorders>
              <w:top w:val="nil"/>
              <w:left w:val="nil"/>
              <w:bottom w:val="nil"/>
              <w:right w:val="nil"/>
            </w:tcBorders>
            <w:shd w:val="clear" w:color="auto" w:fill="auto"/>
            <w:noWrap/>
            <w:vAlign w:val="center"/>
          </w:tcPr>
          <w:p w14:paraId="022067F6">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612EBEA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0.750</w:t>
            </w:r>
          </w:p>
        </w:tc>
        <w:tc>
          <w:tcPr>
            <w:tcW w:w="1026" w:type="pct"/>
            <w:tcBorders>
              <w:top w:val="nil"/>
              <w:left w:val="nil"/>
              <w:bottom w:val="nil"/>
              <w:right w:val="nil"/>
            </w:tcBorders>
            <w:shd w:val="clear" w:color="auto" w:fill="auto"/>
            <w:noWrap/>
            <w:vAlign w:val="center"/>
          </w:tcPr>
          <w:p w14:paraId="678BE18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0.932 (0.607~1.433)</w:t>
            </w:r>
          </w:p>
        </w:tc>
        <w:tc>
          <w:tcPr>
            <w:tcW w:w="99" w:type="pct"/>
            <w:tcBorders>
              <w:top w:val="nil"/>
              <w:left w:val="nil"/>
              <w:bottom w:val="nil"/>
              <w:right w:val="nil"/>
            </w:tcBorders>
            <w:shd w:val="clear" w:color="auto" w:fill="auto"/>
            <w:noWrap/>
            <w:vAlign w:val="center"/>
          </w:tcPr>
          <w:p w14:paraId="7C46C93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4C8485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0.517</w:t>
            </w:r>
          </w:p>
        </w:tc>
        <w:tc>
          <w:tcPr>
            <w:tcW w:w="1036" w:type="pct"/>
            <w:tcBorders>
              <w:top w:val="nil"/>
              <w:left w:val="nil"/>
              <w:bottom w:val="nil"/>
              <w:right w:val="nil"/>
            </w:tcBorders>
            <w:shd w:val="clear" w:color="auto" w:fill="auto"/>
            <w:noWrap/>
            <w:vAlign w:val="center"/>
          </w:tcPr>
          <w:p w14:paraId="393FAA1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1.342 (0.551~3.268)</w:t>
            </w:r>
          </w:p>
        </w:tc>
      </w:tr>
      <w:tr w14:paraId="7E8CB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1A165F1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Q3 (36.11~)</w:t>
            </w:r>
          </w:p>
        </w:tc>
        <w:tc>
          <w:tcPr>
            <w:tcW w:w="321" w:type="pct"/>
            <w:tcBorders>
              <w:top w:val="nil"/>
              <w:left w:val="nil"/>
              <w:bottom w:val="nil"/>
              <w:right w:val="nil"/>
            </w:tcBorders>
            <w:shd w:val="clear" w:color="auto" w:fill="auto"/>
            <w:noWrap/>
            <w:vAlign w:val="center"/>
          </w:tcPr>
          <w:p w14:paraId="75E7211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0.778</w:t>
            </w:r>
          </w:p>
        </w:tc>
        <w:tc>
          <w:tcPr>
            <w:tcW w:w="1026" w:type="pct"/>
            <w:tcBorders>
              <w:top w:val="nil"/>
              <w:left w:val="nil"/>
              <w:bottom w:val="nil"/>
              <w:right w:val="nil"/>
            </w:tcBorders>
            <w:shd w:val="clear" w:color="auto" w:fill="auto"/>
            <w:noWrap/>
            <w:vAlign w:val="center"/>
          </w:tcPr>
          <w:p w14:paraId="27C18A9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0.982 (0.867~1.113)</w:t>
            </w:r>
          </w:p>
        </w:tc>
        <w:tc>
          <w:tcPr>
            <w:tcW w:w="99" w:type="pct"/>
            <w:tcBorders>
              <w:top w:val="nil"/>
              <w:left w:val="nil"/>
              <w:bottom w:val="nil"/>
              <w:right w:val="nil"/>
            </w:tcBorders>
            <w:shd w:val="clear" w:color="auto" w:fill="auto"/>
            <w:noWrap/>
            <w:vAlign w:val="center"/>
          </w:tcPr>
          <w:p w14:paraId="70227E60">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F9EA33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0.775</w:t>
            </w:r>
          </w:p>
        </w:tc>
        <w:tc>
          <w:tcPr>
            <w:tcW w:w="1026" w:type="pct"/>
            <w:tcBorders>
              <w:top w:val="nil"/>
              <w:left w:val="nil"/>
              <w:bottom w:val="nil"/>
              <w:right w:val="nil"/>
            </w:tcBorders>
            <w:shd w:val="clear" w:color="auto" w:fill="auto"/>
            <w:noWrap/>
            <w:vAlign w:val="center"/>
          </w:tcPr>
          <w:p w14:paraId="2B0E73B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0.938 (0.606~1.453)</w:t>
            </w:r>
          </w:p>
        </w:tc>
        <w:tc>
          <w:tcPr>
            <w:tcW w:w="99" w:type="pct"/>
            <w:tcBorders>
              <w:top w:val="nil"/>
              <w:left w:val="nil"/>
              <w:bottom w:val="nil"/>
              <w:right w:val="nil"/>
            </w:tcBorders>
            <w:shd w:val="clear" w:color="auto" w:fill="auto"/>
            <w:noWrap/>
            <w:vAlign w:val="center"/>
          </w:tcPr>
          <w:p w14:paraId="286A62D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C1373C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0.507</w:t>
            </w:r>
          </w:p>
        </w:tc>
        <w:tc>
          <w:tcPr>
            <w:tcW w:w="1036" w:type="pct"/>
            <w:tcBorders>
              <w:top w:val="nil"/>
              <w:left w:val="nil"/>
              <w:bottom w:val="nil"/>
              <w:right w:val="nil"/>
            </w:tcBorders>
            <w:shd w:val="clear" w:color="auto" w:fill="auto"/>
            <w:noWrap/>
            <w:vAlign w:val="center"/>
          </w:tcPr>
          <w:p w14:paraId="0C0D2E6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1.358 (0.549~3.360)</w:t>
            </w:r>
          </w:p>
        </w:tc>
      </w:tr>
      <w:tr w14:paraId="33361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7700F34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Q4 (≥60.06)</w:t>
            </w:r>
          </w:p>
        </w:tc>
        <w:tc>
          <w:tcPr>
            <w:tcW w:w="321" w:type="pct"/>
            <w:tcBorders>
              <w:top w:val="nil"/>
              <w:left w:val="nil"/>
              <w:bottom w:val="nil"/>
              <w:right w:val="nil"/>
            </w:tcBorders>
            <w:shd w:val="clear" w:color="auto" w:fill="auto"/>
            <w:noWrap/>
            <w:vAlign w:val="center"/>
          </w:tcPr>
          <w:p w14:paraId="7081104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0.024</w:t>
            </w:r>
          </w:p>
        </w:tc>
        <w:tc>
          <w:tcPr>
            <w:tcW w:w="1026" w:type="pct"/>
            <w:tcBorders>
              <w:top w:val="nil"/>
              <w:left w:val="nil"/>
              <w:bottom w:val="nil"/>
              <w:right w:val="nil"/>
            </w:tcBorders>
            <w:shd w:val="clear" w:color="auto" w:fill="auto"/>
            <w:noWrap/>
            <w:vAlign w:val="center"/>
          </w:tcPr>
          <w:p w14:paraId="6557700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0.864 (0.761~0.981)</w:t>
            </w:r>
          </w:p>
        </w:tc>
        <w:tc>
          <w:tcPr>
            <w:tcW w:w="99" w:type="pct"/>
            <w:tcBorders>
              <w:top w:val="nil"/>
              <w:left w:val="nil"/>
              <w:bottom w:val="nil"/>
              <w:right w:val="nil"/>
            </w:tcBorders>
            <w:shd w:val="clear" w:color="auto" w:fill="auto"/>
            <w:noWrap/>
            <w:vAlign w:val="center"/>
          </w:tcPr>
          <w:p w14:paraId="5487F461">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531444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0.774</w:t>
            </w:r>
          </w:p>
        </w:tc>
        <w:tc>
          <w:tcPr>
            <w:tcW w:w="1026" w:type="pct"/>
            <w:tcBorders>
              <w:top w:val="nil"/>
              <w:left w:val="nil"/>
              <w:bottom w:val="nil"/>
              <w:right w:val="nil"/>
            </w:tcBorders>
            <w:shd w:val="clear" w:color="auto" w:fill="auto"/>
            <w:noWrap/>
            <w:vAlign w:val="center"/>
          </w:tcPr>
          <w:p w14:paraId="4A8BCDD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1.065 (0.693~1.638)</w:t>
            </w:r>
          </w:p>
        </w:tc>
        <w:tc>
          <w:tcPr>
            <w:tcW w:w="99" w:type="pct"/>
            <w:tcBorders>
              <w:top w:val="nil"/>
              <w:left w:val="nil"/>
              <w:bottom w:val="nil"/>
              <w:right w:val="nil"/>
            </w:tcBorders>
            <w:shd w:val="clear" w:color="auto" w:fill="auto"/>
            <w:noWrap/>
            <w:vAlign w:val="center"/>
          </w:tcPr>
          <w:p w14:paraId="781F9B8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782673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0.602</w:t>
            </w:r>
          </w:p>
        </w:tc>
        <w:tc>
          <w:tcPr>
            <w:tcW w:w="1036" w:type="pct"/>
            <w:tcBorders>
              <w:top w:val="nil"/>
              <w:left w:val="nil"/>
              <w:bottom w:val="nil"/>
              <w:right w:val="nil"/>
            </w:tcBorders>
            <w:shd w:val="clear" w:color="auto" w:fill="auto"/>
            <w:noWrap/>
            <w:vAlign w:val="center"/>
          </w:tcPr>
          <w:p w14:paraId="4F3B131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1.281 (0.505~3.246)</w:t>
            </w:r>
          </w:p>
        </w:tc>
      </w:tr>
      <w:tr w14:paraId="42C38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7A1EF1A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LAP z-score</w:t>
            </w:r>
          </w:p>
        </w:tc>
        <w:tc>
          <w:tcPr>
            <w:tcW w:w="321" w:type="pct"/>
            <w:tcBorders>
              <w:top w:val="nil"/>
              <w:left w:val="nil"/>
              <w:bottom w:val="nil"/>
              <w:right w:val="nil"/>
            </w:tcBorders>
            <w:shd w:val="clear" w:color="auto" w:fill="auto"/>
            <w:noWrap/>
            <w:vAlign w:val="center"/>
          </w:tcPr>
          <w:p w14:paraId="04C3A42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0.028</w:t>
            </w:r>
          </w:p>
        </w:tc>
        <w:tc>
          <w:tcPr>
            <w:tcW w:w="1026" w:type="pct"/>
            <w:tcBorders>
              <w:top w:val="nil"/>
              <w:left w:val="nil"/>
              <w:bottom w:val="nil"/>
              <w:right w:val="nil"/>
            </w:tcBorders>
            <w:shd w:val="clear" w:color="auto" w:fill="auto"/>
            <w:noWrap/>
            <w:vAlign w:val="center"/>
          </w:tcPr>
          <w:p w14:paraId="1BB2DFB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0.949 (0.905~0.994)</w:t>
            </w:r>
          </w:p>
        </w:tc>
        <w:tc>
          <w:tcPr>
            <w:tcW w:w="99" w:type="pct"/>
            <w:tcBorders>
              <w:top w:val="nil"/>
              <w:left w:val="nil"/>
              <w:bottom w:val="nil"/>
              <w:right w:val="nil"/>
            </w:tcBorders>
            <w:shd w:val="clear" w:color="auto" w:fill="auto"/>
            <w:noWrap/>
            <w:vAlign w:val="center"/>
          </w:tcPr>
          <w:p w14:paraId="75F2428E">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65D2EC7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0.679</w:t>
            </w:r>
          </w:p>
        </w:tc>
        <w:tc>
          <w:tcPr>
            <w:tcW w:w="1026" w:type="pct"/>
            <w:tcBorders>
              <w:top w:val="nil"/>
              <w:left w:val="nil"/>
              <w:bottom w:val="nil"/>
              <w:right w:val="nil"/>
            </w:tcBorders>
            <w:shd w:val="clear" w:color="auto" w:fill="auto"/>
            <w:noWrap/>
            <w:vAlign w:val="center"/>
          </w:tcPr>
          <w:p w14:paraId="1B4B627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1.031 (0.891~1.193)</w:t>
            </w:r>
          </w:p>
        </w:tc>
        <w:tc>
          <w:tcPr>
            <w:tcW w:w="99" w:type="pct"/>
            <w:tcBorders>
              <w:top w:val="nil"/>
              <w:left w:val="nil"/>
              <w:bottom w:val="nil"/>
              <w:right w:val="nil"/>
            </w:tcBorders>
            <w:shd w:val="clear" w:color="auto" w:fill="auto"/>
            <w:noWrap/>
            <w:vAlign w:val="center"/>
          </w:tcPr>
          <w:p w14:paraId="320E67D5">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1D18A1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0.885</w:t>
            </w:r>
          </w:p>
        </w:tc>
        <w:tc>
          <w:tcPr>
            <w:tcW w:w="1036" w:type="pct"/>
            <w:tcBorders>
              <w:top w:val="nil"/>
              <w:left w:val="nil"/>
              <w:bottom w:val="nil"/>
              <w:right w:val="nil"/>
            </w:tcBorders>
            <w:shd w:val="clear" w:color="auto" w:fill="auto"/>
            <w:noWrap/>
            <w:vAlign w:val="center"/>
          </w:tcPr>
          <w:p w14:paraId="6C2CC8B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1.020 (0.783~1.327)</w:t>
            </w:r>
          </w:p>
        </w:tc>
      </w:tr>
      <w:tr w14:paraId="5985B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05CA2D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VAI</w:t>
            </w:r>
          </w:p>
        </w:tc>
        <w:tc>
          <w:tcPr>
            <w:tcW w:w="321" w:type="pct"/>
            <w:tcBorders>
              <w:top w:val="nil"/>
              <w:left w:val="nil"/>
              <w:bottom w:val="nil"/>
              <w:right w:val="nil"/>
            </w:tcBorders>
            <w:shd w:val="clear" w:color="auto" w:fill="auto"/>
            <w:noWrap/>
            <w:vAlign w:val="center"/>
          </w:tcPr>
          <w:p w14:paraId="2A67EE1A">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654D1C53">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19A84D23">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1FCDE5B">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5EEEE076">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0A74C90B">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D76154A">
            <w:pPr>
              <w:jc w:val="left"/>
              <w:rPr>
                <w:rFonts w:hint="default" w:ascii="Times New Roman" w:hAnsi="Times New Roman" w:eastAsia="宋体" w:cs="Times New Roman"/>
                <w:b w:val="0"/>
                <w:bCs w:val="0"/>
                <w:i w:val="0"/>
                <w:iCs w:val="0"/>
                <w:color w:val="auto"/>
                <w:sz w:val="22"/>
                <w:szCs w:val="22"/>
                <w:u w:val="none"/>
              </w:rPr>
            </w:pPr>
          </w:p>
        </w:tc>
        <w:tc>
          <w:tcPr>
            <w:tcW w:w="1036" w:type="pct"/>
            <w:tcBorders>
              <w:top w:val="nil"/>
              <w:left w:val="nil"/>
              <w:bottom w:val="nil"/>
              <w:right w:val="nil"/>
            </w:tcBorders>
            <w:shd w:val="clear" w:color="auto" w:fill="auto"/>
            <w:noWrap/>
            <w:vAlign w:val="center"/>
          </w:tcPr>
          <w:p w14:paraId="55799FEA">
            <w:pPr>
              <w:jc w:val="left"/>
              <w:rPr>
                <w:rFonts w:hint="default" w:ascii="Times New Roman" w:hAnsi="Times New Roman" w:eastAsia="宋体" w:cs="Times New Roman"/>
                <w:b w:val="0"/>
                <w:bCs w:val="0"/>
                <w:i w:val="0"/>
                <w:iCs w:val="0"/>
                <w:color w:val="auto"/>
                <w:sz w:val="22"/>
                <w:szCs w:val="22"/>
                <w:u w:val="none"/>
              </w:rPr>
            </w:pPr>
          </w:p>
        </w:tc>
      </w:tr>
      <w:tr w14:paraId="0268C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6002D3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Q1 (&lt;1.19)</w:t>
            </w:r>
          </w:p>
        </w:tc>
        <w:tc>
          <w:tcPr>
            <w:tcW w:w="321" w:type="pct"/>
            <w:tcBorders>
              <w:top w:val="nil"/>
              <w:left w:val="nil"/>
              <w:bottom w:val="nil"/>
              <w:right w:val="nil"/>
            </w:tcBorders>
            <w:shd w:val="clear" w:color="auto" w:fill="auto"/>
            <w:noWrap/>
            <w:vAlign w:val="center"/>
          </w:tcPr>
          <w:p w14:paraId="7E83BF1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5B12CDE4">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3E07E895">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0BA1E84">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3FDE6F9B">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101F4803">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62AE99FE">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36" w:type="pct"/>
            <w:tcBorders>
              <w:top w:val="nil"/>
              <w:left w:val="nil"/>
              <w:bottom w:val="nil"/>
              <w:right w:val="nil"/>
            </w:tcBorders>
            <w:shd w:val="clear" w:color="auto" w:fill="auto"/>
            <w:noWrap/>
            <w:vAlign w:val="center"/>
          </w:tcPr>
          <w:p w14:paraId="2729893F">
            <w:pPr>
              <w:jc w:val="left"/>
              <w:rPr>
                <w:rFonts w:hint="default" w:ascii="Times New Roman" w:hAnsi="Times New Roman" w:eastAsia="宋体" w:cs="Times New Roman"/>
                <w:b w:val="0"/>
                <w:bCs w:val="0"/>
                <w:i w:val="0"/>
                <w:iCs w:val="0"/>
                <w:color w:val="auto"/>
                <w:sz w:val="22"/>
                <w:szCs w:val="22"/>
                <w:u w:val="none"/>
              </w:rPr>
            </w:pPr>
          </w:p>
        </w:tc>
      </w:tr>
      <w:tr w14:paraId="56B1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3337C4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Q2 (1.19~)</w:t>
            </w:r>
          </w:p>
        </w:tc>
        <w:tc>
          <w:tcPr>
            <w:tcW w:w="321" w:type="pct"/>
            <w:tcBorders>
              <w:top w:val="nil"/>
              <w:left w:val="nil"/>
              <w:bottom w:val="nil"/>
              <w:right w:val="nil"/>
            </w:tcBorders>
            <w:shd w:val="clear" w:color="auto" w:fill="auto"/>
            <w:noWrap/>
            <w:vAlign w:val="center"/>
          </w:tcPr>
          <w:p w14:paraId="7CB6063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0.604</w:t>
            </w:r>
          </w:p>
        </w:tc>
        <w:tc>
          <w:tcPr>
            <w:tcW w:w="1026" w:type="pct"/>
            <w:tcBorders>
              <w:top w:val="nil"/>
              <w:left w:val="nil"/>
              <w:bottom w:val="nil"/>
              <w:right w:val="nil"/>
            </w:tcBorders>
            <w:shd w:val="clear" w:color="auto" w:fill="auto"/>
            <w:noWrap/>
            <w:vAlign w:val="center"/>
          </w:tcPr>
          <w:p w14:paraId="4E3AD60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0.968 (0.854~1.096)</w:t>
            </w:r>
          </w:p>
        </w:tc>
        <w:tc>
          <w:tcPr>
            <w:tcW w:w="99" w:type="pct"/>
            <w:tcBorders>
              <w:top w:val="nil"/>
              <w:left w:val="nil"/>
              <w:bottom w:val="nil"/>
              <w:right w:val="nil"/>
            </w:tcBorders>
            <w:shd w:val="clear" w:color="auto" w:fill="auto"/>
            <w:noWrap/>
            <w:vAlign w:val="center"/>
          </w:tcPr>
          <w:p w14:paraId="49E26550">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E75460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0.730</w:t>
            </w:r>
          </w:p>
        </w:tc>
        <w:tc>
          <w:tcPr>
            <w:tcW w:w="1026" w:type="pct"/>
            <w:tcBorders>
              <w:top w:val="nil"/>
              <w:left w:val="nil"/>
              <w:bottom w:val="nil"/>
              <w:right w:val="nil"/>
            </w:tcBorders>
            <w:shd w:val="clear" w:color="auto" w:fill="auto"/>
            <w:noWrap/>
            <w:vAlign w:val="center"/>
          </w:tcPr>
          <w:p w14:paraId="18D44F3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0.929 (0.610~1.413)</w:t>
            </w:r>
          </w:p>
        </w:tc>
        <w:tc>
          <w:tcPr>
            <w:tcW w:w="99" w:type="pct"/>
            <w:tcBorders>
              <w:top w:val="nil"/>
              <w:left w:val="nil"/>
              <w:bottom w:val="nil"/>
              <w:right w:val="nil"/>
            </w:tcBorders>
            <w:shd w:val="clear" w:color="auto" w:fill="auto"/>
            <w:noWrap/>
            <w:vAlign w:val="center"/>
          </w:tcPr>
          <w:p w14:paraId="2B0C630C">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81A901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0.147</w:t>
            </w:r>
          </w:p>
        </w:tc>
        <w:tc>
          <w:tcPr>
            <w:tcW w:w="1036" w:type="pct"/>
            <w:tcBorders>
              <w:top w:val="nil"/>
              <w:left w:val="nil"/>
              <w:bottom w:val="nil"/>
              <w:right w:val="nil"/>
            </w:tcBorders>
            <w:shd w:val="clear" w:color="auto" w:fill="auto"/>
            <w:noWrap/>
            <w:vAlign w:val="center"/>
          </w:tcPr>
          <w:p w14:paraId="0963A30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1.919 (0.795~4.631)</w:t>
            </w:r>
          </w:p>
        </w:tc>
      </w:tr>
      <w:tr w14:paraId="0B88F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1CCD083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Q3 (1.94~)</w:t>
            </w:r>
          </w:p>
        </w:tc>
        <w:tc>
          <w:tcPr>
            <w:tcW w:w="321" w:type="pct"/>
            <w:tcBorders>
              <w:top w:val="nil"/>
              <w:left w:val="nil"/>
              <w:bottom w:val="nil"/>
              <w:right w:val="nil"/>
            </w:tcBorders>
            <w:shd w:val="clear" w:color="auto" w:fill="auto"/>
            <w:noWrap/>
            <w:vAlign w:val="center"/>
          </w:tcPr>
          <w:p w14:paraId="6B5BDDA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0.448</w:t>
            </w:r>
          </w:p>
        </w:tc>
        <w:tc>
          <w:tcPr>
            <w:tcW w:w="1026" w:type="pct"/>
            <w:tcBorders>
              <w:top w:val="nil"/>
              <w:left w:val="nil"/>
              <w:bottom w:val="nil"/>
              <w:right w:val="nil"/>
            </w:tcBorders>
            <w:shd w:val="clear" w:color="auto" w:fill="auto"/>
            <w:noWrap/>
            <w:vAlign w:val="center"/>
          </w:tcPr>
          <w:p w14:paraId="250B471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0.952 (0.840~1.080)</w:t>
            </w:r>
          </w:p>
        </w:tc>
        <w:tc>
          <w:tcPr>
            <w:tcW w:w="99" w:type="pct"/>
            <w:tcBorders>
              <w:top w:val="nil"/>
              <w:left w:val="nil"/>
              <w:bottom w:val="nil"/>
              <w:right w:val="nil"/>
            </w:tcBorders>
            <w:shd w:val="clear" w:color="auto" w:fill="auto"/>
            <w:noWrap/>
            <w:vAlign w:val="center"/>
          </w:tcPr>
          <w:p w14:paraId="45BC3953">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A5172B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0.796</w:t>
            </w:r>
          </w:p>
        </w:tc>
        <w:tc>
          <w:tcPr>
            <w:tcW w:w="1026" w:type="pct"/>
            <w:tcBorders>
              <w:top w:val="nil"/>
              <w:left w:val="nil"/>
              <w:bottom w:val="nil"/>
              <w:right w:val="nil"/>
            </w:tcBorders>
            <w:shd w:val="clear" w:color="auto" w:fill="auto"/>
            <w:noWrap/>
            <w:vAlign w:val="center"/>
          </w:tcPr>
          <w:p w14:paraId="54FF1EF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0.945 (0.615~1.451)</w:t>
            </w:r>
          </w:p>
        </w:tc>
        <w:tc>
          <w:tcPr>
            <w:tcW w:w="99" w:type="pct"/>
            <w:tcBorders>
              <w:top w:val="nil"/>
              <w:left w:val="nil"/>
              <w:bottom w:val="nil"/>
              <w:right w:val="nil"/>
            </w:tcBorders>
            <w:shd w:val="clear" w:color="auto" w:fill="auto"/>
            <w:noWrap/>
            <w:vAlign w:val="center"/>
          </w:tcPr>
          <w:p w14:paraId="48084F75">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CFC3F1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0.520</w:t>
            </w:r>
          </w:p>
        </w:tc>
        <w:tc>
          <w:tcPr>
            <w:tcW w:w="1036" w:type="pct"/>
            <w:tcBorders>
              <w:top w:val="nil"/>
              <w:left w:val="nil"/>
              <w:bottom w:val="nil"/>
              <w:right w:val="nil"/>
            </w:tcBorders>
            <w:shd w:val="clear" w:color="auto" w:fill="auto"/>
            <w:noWrap/>
            <w:vAlign w:val="center"/>
          </w:tcPr>
          <w:p w14:paraId="0B727EB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1.373 (0.523~3.609)</w:t>
            </w:r>
          </w:p>
        </w:tc>
      </w:tr>
      <w:tr w14:paraId="5E9F3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45FA8E0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Q4 (≥3.12)</w:t>
            </w:r>
          </w:p>
        </w:tc>
        <w:tc>
          <w:tcPr>
            <w:tcW w:w="321" w:type="pct"/>
            <w:tcBorders>
              <w:top w:val="nil"/>
              <w:left w:val="nil"/>
              <w:bottom w:val="nil"/>
              <w:right w:val="nil"/>
            </w:tcBorders>
            <w:shd w:val="clear" w:color="auto" w:fill="auto"/>
            <w:noWrap/>
            <w:vAlign w:val="center"/>
          </w:tcPr>
          <w:p w14:paraId="4CF3CEA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0.325</w:t>
            </w:r>
          </w:p>
        </w:tc>
        <w:tc>
          <w:tcPr>
            <w:tcW w:w="1026" w:type="pct"/>
            <w:tcBorders>
              <w:top w:val="nil"/>
              <w:left w:val="nil"/>
              <w:bottom w:val="nil"/>
              <w:right w:val="nil"/>
            </w:tcBorders>
            <w:shd w:val="clear" w:color="auto" w:fill="auto"/>
            <w:noWrap/>
            <w:vAlign w:val="center"/>
          </w:tcPr>
          <w:p w14:paraId="55805BA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0.938 (0.826~1.066)</w:t>
            </w:r>
          </w:p>
        </w:tc>
        <w:tc>
          <w:tcPr>
            <w:tcW w:w="99" w:type="pct"/>
            <w:tcBorders>
              <w:top w:val="nil"/>
              <w:left w:val="nil"/>
              <w:bottom w:val="nil"/>
              <w:right w:val="nil"/>
            </w:tcBorders>
            <w:shd w:val="clear" w:color="auto" w:fill="auto"/>
            <w:noWrap/>
            <w:vAlign w:val="center"/>
          </w:tcPr>
          <w:p w14:paraId="3D0BE6A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1AD91CD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0.868</w:t>
            </w:r>
          </w:p>
        </w:tc>
        <w:tc>
          <w:tcPr>
            <w:tcW w:w="1026" w:type="pct"/>
            <w:tcBorders>
              <w:top w:val="nil"/>
              <w:left w:val="nil"/>
              <w:bottom w:val="nil"/>
              <w:right w:val="nil"/>
            </w:tcBorders>
            <w:shd w:val="clear" w:color="auto" w:fill="auto"/>
            <w:noWrap/>
            <w:vAlign w:val="center"/>
          </w:tcPr>
          <w:p w14:paraId="2061288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0.963 (0.620~1.497)</w:t>
            </w:r>
          </w:p>
        </w:tc>
        <w:tc>
          <w:tcPr>
            <w:tcW w:w="99" w:type="pct"/>
            <w:tcBorders>
              <w:top w:val="nil"/>
              <w:left w:val="nil"/>
              <w:bottom w:val="nil"/>
              <w:right w:val="nil"/>
            </w:tcBorders>
            <w:shd w:val="clear" w:color="auto" w:fill="auto"/>
            <w:noWrap/>
            <w:vAlign w:val="center"/>
          </w:tcPr>
          <w:p w14:paraId="2EC7C68D">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52F9DF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0.094</w:t>
            </w:r>
          </w:p>
        </w:tc>
        <w:tc>
          <w:tcPr>
            <w:tcW w:w="1036" w:type="pct"/>
            <w:tcBorders>
              <w:top w:val="nil"/>
              <w:left w:val="nil"/>
              <w:bottom w:val="nil"/>
              <w:right w:val="nil"/>
            </w:tcBorders>
            <w:shd w:val="clear" w:color="auto" w:fill="auto"/>
            <w:noWrap/>
            <w:vAlign w:val="center"/>
          </w:tcPr>
          <w:p w14:paraId="232FFAE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2.188 (0.875~5.475)</w:t>
            </w:r>
          </w:p>
        </w:tc>
      </w:tr>
      <w:tr w14:paraId="4BEFB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52FF4B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VAI z-score</w:t>
            </w:r>
          </w:p>
        </w:tc>
        <w:tc>
          <w:tcPr>
            <w:tcW w:w="321" w:type="pct"/>
            <w:tcBorders>
              <w:top w:val="nil"/>
              <w:left w:val="nil"/>
              <w:bottom w:val="nil"/>
              <w:right w:val="nil"/>
            </w:tcBorders>
            <w:shd w:val="clear" w:color="auto" w:fill="auto"/>
            <w:noWrap/>
            <w:vAlign w:val="center"/>
          </w:tcPr>
          <w:p w14:paraId="2DD2C62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0.032</w:t>
            </w:r>
          </w:p>
        </w:tc>
        <w:tc>
          <w:tcPr>
            <w:tcW w:w="1026" w:type="pct"/>
            <w:tcBorders>
              <w:top w:val="nil"/>
              <w:left w:val="nil"/>
              <w:bottom w:val="nil"/>
              <w:right w:val="nil"/>
            </w:tcBorders>
            <w:shd w:val="clear" w:color="auto" w:fill="auto"/>
            <w:noWrap/>
            <w:vAlign w:val="center"/>
          </w:tcPr>
          <w:p w14:paraId="6A44CD7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0.949 (0.904~0.995)</w:t>
            </w:r>
          </w:p>
        </w:tc>
        <w:tc>
          <w:tcPr>
            <w:tcW w:w="99" w:type="pct"/>
            <w:tcBorders>
              <w:top w:val="nil"/>
              <w:left w:val="nil"/>
              <w:bottom w:val="nil"/>
              <w:right w:val="nil"/>
            </w:tcBorders>
            <w:shd w:val="clear" w:color="auto" w:fill="auto"/>
            <w:noWrap/>
            <w:vAlign w:val="center"/>
          </w:tcPr>
          <w:p w14:paraId="73736B4A">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D4D44C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0.590</w:t>
            </w:r>
          </w:p>
        </w:tc>
        <w:tc>
          <w:tcPr>
            <w:tcW w:w="1026" w:type="pct"/>
            <w:tcBorders>
              <w:top w:val="nil"/>
              <w:left w:val="nil"/>
              <w:bottom w:val="nil"/>
              <w:right w:val="nil"/>
            </w:tcBorders>
            <w:shd w:val="clear" w:color="auto" w:fill="auto"/>
            <w:noWrap/>
            <w:vAlign w:val="center"/>
          </w:tcPr>
          <w:p w14:paraId="35B3AA4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0.950 (0.789~1.144)</w:t>
            </w:r>
          </w:p>
        </w:tc>
        <w:tc>
          <w:tcPr>
            <w:tcW w:w="99" w:type="pct"/>
            <w:tcBorders>
              <w:top w:val="nil"/>
              <w:left w:val="nil"/>
              <w:bottom w:val="nil"/>
              <w:right w:val="nil"/>
            </w:tcBorders>
            <w:shd w:val="clear" w:color="auto" w:fill="auto"/>
            <w:noWrap/>
            <w:vAlign w:val="center"/>
          </w:tcPr>
          <w:p w14:paraId="41B31554">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8E61BF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0.964</w:t>
            </w:r>
          </w:p>
        </w:tc>
        <w:tc>
          <w:tcPr>
            <w:tcW w:w="1036" w:type="pct"/>
            <w:tcBorders>
              <w:top w:val="nil"/>
              <w:left w:val="nil"/>
              <w:bottom w:val="nil"/>
              <w:right w:val="nil"/>
            </w:tcBorders>
            <w:shd w:val="clear" w:color="auto" w:fill="auto"/>
            <w:noWrap/>
            <w:vAlign w:val="center"/>
          </w:tcPr>
          <w:p w14:paraId="5000FD9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1.006 (0.774~1.309)</w:t>
            </w:r>
          </w:p>
        </w:tc>
      </w:tr>
      <w:tr w14:paraId="7D37F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762958A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CVAI</w:t>
            </w:r>
          </w:p>
        </w:tc>
        <w:tc>
          <w:tcPr>
            <w:tcW w:w="321" w:type="pct"/>
            <w:tcBorders>
              <w:top w:val="nil"/>
              <w:left w:val="nil"/>
              <w:bottom w:val="nil"/>
              <w:right w:val="nil"/>
            </w:tcBorders>
            <w:shd w:val="clear" w:color="auto" w:fill="auto"/>
            <w:noWrap/>
            <w:vAlign w:val="center"/>
          </w:tcPr>
          <w:p w14:paraId="6B84A0D6">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11D78731">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61F7E755">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1503BC2">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472E1DA4">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2D11A3E8">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198835E0">
            <w:pPr>
              <w:jc w:val="left"/>
              <w:rPr>
                <w:rFonts w:hint="default" w:ascii="Times New Roman" w:hAnsi="Times New Roman" w:eastAsia="宋体" w:cs="Times New Roman"/>
                <w:b w:val="0"/>
                <w:bCs w:val="0"/>
                <w:i w:val="0"/>
                <w:iCs w:val="0"/>
                <w:color w:val="auto"/>
                <w:sz w:val="22"/>
                <w:szCs w:val="22"/>
                <w:u w:val="none"/>
              </w:rPr>
            </w:pPr>
          </w:p>
        </w:tc>
        <w:tc>
          <w:tcPr>
            <w:tcW w:w="1036" w:type="pct"/>
            <w:tcBorders>
              <w:top w:val="nil"/>
              <w:left w:val="nil"/>
              <w:bottom w:val="nil"/>
              <w:right w:val="nil"/>
            </w:tcBorders>
            <w:shd w:val="clear" w:color="auto" w:fill="auto"/>
            <w:noWrap/>
            <w:vAlign w:val="center"/>
          </w:tcPr>
          <w:p w14:paraId="4BED56AC">
            <w:pPr>
              <w:jc w:val="left"/>
              <w:rPr>
                <w:rFonts w:hint="default" w:ascii="Times New Roman" w:hAnsi="Times New Roman" w:eastAsia="宋体" w:cs="Times New Roman"/>
                <w:b w:val="0"/>
                <w:bCs w:val="0"/>
                <w:i w:val="0"/>
                <w:iCs w:val="0"/>
                <w:color w:val="auto"/>
                <w:sz w:val="22"/>
                <w:szCs w:val="22"/>
                <w:u w:val="none"/>
              </w:rPr>
            </w:pPr>
          </w:p>
        </w:tc>
      </w:tr>
      <w:tr w14:paraId="276D3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6E963BE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Q1 (&lt;73.82)</w:t>
            </w:r>
          </w:p>
        </w:tc>
        <w:tc>
          <w:tcPr>
            <w:tcW w:w="321" w:type="pct"/>
            <w:tcBorders>
              <w:top w:val="nil"/>
              <w:left w:val="nil"/>
              <w:bottom w:val="nil"/>
              <w:right w:val="nil"/>
            </w:tcBorders>
            <w:shd w:val="clear" w:color="auto" w:fill="auto"/>
            <w:noWrap/>
            <w:vAlign w:val="center"/>
          </w:tcPr>
          <w:p w14:paraId="03D8FF6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70EFCD5C">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20759BB2">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9D83D60">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0D0C750D">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003F9984">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69DCC5F">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36" w:type="pct"/>
            <w:tcBorders>
              <w:top w:val="nil"/>
              <w:left w:val="nil"/>
              <w:bottom w:val="nil"/>
              <w:right w:val="nil"/>
            </w:tcBorders>
            <w:shd w:val="clear" w:color="auto" w:fill="auto"/>
            <w:noWrap/>
            <w:vAlign w:val="center"/>
          </w:tcPr>
          <w:p w14:paraId="14EBF300">
            <w:pPr>
              <w:jc w:val="left"/>
              <w:rPr>
                <w:rFonts w:hint="default" w:ascii="Times New Roman" w:hAnsi="Times New Roman" w:eastAsia="宋体" w:cs="Times New Roman"/>
                <w:b w:val="0"/>
                <w:bCs w:val="0"/>
                <w:i w:val="0"/>
                <w:iCs w:val="0"/>
                <w:color w:val="auto"/>
                <w:sz w:val="22"/>
                <w:szCs w:val="22"/>
                <w:u w:val="none"/>
              </w:rPr>
            </w:pPr>
          </w:p>
        </w:tc>
      </w:tr>
      <w:tr w14:paraId="18E93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697B167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Q2 (73.82~)</w:t>
            </w:r>
          </w:p>
        </w:tc>
        <w:tc>
          <w:tcPr>
            <w:tcW w:w="321" w:type="pct"/>
            <w:tcBorders>
              <w:top w:val="nil"/>
              <w:left w:val="nil"/>
              <w:bottom w:val="nil"/>
              <w:right w:val="nil"/>
            </w:tcBorders>
            <w:shd w:val="clear" w:color="auto" w:fill="auto"/>
            <w:noWrap/>
            <w:vAlign w:val="center"/>
          </w:tcPr>
          <w:p w14:paraId="23D5A82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0.703</w:t>
            </w:r>
          </w:p>
        </w:tc>
        <w:tc>
          <w:tcPr>
            <w:tcW w:w="1026" w:type="pct"/>
            <w:tcBorders>
              <w:top w:val="nil"/>
              <w:left w:val="nil"/>
              <w:bottom w:val="nil"/>
              <w:right w:val="nil"/>
            </w:tcBorders>
            <w:shd w:val="clear" w:color="auto" w:fill="auto"/>
            <w:noWrap/>
            <w:vAlign w:val="center"/>
          </w:tcPr>
          <w:p w14:paraId="5D894D2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1.025 (0.905~1.160)</w:t>
            </w:r>
          </w:p>
        </w:tc>
        <w:tc>
          <w:tcPr>
            <w:tcW w:w="99" w:type="pct"/>
            <w:tcBorders>
              <w:top w:val="nil"/>
              <w:left w:val="nil"/>
              <w:bottom w:val="nil"/>
              <w:right w:val="nil"/>
            </w:tcBorders>
            <w:shd w:val="clear" w:color="auto" w:fill="auto"/>
            <w:noWrap/>
            <w:vAlign w:val="center"/>
          </w:tcPr>
          <w:p w14:paraId="5138EE64">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3C758C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0.280</w:t>
            </w:r>
          </w:p>
        </w:tc>
        <w:tc>
          <w:tcPr>
            <w:tcW w:w="1026" w:type="pct"/>
            <w:tcBorders>
              <w:top w:val="nil"/>
              <w:left w:val="nil"/>
              <w:bottom w:val="nil"/>
              <w:right w:val="nil"/>
            </w:tcBorders>
            <w:shd w:val="clear" w:color="auto" w:fill="auto"/>
            <w:noWrap/>
            <w:vAlign w:val="center"/>
          </w:tcPr>
          <w:p w14:paraId="11B2EAF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0.777 (0.492~1.227)</w:t>
            </w:r>
          </w:p>
        </w:tc>
        <w:tc>
          <w:tcPr>
            <w:tcW w:w="99" w:type="pct"/>
            <w:tcBorders>
              <w:top w:val="nil"/>
              <w:left w:val="nil"/>
              <w:bottom w:val="nil"/>
              <w:right w:val="nil"/>
            </w:tcBorders>
            <w:shd w:val="clear" w:color="auto" w:fill="auto"/>
            <w:noWrap/>
            <w:vAlign w:val="center"/>
          </w:tcPr>
          <w:p w14:paraId="12C847F3">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4518FF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0.804</w:t>
            </w:r>
          </w:p>
        </w:tc>
        <w:tc>
          <w:tcPr>
            <w:tcW w:w="1036" w:type="pct"/>
            <w:tcBorders>
              <w:top w:val="nil"/>
              <w:left w:val="nil"/>
              <w:bottom w:val="nil"/>
              <w:right w:val="nil"/>
            </w:tcBorders>
            <w:shd w:val="clear" w:color="auto" w:fill="auto"/>
            <w:noWrap/>
            <w:vAlign w:val="center"/>
          </w:tcPr>
          <w:p w14:paraId="719BD6D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0.869 (0.286~2.638)</w:t>
            </w:r>
          </w:p>
        </w:tc>
      </w:tr>
      <w:tr w14:paraId="668B4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4612EB4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Q3 (96.81~)</w:t>
            </w:r>
          </w:p>
        </w:tc>
        <w:tc>
          <w:tcPr>
            <w:tcW w:w="321" w:type="pct"/>
            <w:tcBorders>
              <w:top w:val="nil"/>
              <w:left w:val="nil"/>
              <w:bottom w:val="nil"/>
              <w:right w:val="nil"/>
            </w:tcBorders>
            <w:shd w:val="clear" w:color="auto" w:fill="auto"/>
            <w:noWrap/>
            <w:vAlign w:val="center"/>
          </w:tcPr>
          <w:p w14:paraId="45DF80B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0.130</w:t>
            </w:r>
          </w:p>
        </w:tc>
        <w:tc>
          <w:tcPr>
            <w:tcW w:w="1026" w:type="pct"/>
            <w:tcBorders>
              <w:top w:val="nil"/>
              <w:left w:val="nil"/>
              <w:bottom w:val="nil"/>
              <w:right w:val="nil"/>
            </w:tcBorders>
            <w:shd w:val="clear" w:color="auto" w:fill="auto"/>
            <w:noWrap/>
            <w:vAlign w:val="center"/>
          </w:tcPr>
          <w:p w14:paraId="7F31F8A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0.906 (0.798~1.029)</w:t>
            </w:r>
          </w:p>
        </w:tc>
        <w:tc>
          <w:tcPr>
            <w:tcW w:w="99" w:type="pct"/>
            <w:tcBorders>
              <w:top w:val="nil"/>
              <w:left w:val="nil"/>
              <w:bottom w:val="nil"/>
              <w:right w:val="nil"/>
            </w:tcBorders>
            <w:shd w:val="clear" w:color="auto" w:fill="auto"/>
            <w:noWrap/>
            <w:vAlign w:val="center"/>
          </w:tcPr>
          <w:p w14:paraId="5229E88A">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5C2DF2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0.442</w:t>
            </w:r>
          </w:p>
        </w:tc>
        <w:tc>
          <w:tcPr>
            <w:tcW w:w="1026" w:type="pct"/>
            <w:tcBorders>
              <w:top w:val="nil"/>
              <w:left w:val="nil"/>
              <w:bottom w:val="nil"/>
              <w:right w:val="nil"/>
            </w:tcBorders>
            <w:shd w:val="clear" w:color="auto" w:fill="auto"/>
            <w:noWrap/>
            <w:vAlign w:val="center"/>
          </w:tcPr>
          <w:p w14:paraId="2C41CD5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0.842 (0.543~1.305)</w:t>
            </w:r>
          </w:p>
        </w:tc>
        <w:tc>
          <w:tcPr>
            <w:tcW w:w="99" w:type="pct"/>
            <w:tcBorders>
              <w:top w:val="nil"/>
              <w:left w:val="nil"/>
              <w:bottom w:val="nil"/>
              <w:right w:val="nil"/>
            </w:tcBorders>
            <w:shd w:val="clear" w:color="auto" w:fill="auto"/>
            <w:noWrap/>
            <w:vAlign w:val="center"/>
          </w:tcPr>
          <w:p w14:paraId="13A25D14">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C0452F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0.269</w:t>
            </w:r>
          </w:p>
        </w:tc>
        <w:tc>
          <w:tcPr>
            <w:tcW w:w="1036" w:type="pct"/>
            <w:tcBorders>
              <w:top w:val="nil"/>
              <w:left w:val="nil"/>
              <w:bottom w:val="nil"/>
              <w:right w:val="nil"/>
            </w:tcBorders>
            <w:shd w:val="clear" w:color="auto" w:fill="auto"/>
            <w:noWrap/>
            <w:vAlign w:val="center"/>
          </w:tcPr>
          <w:p w14:paraId="7EB58A1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1.696 (0.664~4.329)</w:t>
            </w:r>
          </w:p>
        </w:tc>
      </w:tr>
      <w:tr w14:paraId="29BAB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454604E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Q4 (≥119.30)</w:t>
            </w:r>
          </w:p>
        </w:tc>
        <w:tc>
          <w:tcPr>
            <w:tcW w:w="321" w:type="pct"/>
            <w:tcBorders>
              <w:top w:val="nil"/>
              <w:left w:val="nil"/>
              <w:bottom w:val="nil"/>
              <w:right w:val="nil"/>
            </w:tcBorders>
            <w:shd w:val="clear" w:color="auto" w:fill="auto"/>
            <w:noWrap/>
            <w:vAlign w:val="center"/>
          </w:tcPr>
          <w:p w14:paraId="05D4F3D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0.009</w:t>
            </w:r>
          </w:p>
        </w:tc>
        <w:tc>
          <w:tcPr>
            <w:tcW w:w="1026" w:type="pct"/>
            <w:tcBorders>
              <w:top w:val="nil"/>
              <w:left w:val="nil"/>
              <w:bottom w:val="nil"/>
              <w:right w:val="nil"/>
            </w:tcBorders>
            <w:shd w:val="clear" w:color="auto" w:fill="auto"/>
            <w:noWrap/>
            <w:vAlign w:val="center"/>
          </w:tcPr>
          <w:p w14:paraId="230DC7B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0.839 (0.736~0.957)</w:t>
            </w:r>
          </w:p>
        </w:tc>
        <w:tc>
          <w:tcPr>
            <w:tcW w:w="99" w:type="pct"/>
            <w:tcBorders>
              <w:top w:val="nil"/>
              <w:left w:val="nil"/>
              <w:bottom w:val="nil"/>
              <w:right w:val="nil"/>
            </w:tcBorders>
            <w:shd w:val="clear" w:color="auto" w:fill="auto"/>
            <w:noWrap/>
            <w:vAlign w:val="center"/>
          </w:tcPr>
          <w:p w14:paraId="0F138405">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1082A1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0.474</w:t>
            </w:r>
          </w:p>
        </w:tc>
        <w:tc>
          <w:tcPr>
            <w:tcW w:w="1026" w:type="pct"/>
            <w:tcBorders>
              <w:top w:val="nil"/>
              <w:left w:val="nil"/>
              <w:bottom w:val="nil"/>
              <w:right w:val="nil"/>
            </w:tcBorders>
            <w:shd w:val="clear" w:color="auto" w:fill="auto"/>
            <w:noWrap/>
            <w:vAlign w:val="center"/>
          </w:tcPr>
          <w:p w14:paraId="418B38A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0.856 (0.560~1.309)</w:t>
            </w:r>
          </w:p>
        </w:tc>
        <w:tc>
          <w:tcPr>
            <w:tcW w:w="99" w:type="pct"/>
            <w:tcBorders>
              <w:top w:val="nil"/>
              <w:left w:val="nil"/>
              <w:bottom w:val="nil"/>
              <w:right w:val="nil"/>
            </w:tcBorders>
            <w:shd w:val="clear" w:color="auto" w:fill="auto"/>
            <w:noWrap/>
            <w:vAlign w:val="center"/>
          </w:tcPr>
          <w:p w14:paraId="5E3D6DF6">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742F6F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0.439</w:t>
            </w:r>
          </w:p>
        </w:tc>
        <w:tc>
          <w:tcPr>
            <w:tcW w:w="1036" w:type="pct"/>
            <w:tcBorders>
              <w:top w:val="nil"/>
              <w:left w:val="nil"/>
              <w:bottom w:val="nil"/>
              <w:right w:val="nil"/>
            </w:tcBorders>
            <w:shd w:val="clear" w:color="auto" w:fill="auto"/>
            <w:noWrap/>
            <w:vAlign w:val="center"/>
          </w:tcPr>
          <w:p w14:paraId="2662BD9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1.445 (0.569~3.670)</w:t>
            </w:r>
          </w:p>
        </w:tc>
      </w:tr>
      <w:tr w14:paraId="06732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32584BB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CVAI z-score</w:t>
            </w:r>
          </w:p>
        </w:tc>
        <w:tc>
          <w:tcPr>
            <w:tcW w:w="321" w:type="pct"/>
            <w:tcBorders>
              <w:top w:val="nil"/>
              <w:left w:val="nil"/>
              <w:bottom w:val="nil"/>
              <w:right w:val="nil"/>
            </w:tcBorders>
            <w:shd w:val="clear" w:color="auto" w:fill="auto"/>
            <w:noWrap/>
            <w:vAlign w:val="center"/>
          </w:tcPr>
          <w:p w14:paraId="1D10CE5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0.007</w:t>
            </w:r>
          </w:p>
        </w:tc>
        <w:tc>
          <w:tcPr>
            <w:tcW w:w="1026" w:type="pct"/>
            <w:tcBorders>
              <w:top w:val="nil"/>
              <w:left w:val="nil"/>
              <w:bottom w:val="nil"/>
              <w:right w:val="nil"/>
            </w:tcBorders>
            <w:shd w:val="clear" w:color="auto" w:fill="auto"/>
            <w:noWrap/>
            <w:vAlign w:val="center"/>
          </w:tcPr>
          <w:p w14:paraId="04F5B56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0.938 (0.896~0.983)</w:t>
            </w:r>
          </w:p>
        </w:tc>
        <w:tc>
          <w:tcPr>
            <w:tcW w:w="99" w:type="pct"/>
            <w:tcBorders>
              <w:top w:val="nil"/>
              <w:left w:val="nil"/>
              <w:bottom w:val="nil"/>
              <w:right w:val="nil"/>
            </w:tcBorders>
            <w:shd w:val="clear" w:color="auto" w:fill="auto"/>
            <w:noWrap/>
            <w:vAlign w:val="center"/>
          </w:tcPr>
          <w:p w14:paraId="734CCB99">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9A7DA6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0.332</w:t>
            </w:r>
          </w:p>
        </w:tc>
        <w:tc>
          <w:tcPr>
            <w:tcW w:w="1026" w:type="pct"/>
            <w:tcBorders>
              <w:top w:val="nil"/>
              <w:left w:val="nil"/>
              <w:bottom w:val="nil"/>
              <w:right w:val="nil"/>
            </w:tcBorders>
            <w:shd w:val="clear" w:color="auto" w:fill="auto"/>
            <w:noWrap/>
            <w:vAlign w:val="center"/>
          </w:tcPr>
          <w:p w14:paraId="416490F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0.928 (0.798~1.079)</w:t>
            </w:r>
          </w:p>
        </w:tc>
        <w:tc>
          <w:tcPr>
            <w:tcW w:w="99" w:type="pct"/>
            <w:tcBorders>
              <w:top w:val="nil"/>
              <w:left w:val="nil"/>
              <w:bottom w:val="nil"/>
              <w:right w:val="nil"/>
            </w:tcBorders>
            <w:shd w:val="clear" w:color="auto" w:fill="auto"/>
            <w:noWrap/>
            <w:vAlign w:val="center"/>
          </w:tcPr>
          <w:p w14:paraId="5374CC10">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7F1A32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0.267</w:t>
            </w:r>
          </w:p>
        </w:tc>
        <w:tc>
          <w:tcPr>
            <w:tcW w:w="1036" w:type="pct"/>
            <w:tcBorders>
              <w:top w:val="nil"/>
              <w:left w:val="nil"/>
              <w:bottom w:val="nil"/>
              <w:right w:val="nil"/>
            </w:tcBorders>
            <w:shd w:val="clear" w:color="auto" w:fill="auto"/>
            <w:noWrap/>
            <w:vAlign w:val="center"/>
          </w:tcPr>
          <w:p w14:paraId="4B76BB1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1.189 (0.876~1.614)</w:t>
            </w:r>
          </w:p>
        </w:tc>
      </w:tr>
      <w:tr w14:paraId="67A96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437068C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WTI</w:t>
            </w:r>
          </w:p>
        </w:tc>
        <w:tc>
          <w:tcPr>
            <w:tcW w:w="321" w:type="pct"/>
            <w:tcBorders>
              <w:top w:val="nil"/>
              <w:left w:val="nil"/>
              <w:bottom w:val="nil"/>
              <w:right w:val="nil"/>
            </w:tcBorders>
            <w:shd w:val="clear" w:color="auto" w:fill="auto"/>
            <w:noWrap/>
            <w:vAlign w:val="center"/>
          </w:tcPr>
          <w:p w14:paraId="71CFA31B">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5AD8B981">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1F5A4D24">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FF31CB2">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20135E0B">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0A076756">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B479A81">
            <w:pPr>
              <w:jc w:val="left"/>
              <w:rPr>
                <w:rFonts w:hint="default" w:ascii="Times New Roman" w:hAnsi="Times New Roman" w:eastAsia="宋体" w:cs="Times New Roman"/>
                <w:b w:val="0"/>
                <w:bCs w:val="0"/>
                <w:i w:val="0"/>
                <w:iCs w:val="0"/>
                <w:color w:val="auto"/>
                <w:sz w:val="22"/>
                <w:szCs w:val="22"/>
                <w:u w:val="none"/>
              </w:rPr>
            </w:pPr>
          </w:p>
        </w:tc>
        <w:tc>
          <w:tcPr>
            <w:tcW w:w="1036" w:type="pct"/>
            <w:tcBorders>
              <w:top w:val="nil"/>
              <w:left w:val="nil"/>
              <w:bottom w:val="nil"/>
              <w:right w:val="nil"/>
            </w:tcBorders>
            <w:shd w:val="clear" w:color="auto" w:fill="auto"/>
            <w:noWrap/>
            <w:vAlign w:val="center"/>
          </w:tcPr>
          <w:p w14:paraId="2EE9A9CA">
            <w:pPr>
              <w:jc w:val="left"/>
              <w:rPr>
                <w:rFonts w:hint="default" w:ascii="Times New Roman" w:hAnsi="Times New Roman" w:eastAsia="宋体" w:cs="Times New Roman"/>
                <w:b w:val="0"/>
                <w:bCs w:val="0"/>
                <w:i w:val="0"/>
                <w:iCs w:val="0"/>
                <w:color w:val="auto"/>
                <w:sz w:val="22"/>
                <w:szCs w:val="22"/>
                <w:u w:val="none"/>
              </w:rPr>
            </w:pPr>
          </w:p>
        </w:tc>
      </w:tr>
      <w:tr w14:paraId="1594E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BDD1BC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Q1 (&lt;90.00)</w:t>
            </w:r>
          </w:p>
        </w:tc>
        <w:tc>
          <w:tcPr>
            <w:tcW w:w="321" w:type="pct"/>
            <w:tcBorders>
              <w:top w:val="nil"/>
              <w:left w:val="nil"/>
              <w:bottom w:val="nil"/>
              <w:right w:val="nil"/>
            </w:tcBorders>
            <w:shd w:val="clear" w:color="auto" w:fill="auto"/>
            <w:noWrap/>
            <w:vAlign w:val="center"/>
          </w:tcPr>
          <w:p w14:paraId="38AF9F2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3A3E0A4A">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11CF7A58">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170BE7A">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08EF5524">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06C91E10">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D2BFAC4">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36" w:type="pct"/>
            <w:tcBorders>
              <w:top w:val="nil"/>
              <w:left w:val="nil"/>
              <w:bottom w:val="nil"/>
              <w:right w:val="nil"/>
            </w:tcBorders>
            <w:shd w:val="clear" w:color="auto" w:fill="auto"/>
            <w:noWrap/>
            <w:vAlign w:val="center"/>
          </w:tcPr>
          <w:p w14:paraId="0F9D3132">
            <w:pPr>
              <w:jc w:val="left"/>
              <w:rPr>
                <w:rFonts w:hint="default" w:ascii="Times New Roman" w:hAnsi="Times New Roman" w:eastAsia="宋体" w:cs="Times New Roman"/>
                <w:b w:val="0"/>
                <w:bCs w:val="0"/>
                <w:i w:val="0"/>
                <w:iCs w:val="0"/>
                <w:color w:val="auto"/>
                <w:sz w:val="22"/>
                <w:szCs w:val="22"/>
                <w:u w:val="none"/>
              </w:rPr>
            </w:pPr>
          </w:p>
        </w:tc>
      </w:tr>
      <w:tr w14:paraId="5C277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7345673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Q2 (90.00~)</w:t>
            </w:r>
          </w:p>
        </w:tc>
        <w:tc>
          <w:tcPr>
            <w:tcW w:w="321" w:type="pct"/>
            <w:tcBorders>
              <w:top w:val="nil"/>
              <w:left w:val="nil"/>
              <w:bottom w:val="nil"/>
              <w:right w:val="nil"/>
            </w:tcBorders>
            <w:shd w:val="clear" w:color="auto" w:fill="auto"/>
            <w:noWrap/>
            <w:vAlign w:val="center"/>
          </w:tcPr>
          <w:p w14:paraId="1EF6B4D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0.432</w:t>
            </w:r>
          </w:p>
        </w:tc>
        <w:tc>
          <w:tcPr>
            <w:tcW w:w="1026" w:type="pct"/>
            <w:tcBorders>
              <w:top w:val="nil"/>
              <w:left w:val="nil"/>
              <w:bottom w:val="nil"/>
              <w:right w:val="nil"/>
            </w:tcBorders>
            <w:shd w:val="clear" w:color="auto" w:fill="auto"/>
            <w:noWrap/>
            <w:vAlign w:val="center"/>
          </w:tcPr>
          <w:p w14:paraId="33EC015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1.051 (0.929~1.189)</w:t>
            </w:r>
          </w:p>
        </w:tc>
        <w:tc>
          <w:tcPr>
            <w:tcW w:w="99" w:type="pct"/>
            <w:tcBorders>
              <w:top w:val="nil"/>
              <w:left w:val="nil"/>
              <w:bottom w:val="nil"/>
              <w:right w:val="nil"/>
            </w:tcBorders>
            <w:shd w:val="clear" w:color="auto" w:fill="auto"/>
            <w:noWrap/>
            <w:vAlign w:val="center"/>
          </w:tcPr>
          <w:p w14:paraId="7DFB7AEB">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5906F9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0.193</w:t>
            </w:r>
          </w:p>
        </w:tc>
        <w:tc>
          <w:tcPr>
            <w:tcW w:w="1026" w:type="pct"/>
            <w:tcBorders>
              <w:top w:val="nil"/>
              <w:left w:val="nil"/>
              <w:bottom w:val="nil"/>
              <w:right w:val="nil"/>
            </w:tcBorders>
            <w:shd w:val="clear" w:color="auto" w:fill="auto"/>
            <w:noWrap/>
            <w:vAlign w:val="center"/>
          </w:tcPr>
          <w:p w14:paraId="4DAA919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0.741 (0.472~1.163)</w:t>
            </w:r>
          </w:p>
        </w:tc>
        <w:tc>
          <w:tcPr>
            <w:tcW w:w="99" w:type="pct"/>
            <w:tcBorders>
              <w:top w:val="nil"/>
              <w:left w:val="nil"/>
              <w:bottom w:val="nil"/>
              <w:right w:val="nil"/>
            </w:tcBorders>
            <w:shd w:val="clear" w:color="auto" w:fill="auto"/>
            <w:noWrap/>
            <w:vAlign w:val="center"/>
          </w:tcPr>
          <w:p w14:paraId="7B61A32E">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6AB630A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0.122</w:t>
            </w:r>
          </w:p>
        </w:tc>
        <w:tc>
          <w:tcPr>
            <w:tcW w:w="1036" w:type="pct"/>
            <w:tcBorders>
              <w:top w:val="nil"/>
              <w:left w:val="nil"/>
              <w:bottom w:val="nil"/>
              <w:right w:val="nil"/>
            </w:tcBorders>
            <w:shd w:val="clear" w:color="auto" w:fill="auto"/>
            <w:noWrap/>
            <w:vAlign w:val="center"/>
          </w:tcPr>
          <w:p w14:paraId="7CC76EA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2.084 (0.822~5.285)</w:t>
            </w:r>
          </w:p>
        </w:tc>
      </w:tr>
      <w:tr w14:paraId="528CD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0A76BCD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Q3 (135.68~)</w:t>
            </w:r>
          </w:p>
        </w:tc>
        <w:tc>
          <w:tcPr>
            <w:tcW w:w="321" w:type="pct"/>
            <w:tcBorders>
              <w:top w:val="nil"/>
              <w:left w:val="nil"/>
              <w:bottom w:val="nil"/>
              <w:right w:val="nil"/>
            </w:tcBorders>
            <w:shd w:val="clear" w:color="auto" w:fill="auto"/>
            <w:noWrap/>
            <w:vAlign w:val="center"/>
          </w:tcPr>
          <w:p w14:paraId="262D516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0.913</w:t>
            </w:r>
          </w:p>
        </w:tc>
        <w:tc>
          <w:tcPr>
            <w:tcW w:w="1026" w:type="pct"/>
            <w:tcBorders>
              <w:top w:val="nil"/>
              <w:left w:val="nil"/>
              <w:bottom w:val="nil"/>
              <w:right w:val="nil"/>
            </w:tcBorders>
            <w:shd w:val="clear" w:color="auto" w:fill="auto"/>
            <w:noWrap/>
            <w:vAlign w:val="center"/>
          </w:tcPr>
          <w:p w14:paraId="3E4E785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1.007 (0.889~1.141)</w:t>
            </w:r>
          </w:p>
        </w:tc>
        <w:tc>
          <w:tcPr>
            <w:tcW w:w="99" w:type="pct"/>
            <w:tcBorders>
              <w:top w:val="nil"/>
              <w:left w:val="nil"/>
              <w:bottom w:val="nil"/>
              <w:right w:val="nil"/>
            </w:tcBorders>
            <w:shd w:val="clear" w:color="auto" w:fill="auto"/>
            <w:noWrap/>
            <w:vAlign w:val="center"/>
          </w:tcPr>
          <w:p w14:paraId="25EDCDE3">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68D7DD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0.828</w:t>
            </w:r>
          </w:p>
        </w:tc>
        <w:tc>
          <w:tcPr>
            <w:tcW w:w="1026" w:type="pct"/>
            <w:tcBorders>
              <w:top w:val="nil"/>
              <w:left w:val="nil"/>
              <w:bottom w:val="nil"/>
              <w:right w:val="nil"/>
            </w:tcBorders>
            <w:shd w:val="clear" w:color="auto" w:fill="auto"/>
            <w:noWrap/>
            <w:vAlign w:val="center"/>
          </w:tcPr>
          <w:p w14:paraId="4BF4425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0.955 (0.628~1.451)</w:t>
            </w:r>
          </w:p>
        </w:tc>
        <w:tc>
          <w:tcPr>
            <w:tcW w:w="99" w:type="pct"/>
            <w:tcBorders>
              <w:top w:val="nil"/>
              <w:left w:val="nil"/>
              <w:bottom w:val="nil"/>
              <w:right w:val="nil"/>
            </w:tcBorders>
            <w:shd w:val="clear" w:color="auto" w:fill="auto"/>
            <w:noWrap/>
            <w:vAlign w:val="center"/>
          </w:tcPr>
          <w:p w14:paraId="24EACCBB">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676DCC9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0.224</w:t>
            </w:r>
          </w:p>
        </w:tc>
        <w:tc>
          <w:tcPr>
            <w:tcW w:w="1036" w:type="pct"/>
            <w:tcBorders>
              <w:top w:val="nil"/>
              <w:left w:val="nil"/>
              <w:bottom w:val="nil"/>
              <w:right w:val="nil"/>
            </w:tcBorders>
            <w:shd w:val="clear" w:color="auto" w:fill="auto"/>
            <w:noWrap/>
            <w:vAlign w:val="center"/>
          </w:tcPr>
          <w:p w14:paraId="7542986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1.801 (0.698~4.642)</w:t>
            </w:r>
          </w:p>
        </w:tc>
      </w:tr>
      <w:tr w14:paraId="2DCD4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707608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Q4 (≥205.04)</w:t>
            </w:r>
          </w:p>
        </w:tc>
        <w:tc>
          <w:tcPr>
            <w:tcW w:w="321" w:type="pct"/>
            <w:tcBorders>
              <w:top w:val="nil"/>
              <w:left w:val="nil"/>
              <w:bottom w:val="nil"/>
              <w:right w:val="nil"/>
            </w:tcBorders>
            <w:shd w:val="clear" w:color="auto" w:fill="auto"/>
            <w:noWrap/>
            <w:vAlign w:val="center"/>
          </w:tcPr>
          <w:p w14:paraId="46E5F38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0.389</w:t>
            </w:r>
          </w:p>
        </w:tc>
        <w:tc>
          <w:tcPr>
            <w:tcW w:w="1026" w:type="pct"/>
            <w:tcBorders>
              <w:top w:val="nil"/>
              <w:left w:val="nil"/>
              <w:bottom w:val="nil"/>
              <w:right w:val="nil"/>
            </w:tcBorders>
            <w:shd w:val="clear" w:color="auto" w:fill="auto"/>
            <w:noWrap/>
            <w:vAlign w:val="center"/>
          </w:tcPr>
          <w:p w14:paraId="1671913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0.946 (0.833~1.074)</w:t>
            </w:r>
          </w:p>
        </w:tc>
        <w:tc>
          <w:tcPr>
            <w:tcW w:w="99" w:type="pct"/>
            <w:tcBorders>
              <w:top w:val="nil"/>
              <w:left w:val="nil"/>
              <w:bottom w:val="nil"/>
              <w:right w:val="nil"/>
            </w:tcBorders>
            <w:shd w:val="clear" w:color="auto" w:fill="auto"/>
            <w:noWrap/>
            <w:vAlign w:val="center"/>
          </w:tcPr>
          <w:p w14:paraId="321D7A6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762020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0.933</w:t>
            </w:r>
          </w:p>
        </w:tc>
        <w:tc>
          <w:tcPr>
            <w:tcW w:w="1026" w:type="pct"/>
            <w:tcBorders>
              <w:top w:val="nil"/>
              <w:left w:val="nil"/>
              <w:bottom w:val="nil"/>
              <w:right w:val="nil"/>
            </w:tcBorders>
            <w:shd w:val="clear" w:color="auto" w:fill="auto"/>
            <w:noWrap/>
            <w:vAlign w:val="center"/>
          </w:tcPr>
          <w:p w14:paraId="6BFBF6C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1.018 (0.668~1.553)</w:t>
            </w:r>
          </w:p>
        </w:tc>
        <w:tc>
          <w:tcPr>
            <w:tcW w:w="99" w:type="pct"/>
            <w:tcBorders>
              <w:top w:val="nil"/>
              <w:left w:val="nil"/>
              <w:bottom w:val="nil"/>
              <w:right w:val="nil"/>
            </w:tcBorders>
            <w:shd w:val="clear" w:color="auto" w:fill="auto"/>
            <w:noWrap/>
            <w:vAlign w:val="center"/>
          </w:tcPr>
          <w:p w14:paraId="7712A4D6">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AFB751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0.528</w:t>
            </w:r>
          </w:p>
        </w:tc>
        <w:tc>
          <w:tcPr>
            <w:tcW w:w="1036" w:type="pct"/>
            <w:tcBorders>
              <w:top w:val="nil"/>
              <w:left w:val="nil"/>
              <w:bottom w:val="nil"/>
              <w:right w:val="nil"/>
            </w:tcBorders>
            <w:shd w:val="clear" w:color="auto" w:fill="auto"/>
            <w:noWrap/>
            <w:vAlign w:val="center"/>
          </w:tcPr>
          <w:p w14:paraId="2E5D403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1.384 (0.504~3.796)</w:t>
            </w:r>
          </w:p>
        </w:tc>
      </w:tr>
      <w:tr w14:paraId="737AA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06E7B9D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WTI z-score</w:t>
            </w:r>
          </w:p>
        </w:tc>
        <w:tc>
          <w:tcPr>
            <w:tcW w:w="321" w:type="pct"/>
            <w:tcBorders>
              <w:top w:val="nil"/>
              <w:left w:val="nil"/>
              <w:bottom w:val="nil"/>
              <w:right w:val="nil"/>
            </w:tcBorders>
            <w:shd w:val="clear" w:color="auto" w:fill="auto"/>
            <w:noWrap/>
            <w:vAlign w:val="center"/>
          </w:tcPr>
          <w:p w14:paraId="6191149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0.062</w:t>
            </w:r>
          </w:p>
        </w:tc>
        <w:tc>
          <w:tcPr>
            <w:tcW w:w="1026" w:type="pct"/>
            <w:tcBorders>
              <w:top w:val="nil"/>
              <w:left w:val="nil"/>
              <w:bottom w:val="nil"/>
              <w:right w:val="nil"/>
            </w:tcBorders>
            <w:shd w:val="clear" w:color="auto" w:fill="auto"/>
            <w:noWrap/>
            <w:vAlign w:val="center"/>
          </w:tcPr>
          <w:p w14:paraId="3CB9B12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0.957 (0.913~1.002)</w:t>
            </w:r>
          </w:p>
        </w:tc>
        <w:tc>
          <w:tcPr>
            <w:tcW w:w="99" w:type="pct"/>
            <w:tcBorders>
              <w:top w:val="nil"/>
              <w:left w:val="nil"/>
              <w:bottom w:val="nil"/>
              <w:right w:val="nil"/>
            </w:tcBorders>
            <w:shd w:val="clear" w:color="auto" w:fill="auto"/>
            <w:noWrap/>
            <w:vAlign w:val="center"/>
          </w:tcPr>
          <w:p w14:paraId="46CEF7BA">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4FF1BE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0.772</w:t>
            </w:r>
          </w:p>
        </w:tc>
        <w:tc>
          <w:tcPr>
            <w:tcW w:w="1026" w:type="pct"/>
            <w:tcBorders>
              <w:top w:val="nil"/>
              <w:left w:val="nil"/>
              <w:bottom w:val="nil"/>
              <w:right w:val="nil"/>
            </w:tcBorders>
            <w:shd w:val="clear" w:color="auto" w:fill="auto"/>
            <w:noWrap/>
            <w:vAlign w:val="center"/>
          </w:tcPr>
          <w:p w14:paraId="0D21C7C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1.022 (0.882~1.185)</w:t>
            </w:r>
          </w:p>
        </w:tc>
        <w:tc>
          <w:tcPr>
            <w:tcW w:w="99" w:type="pct"/>
            <w:tcBorders>
              <w:top w:val="nil"/>
              <w:left w:val="nil"/>
              <w:bottom w:val="nil"/>
              <w:right w:val="nil"/>
            </w:tcBorders>
            <w:shd w:val="clear" w:color="auto" w:fill="auto"/>
            <w:noWrap/>
            <w:vAlign w:val="center"/>
          </w:tcPr>
          <w:p w14:paraId="5EC14CA2">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AFF1CD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0.930</w:t>
            </w:r>
          </w:p>
        </w:tc>
        <w:tc>
          <w:tcPr>
            <w:tcW w:w="1036" w:type="pct"/>
            <w:tcBorders>
              <w:top w:val="nil"/>
              <w:left w:val="nil"/>
              <w:bottom w:val="nil"/>
              <w:right w:val="nil"/>
            </w:tcBorders>
            <w:shd w:val="clear" w:color="auto" w:fill="auto"/>
            <w:noWrap/>
            <w:vAlign w:val="center"/>
          </w:tcPr>
          <w:p w14:paraId="0088934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0.987 (0.740~1.316)</w:t>
            </w:r>
          </w:p>
        </w:tc>
      </w:tr>
      <w:tr w14:paraId="5E347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34A26AF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CMI</w:t>
            </w:r>
          </w:p>
        </w:tc>
        <w:tc>
          <w:tcPr>
            <w:tcW w:w="321" w:type="pct"/>
            <w:tcBorders>
              <w:top w:val="nil"/>
              <w:left w:val="nil"/>
              <w:bottom w:val="nil"/>
              <w:right w:val="nil"/>
            </w:tcBorders>
            <w:shd w:val="clear" w:color="auto" w:fill="auto"/>
            <w:noWrap/>
            <w:vAlign w:val="center"/>
          </w:tcPr>
          <w:p w14:paraId="69CAB9F5">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0AB66C8A">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47F7D46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0C7F825A">
            <w:pPr>
              <w:jc w:val="left"/>
              <w:rPr>
                <w:rFonts w:hint="default" w:ascii="Times New Roman" w:hAnsi="Times New Roman" w:eastAsia="宋体" w:cs="Times New Roman"/>
                <w:b w:val="0"/>
                <w:bCs w:val="0"/>
                <w:i w:val="0"/>
                <w:iCs w:val="0"/>
                <w:color w:val="auto"/>
                <w:sz w:val="22"/>
                <w:szCs w:val="22"/>
                <w:u w:val="none"/>
              </w:rPr>
            </w:pPr>
          </w:p>
        </w:tc>
        <w:tc>
          <w:tcPr>
            <w:tcW w:w="1026" w:type="pct"/>
            <w:tcBorders>
              <w:top w:val="nil"/>
              <w:left w:val="nil"/>
              <w:bottom w:val="nil"/>
              <w:right w:val="nil"/>
            </w:tcBorders>
            <w:shd w:val="clear" w:color="auto" w:fill="auto"/>
            <w:noWrap/>
            <w:vAlign w:val="center"/>
          </w:tcPr>
          <w:p w14:paraId="55401D7E">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0AE9ADAC">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33C14E27">
            <w:pPr>
              <w:jc w:val="left"/>
              <w:rPr>
                <w:rFonts w:hint="default" w:ascii="Times New Roman" w:hAnsi="Times New Roman" w:eastAsia="宋体" w:cs="Times New Roman"/>
                <w:b w:val="0"/>
                <w:bCs w:val="0"/>
                <w:i w:val="0"/>
                <w:iCs w:val="0"/>
                <w:color w:val="auto"/>
                <w:sz w:val="22"/>
                <w:szCs w:val="22"/>
                <w:u w:val="none"/>
              </w:rPr>
            </w:pPr>
          </w:p>
        </w:tc>
        <w:tc>
          <w:tcPr>
            <w:tcW w:w="1036" w:type="pct"/>
            <w:tcBorders>
              <w:top w:val="nil"/>
              <w:left w:val="nil"/>
              <w:bottom w:val="nil"/>
              <w:right w:val="nil"/>
            </w:tcBorders>
            <w:shd w:val="clear" w:color="auto" w:fill="auto"/>
            <w:noWrap/>
            <w:vAlign w:val="center"/>
          </w:tcPr>
          <w:p w14:paraId="497ECD00">
            <w:pPr>
              <w:jc w:val="left"/>
              <w:rPr>
                <w:rFonts w:hint="default" w:ascii="Times New Roman" w:hAnsi="Times New Roman" w:eastAsia="宋体" w:cs="Times New Roman"/>
                <w:b w:val="0"/>
                <w:bCs w:val="0"/>
                <w:i w:val="0"/>
                <w:iCs w:val="0"/>
                <w:color w:val="auto"/>
                <w:sz w:val="22"/>
                <w:szCs w:val="22"/>
                <w:u w:val="none"/>
              </w:rPr>
            </w:pPr>
          </w:p>
        </w:tc>
      </w:tr>
      <w:tr w14:paraId="0315A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2BD7973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Q1 (&lt;0.38)</w:t>
            </w:r>
          </w:p>
        </w:tc>
        <w:tc>
          <w:tcPr>
            <w:tcW w:w="321" w:type="pct"/>
            <w:tcBorders>
              <w:top w:val="nil"/>
              <w:left w:val="nil"/>
              <w:bottom w:val="nil"/>
              <w:right w:val="nil"/>
            </w:tcBorders>
            <w:shd w:val="clear" w:color="auto" w:fill="auto"/>
            <w:noWrap/>
            <w:vAlign w:val="center"/>
          </w:tcPr>
          <w:p w14:paraId="2C89529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02B407AC">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3AACBF9F">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86F79D4">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26" w:type="pct"/>
            <w:tcBorders>
              <w:top w:val="nil"/>
              <w:left w:val="nil"/>
              <w:bottom w:val="nil"/>
              <w:right w:val="nil"/>
            </w:tcBorders>
            <w:shd w:val="clear" w:color="auto" w:fill="auto"/>
            <w:noWrap/>
            <w:vAlign w:val="center"/>
          </w:tcPr>
          <w:p w14:paraId="66A1ADE3">
            <w:pPr>
              <w:jc w:val="left"/>
              <w:rPr>
                <w:rFonts w:hint="default" w:ascii="Times New Roman" w:hAnsi="Times New Roman" w:eastAsia="宋体" w:cs="Times New Roman"/>
                <w:b w:val="0"/>
                <w:bCs w:val="0"/>
                <w:i w:val="0"/>
                <w:iCs w:val="0"/>
                <w:color w:val="auto"/>
                <w:sz w:val="22"/>
                <w:szCs w:val="22"/>
                <w:u w:val="none"/>
              </w:rPr>
            </w:pPr>
          </w:p>
        </w:tc>
        <w:tc>
          <w:tcPr>
            <w:tcW w:w="99" w:type="pct"/>
            <w:tcBorders>
              <w:top w:val="nil"/>
              <w:left w:val="nil"/>
              <w:bottom w:val="nil"/>
              <w:right w:val="nil"/>
            </w:tcBorders>
            <w:shd w:val="clear" w:color="auto" w:fill="auto"/>
            <w:noWrap/>
            <w:vAlign w:val="center"/>
          </w:tcPr>
          <w:p w14:paraId="69B4CE9D">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C650387">
            <w:pPr>
              <w:jc w:val="left"/>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1.000</w:t>
            </w:r>
          </w:p>
        </w:tc>
        <w:tc>
          <w:tcPr>
            <w:tcW w:w="1036" w:type="pct"/>
            <w:tcBorders>
              <w:top w:val="nil"/>
              <w:left w:val="nil"/>
              <w:bottom w:val="nil"/>
              <w:right w:val="nil"/>
            </w:tcBorders>
            <w:shd w:val="clear" w:color="auto" w:fill="auto"/>
            <w:noWrap/>
            <w:vAlign w:val="center"/>
          </w:tcPr>
          <w:p w14:paraId="59045CDB">
            <w:pPr>
              <w:jc w:val="left"/>
              <w:rPr>
                <w:rFonts w:hint="default" w:ascii="Times New Roman" w:hAnsi="Times New Roman" w:eastAsia="宋体" w:cs="Times New Roman"/>
                <w:b w:val="0"/>
                <w:bCs w:val="0"/>
                <w:i w:val="0"/>
                <w:iCs w:val="0"/>
                <w:color w:val="auto"/>
                <w:sz w:val="22"/>
                <w:szCs w:val="22"/>
                <w:u w:val="none"/>
              </w:rPr>
            </w:pPr>
          </w:p>
        </w:tc>
      </w:tr>
      <w:tr w14:paraId="50178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39322B0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Q2 (0.38~)</w:t>
            </w:r>
          </w:p>
        </w:tc>
        <w:tc>
          <w:tcPr>
            <w:tcW w:w="321" w:type="pct"/>
            <w:tcBorders>
              <w:top w:val="nil"/>
              <w:left w:val="nil"/>
              <w:bottom w:val="nil"/>
              <w:right w:val="nil"/>
            </w:tcBorders>
            <w:shd w:val="clear" w:color="auto" w:fill="auto"/>
            <w:noWrap/>
            <w:vAlign w:val="center"/>
          </w:tcPr>
          <w:p w14:paraId="7DFF5DE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0.892</w:t>
            </w:r>
          </w:p>
        </w:tc>
        <w:tc>
          <w:tcPr>
            <w:tcW w:w="1026" w:type="pct"/>
            <w:tcBorders>
              <w:top w:val="nil"/>
              <w:left w:val="nil"/>
              <w:bottom w:val="nil"/>
              <w:right w:val="nil"/>
            </w:tcBorders>
            <w:shd w:val="clear" w:color="auto" w:fill="auto"/>
            <w:noWrap/>
            <w:vAlign w:val="center"/>
          </w:tcPr>
          <w:p w14:paraId="6D0F4DB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0.992 (0.876~1.122)</w:t>
            </w:r>
          </w:p>
        </w:tc>
        <w:tc>
          <w:tcPr>
            <w:tcW w:w="99" w:type="pct"/>
            <w:tcBorders>
              <w:top w:val="nil"/>
              <w:left w:val="nil"/>
              <w:bottom w:val="nil"/>
              <w:right w:val="nil"/>
            </w:tcBorders>
            <w:shd w:val="clear" w:color="auto" w:fill="auto"/>
            <w:noWrap/>
            <w:vAlign w:val="center"/>
          </w:tcPr>
          <w:p w14:paraId="6B80B899">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48291F5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0.561</w:t>
            </w:r>
          </w:p>
        </w:tc>
        <w:tc>
          <w:tcPr>
            <w:tcW w:w="1026" w:type="pct"/>
            <w:tcBorders>
              <w:top w:val="nil"/>
              <w:left w:val="nil"/>
              <w:bottom w:val="nil"/>
              <w:right w:val="nil"/>
            </w:tcBorders>
            <w:shd w:val="clear" w:color="auto" w:fill="auto"/>
            <w:noWrap/>
            <w:vAlign w:val="center"/>
          </w:tcPr>
          <w:p w14:paraId="68EFDE4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1.131 (0.746~1.715)</w:t>
            </w:r>
          </w:p>
        </w:tc>
        <w:tc>
          <w:tcPr>
            <w:tcW w:w="99" w:type="pct"/>
            <w:tcBorders>
              <w:top w:val="nil"/>
              <w:left w:val="nil"/>
              <w:bottom w:val="nil"/>
              <w:right w:val="nil"/>
            </w:tcBorders>
            <w:shd w:val="clear" w:color="auto" w:fill="auto"/>
            <w:noWrap/>
            <w:vAlign w:val="center"/>
          </w:tcPr>
          <w:p w14:paraId="4269C942">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175A0CA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0.081</w:t>
            </w:r>
          </w:p>
        </w:tc>
        <w:tc>
          <w:tcPr>
            <w:tcW w:w="1036" w:type="pct"/>
            <w:tcBorders>
              <w:top w:val="nil"/>
              <w:left w:val="nil"/>
              <w:bottom w:val="nil"/>
              <w:right w:val="nil"/>
            </w:tcBorders>
            <w:shd w:val="clear" w:color="auto" w:fill="auto"/>
            <w:noWrap/>
            <w:vAlign w:val="center"/>
          </w:tcPr>
          <w:p w14:paraId="64B79FF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2.591 (0.890~7.539)</w:t>
            </w:r>
          </w:p>
        </w:tc>
      </w:tr>
      <w:tr w14:paraId="6299C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5A80050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Q3 (0.62~)</w:t>
            </w:r>
          </w:p>
        </w:tc>
        <w:tc>
          <w:tcPr>
            <w:tcW w:w="321" w:type="pct"/>
            <w:tcBorders>
              <w:top w:val="nil"/>
              <w:left w:val="nil"/>
              <w:bottom w:val="nil"/>
              <w:right w:val="nil"/>
            </w:tcBorders>
            <w:shd w:val="clear" w:color="auto" w:fill="auto"/>
            <w:noWrap/>
            <w:vAlign w:val="center"/>
          </w:tcPr>
          <w:p w14:paraId="4CD647A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0.327</w:t>
            </w:r>
          </w:p>
        </w:tc>
        <w:tc>
          <w:tcPr>
            <w:tcW w:w="1026" w:type="pct"/>
            <w:tcBorders>
              <w:top w:val="nil"/>
              <w:left w:val="nil"/>
              <w:bottom w:val="nil"/>
              <w:right w:val="nil"/>
            </w:tcBorders>
            <w:shd w:val="clear" w:color="auto" w:fill="auto"/>
            <w:noWrap/>
            <w:vAlign w:val="center"/>
          </w:tcPr>
          <w:p w14:paraId="23F060F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0.940 (0.830~1.064)</w:t>
            </w:r>
          </w:p>
        </w:tc>
        <w:tc>
          <w:tcPr>
            <w:tcW w:w="99" w:type="pct"/>
            <w:tcBorders>
              <w:top w:val="nil"/>
              <w:left w:val="nil"/>
              <w:bottom w:val="nil"/>
              <w:right w:val="nil"/>
            </w:tcBorders>
            <w:shd w:val="clear" w:color="auto" w:fill="auto"/>
            <w:noWrap/>
            <w:vAlign w:val="center"/>
          </w:tcPr>
          <w:p w14:paraId="2286586C">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BB5A64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0.234</w:t>
            </w:r>
          </w:p>
        </w:tc>
        <w:tc>
          <w:tcPr>
            <w:tcW w:w="1026" w:type="pct"/>
            <w:tcBorders>
              <w:top w:val="nil"/>
              <w:left w:val="nil"/>
              <w:bottom w:val="nil"/>
              <w:right w:val="nil"/>
            </w:tcBorders>
            <w:shd w:val="clear" w:color="auto" w:fill="auto"/>
            <w:noWrap/>
            <w:vAlign w:val="center"/>
          </w:tcPr>
          <w:p w14:paraId="6937E21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0.758 (0.480~1.196)</w:t>
            </w:r>
          </w:p>
        </w:tc>
        <w:tc>
          <w:tcPr>
            <w:tcW w:w="99" w:type="pct"/>
            <w:tcBorders>
              <w:top w:val="nil"/>
              <w:left w:val="nil"/>
              <w:bottom w:val="nil"/>
              <w:right w:val="nil"/>
            </w:tcBorders>
            <w:shd w:val="clear" w:color="auto" w:fill="auto"/>
            <w:noWrap/>
            <w:vAlign w:val="center"/>
          </w:tcPr>
          <w:p w14:paraId="6EE3100B">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7A4DF57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0.088</w:t>
            </w:r>
          </w:p>
        </w:tc>
        <w:tc>
          <w:tcPr>
            <w:tcW w:w="1036" w:type="pct"/>
            <w:tcBorders>
              <w:top w:val="nil"/>
              <w:left w:val="nil"/>
              <w:bottom w:val="nil"/>
              <w:right w:val="nil"/>
            </w:tcBorders>
            <w:shd w:val="clear" w:color="auto" w:fill="auto"/>
            <w:noWrap/>
            <w:vAlign w:val="center"/>
          </w:tcPr>
          <w:p w14:paraId="5465464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2.544 (0.871~7.430)</w:t>
            </w:r>
          </w:p>
        </w:tc>
      </w:tr>
      <w:tr w14:paraId="348C9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47" w:type="pct"/>
            <w:tcBorders>
              <w:top w:val="nil"/>
              <w:left w:val="nil"/>
              <w:bottom w:val="nil"/>
              <w:right w:val="nil"/>
            </w:tcBorders>
            <w:shd w:val="clear" w:color="auto" w:fill="auto"/>
            <w:noWrap/>
            <w:vAlign w:val="center"/>
          </w:tcPr>
          <w:p w14:paraId="2158FD8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Q4 (≥1.03)</w:t>
            </w:r>
          </w:p>
        </w:tc>
        <w:tc>
          <w:tcPr>
            <w:tcW w:w="321" w:type="pct"/>
            <w:tcBorders>
              <w:top w:val="nil"/>
              <w:left w:val="nil"/>
              <w:bottom w:val="nil"/>
              <w:right w:val="nil"/>
            </w:tcBorders>
            <w:shd w:val="clear" w:color="auto" w:fill="auto"/>
            <w:noWrap/>
            <w:vAlign w:val="center"/>
          </w:tcPr>
          <w:p w14:paraId="46839A3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0.171</w:t>
            </w:r>
          </w:p>
        </w:tc>
        <w:tc>
          <w:tcPr>
            <w:tcW w:w="1026" w:type="pct"/>
            <w:tcBorders>
              <w:top w:val="nil"/>
              <w:left w:val="nil"/>
              <w:bottom w:val="nil"/>
              <w:right w:val="nil"/>
            </w:tcBorders>
            <w:shd w:val="clear" w:color="auto" w:fill="auto"/>
            <w:noWrap/>
            <w:vAlign w:val="center"/>
          </w:tcPr>
          <w:p w14:paraId="30B9D36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0.915 (0.806~1.039)</w:t>
            </w:r>
          </w:p>
        </w:tc>
        <w:tc>
          <w:tcPr>
            <w:tcW w:w="99" w:type="pct"/>
            <w:tcBorders>
              <w:top w:val="nil"/>
              <w:left w:val="nil"/>
              <w:bottom w:val="nil"/>
              <w:right w:val="nil"/>
            </w:tcBorders>
            <w:shd w:val="clear" w:color="auto" w:fill="auto"/>
            <w:noWrap/>
            <w:vAlign w:val="center"/>
          </w:tcPr>
          <w:p w14:paraId="6C8D2BE7">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277D3D9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0.855</w:t>
            </w:r>
          </w:p>
        </w:tc>
        <w:tc>
          <w:tcPr>
            <w:tcW w:w="1026" w:type="pct"/>
            <w:tcBorders>
              <w:top w:val="nil"/>
              <w:left w:val="nil"/>
              <w:bottom w:val="nil"/>
              <w:right w:val="nil"/>
            </w:tcBorders>
            <w:shd w:val="clear" w:color="auto" w:fill="auto"/>
            <w:noWrap/>
            <w:vAlign w:val="center"/>
          </w:tcPr>
          <w:p w14:paraId="658CFD3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1.041 (0.677~1.600)</w:t>
            </w:r>
          </w:p>
        </w:tc>
        <w:tc>
          <w:tcPr>
            <w:tcW w:w="99" w:type="pct"/>
            <w:tcBorders>
              <w:top w:val="nil"/>
              <w:left w:val="nil"/>
              <w:bottom w:val="nil"/>
              <w:right w:val="nil"/>
            </w:tcBorders>
            <w:shd w:val="clear" w:color="auto" w:fill="auto"/>
            <w:noWrap/>
            <w:vAlign w:val="center"/>
          </w:tcPr>
          <w:p w14:paraId="34E86665">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nil"/>
              <w:right w:val="nil"/>
            </w:tcBorders>
            <w:shd w:val="clear" w:color="auto" w:fill="auto"/>
            <w:noWrap/>
            <w:vAlign w:val="center"/>
          </w:tcPr>
          <w:p w14:paraId="5275A99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0.028</w:t>
            </w:r>
          </w:p>
        </w:tc>
        <w:tc>
          <w:tcPr>
            <w:tcW w:w="1036" w:type="pct"/>
            <w:tcBorders>
              <w:top w:val="nil"/>
              <w:left w:val="nil"/>
              <w:bottom w:val="nil"/>
              <w:right w:val="nil"/>
            </w:tcBorders>
            <w:shd w:val="clear" w:color="auto" w:fill="auto"/>
            <w:noWrap/>
            <w:vAlign w:val="center"/>
          </w:tcPr>
          <w:p w14:paraId="036E852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3.262 (1.133~9.397)</w:t>
            </w:r>
          </w:p>
        </w:tc>
      </w:tr>
      <w:tr w14:paraId="1A38B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47" w:type="pct"/>
            <w:tcBorders>
              <w:top w:val="nil"/>
              <w:left w:val="nil"/>
              <w:bottom w:val="single" w:color="auto" w:sz="4" w:space="0"/>
              <w:right w:val="nil"/>
            </w:tcBorders>
            <w:shd w:val="clear" w:color="auto" w:fill="auto"/>
            <w:noWrap/>
            <w:vAlign w:val="center"/>
          </w:tcPr>
          <w:p w14:paraId="728E25A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CMI z-score</w:t>
            </w:r>
          </w:p>
        </w:tc>
        <w:tc>
          <w:tcPr>
            <w:tcW w:w="321" w:type="pct"/>
            <w:tcBorders>
              <w:top w:val="nil"/>
              <w:left w:val="nil"/>
              <w:bottom w:val="single" w:color="auto" w:sz="4" w:space="0"/>
              <w:right w:val="nil"/>
            </w:tcBorders>
            <w:shd w:val="clear" w:color="auto" w:fill="auto"/>
            <w:noWrap/>
            <w:vAlign w:val="center"/>
          </w:tcPr>
          <w:p w14:paraId="563DB1F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0.042</w:t>
            </w:r>
          </w:p>
        </w:tc>
        <w:tc>
          <w:tcPr>
            <w:tcW w:w="1026" w:type="pct"/>
            <w:tcBorders>
              <w:top w:val="nil"/>
              <w:left w:val="nil"/>
              <w:bottom w:val="single" w:color="auto" w:sz="4" w:space="0"/>
              <w:right w:val="nil"/>
            </w:tcBorders>
            <w:shd w:val="clear" w:color="auto" w:fill="auto"/>
            <w:noWrap/>
            <w:vAlign w:val="center"/>
          </w:tcPr>
          <w:p w14:paraId="377570B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0.951 (0.906~0.998)</w:t>
            </w:r>
          </w:p>
        </w:tc>
        <w:tc>
          <w:tcPr>
            <w:tcW w:w="99" w:type="pct"/>
            <w:tcBorders>
              <w:top w:val="nil"/>
              <w:left w:val="nil"/>
              <w:bottom w:val="single" w:color="auto" w:sz="4" w:space="0"/>
              <w:right w:val="nil"/>
            </w:tcBorders>
            <w:shd w:val="clear" w:color="auto" w:fill="auto"/>
            <w:noWrap/>
            <w:vAlign w:val="center"/>
          </w:tcPr>
          <w:p w14:paraId="3CCDB0E1">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single" w:color="auto" w:sz="4" w:space="0"/>
              <w:right w:val="nil"/>
            </w:tcBorders>
            <w:shd w:val="clear" w:color="auto" w:fill="auto"/>
            <w:noWrap/>
            <w:vAlign w:val="center"/>
          </w:tcPr>
          <w:p w14:paraId="101D620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0.654</w:t>
            </w:r>
          </w:p>
        </w:tc>
        <w:tc>
          <w:tcPr>
            <w:tcW w:w="1026" w:type="pct"/>
            <w:tcBorders>
              <w:top w:val="nil"/>
              <w:left w:val="nil"/>
              <w:bottom w:val="single" w:color="auto" w:sz="4" w:space="0"/>
              <w:right w:val="nil"/>
            </w:tcBorders>
            <w:shd w:val="clear" w:color="auto" w:fill="auto"/>
            <w:noWrap/>
            <w:vAlign w:val="center"/>
          </w:tcPr>
          <w:p w14:paraId="7748329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0.961 (0.808~1.144)</w:t>
            </w:r>
          </w:p>
        </w:tc>
        <w:tc>
          <w:tcPr>
            <w:tcW w:w="99" w:type="pct"/>
            <w:tcBorders>
              <w:top w:val="nil"/>
              <w:left w:val="nil"/>
              <w:bottom w:val="single" w:color="auto" w:sz="4" w:space="0"/>
              <w:right w:val="nil"/>
            </w:tcBorders>
            <w:shd w:val="clear" w:color="auto" w:fill="auto"/>
            <w:noWrap/>
            <w:vAlign w:val="center"/>
          </w:tcPr>
          <w:p w14:paraId="1F188774">
            <w:pPr>
              <w:jc w:val="left"/>
              <w:rPr>
                <w:rFonts w:hint="default" w:ascii="Times New Roman" w:hAnsi="Times New Roman" w:eastAsia="宋体" w:cs="Times New Roman"/>
                <w:b w:val="0"/>
                <w:bCs w:val="0"/>
                <w:i w:val="0"/>
                <w:iCs w:val="0"/>
                <w:color w:val="auto"/>
                <w:sz w:val="22"/>
                <w:szCs w:val="22"/>
                <w:u w:val="none"/>
              </w:rPr>
            </w:pPr>
          </w:p>
        </w:tc>
        <w:tc>
          <w:tcPr>
            <w:tcW w:w="322" w:type="pct"/>
            <w:tcBorders>
              <w:top w:val="nil"/>
              <w:left w:val="nil"/>
              <w:bottom w:val="single" w:color="auto" w:sz="4" w:space="0"/>
              <w:right w:val="nil"/>
            </w:tcBorders>
            <w:shd w:val="clear" w:color="auto" w:fill="auto"/>
            <w:noWrap/>
            <w:vAlign w:val="center"/>
          </w:tcPr>
          <w:p w14:paraId="758B00C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0.907</w:t>
            </w:r>
          </w:p>
        </w:tc>
        <w:tc>
          <w:tcPr>
            <w:tcW w:w="1036" w:type="pct"/>
            <w:tcBorders>
              <w:top w:val="nil"/>
              <w:left w:val="nil"/>
              <w:bottom w:val="single" w:color="auto" w:sz="4" w:space="0"/>
              <w:right w:val="nil"/>
            </w:tcBorders>
            <w:shd w:val="clear" w:color="auto" w:fill="auto"/>
            <w:noWrap/>
            <w:vAlign w:val="center"/>
          </w:tcPr>
          <w:p w14:paraId="5F37F76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22"/>
                <w:szCs w:val="22"/>
                <w:u w:val="none"/>
              </w:rPr>
            </w:pPr>
            <w:r>
              <w:rPr>
                <w:rFonts w:hint="default" w:ascii="Times New Roman" w:hAnsi="Times New Roman" w:eastAsia="宋体" w:cs="Times New Roman"/>
                <w:b w:val="0"/>
                <w:bCs w:val="0"/>
                <w:i w:val="0"/>
                <w:iCs w:val="0"/>
                <w:color w:val="auto"/>
                <w:kern w:val="0"/>
                <w:sz w:val="22"/>
                <w:szCs w:val="22"/>
                <w:u w:val="none"/>
                <w:lang w:val="en-US" w:eastAsia="zh-CN" w:bidi="ar"/>
              </w:rPr>
              <w:t>1.013 (0.816~1.257)</w:t>
            </w:r>
          </w:p>
        </w:tc>
      </w:tr>
    </w:tbl>
    <w:p w14:paraId="1408361F">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r>
        <w:rPr>
          <w:rFonts w:hint="eastAsia" w:ascii="Times New Roman" w:hAnsi="Times New Roman" w:eastAsia="宋体" w:cs="Times New Roman"/>
          <w:i w:val="0"/>
          <w:iCs w:val="0"/>
          <w:color w:val="auto"/>
          <w:kern w:val="0"/>
          <w:sz w:val="22"/>
          <w:szCs w:val="22"/>
          <w:u w:val="none"/>
          <w:vertAlign w:val="baseline"/>
          <w:lang w:val="en-US" w:eastAsia="zh-CN" w:bidi="ar"/>
        </w:rPr>
        <w:t>Note: LAP = lipid accumulation product; VAI = visceral adiposity index; CVAI = Chinese visceral adiposity index; WTI = waist triglyceride index; CMI = cardiometabolic index; GC = gastric cancer; OR = odds ratio; CI = confidence interval.</w:t>
      </w:r>
    </w:p>
    <w:p w14:paraId="3AE41D0B">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7DE3DBB7">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28CDF237">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7D7576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楷体" w:cs="Times New Roman"/>
          <w:color w:val="auto"/>
          <w:kern w:val="0"/>
          <w:szCs w:val="21"/>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w:t>
      </w:r>
      <w:r>
        <w:rPr>
          <w:rFonts w:hint="eastAsia" w:ascii="Times New Roman" w:hAnsi="Times New Roman" w:eastAsia="宋体" w:cs="Times New Roman"/>
          <w:i w:val="0"/>
          <w:iCs w:val="0"/>
          <w:color w:val="auto"/>
          <w:kern w:val="0"/>
          <w:sz w:val="21"/>
          <w:szCs w:val="21"/>
          <w:u w:val="none"/>
          <w:lang w:val="en-US" w:eastAsia="zh-CN" w:bidi="ar"/>
        </w:rPr>
        <w:t>4</w:t>
      </w:r>
      <w:r>
        <w:rPr>
          <w:rFonts w:hint="default" w:ascii="Times New Roman" w:hAnsi="Times New Roman" w:eastAsia="楷体" w:cs="Times New Roman"/>
          <w:color w:val="auto"/>
          <w:kern w:val="0"/>
          <w:szCs w:val="21"/>
          <w:lang w:val="en-US" w:eastAsia="zh-CN" w:bidi="ar"/>
        </w:rPr>
        <w:t>新型肥胖相关指标与不同部位胃癌及癌前病变/</w:t>
      </w:r>
      <w:r>
        <w:rPr>
          <w:rFonts w:hint="eastAsia" w:ascii="Times New Roman" w:hAnsi="Times New Roman" w:eastAsia="楷体" w:cs="Times New Roman"/>
          <w:color w:val="auto"/>
          <w:kern w:val="0"/>
          <w:szCs w:val="21"/>
          <w:lang w:val="en-US" w:eastAsia="zh-CN" w:bidi="ar"/>
        </w:rPr>
        <w:t>疾病</w:t>
      </w:r>
      <w:r>
        <w:rPr>
          <w:rFonts w:hint="default" w:ascii="Times New Roman" w:hAnsi="Times New Roman" w:eastAsia="楷体" w:cs="Times New Roman"/>
          <w:color w:val="auto"/>
          <w:kern w:val="0"/>
          <w:szCs w:val="21"/>
          <w:lang w:val="en-US" w:eastAsia="zh-CN" w:bidi="ar"/>
        </w:rPr>
        <w:t>的</w:t>
      </w:r>
      <w:r>
        <w:rPr>
          <w:rFonts w:hint="eastAsia" w:ascii="Times New Roman" w:hAnsi="Times New Roman" w:eastAsia="楷体" w:cs="Times New Roman"/>
          <w:color w:val="auto"/>
          <w:kern w:val="0"/>
          <w:szCs w:val="21"/>
          <w:lang w:val="en-US" w:eastAsia="zh-CN" w:bidi="ar"/>
        </w:rPr>
        <w:t>无序</w:t>
      </w:r>
      <w:r>
        <w:rPr>
          <w:rFonts w:hint="default" w:ascii="Times New Roman" w:hAnsi="Times New Roman" w:eastAsia="楷体" w:cs="Times New Roman"/>
          <w:color w:val="auto"/>
          <w:kern w:val="0"/>
          <w:szCs w:val="21"/>
          <w:lang w:val="en-US" w:eastAsia="zh-CN" w:bidi="ar"/>
        </w:rPr>
        <w:t>多</w:t>
      </w:r>
      <w:r>
        <w:rPr>
          <w:rFonts w:hint="eastAsia" w:ascii="Times New Roman" w:hAnsi="Times New Roman" w:eastAsia="楷体" w:cs="Times New Roman"/>
          <w:color w:val="auto"/>
          <w:kern w:val="0"/>
          <w:szCs w:val="21"/>
          <w:lang w:val="en-US" w:eastAsia="zh-CN" w:bidi="ar"/>
        </w:rPr>
        <w:t>分类</w:t>
      </w:r>
      <w:r>
        <w:rPr>
          <w:rFonts w:hint="default" w:ascii="Times New Roman" w:hAnsi="Times New Roman" w:eastAsia="楷体" w:cs="Times New Roman"/>
          <w:color w:val="auto"/>
          <w:kern w:val="0"/>
          <w:szCs w:val="21"/>
          <w:lang w:val="en-US" w:eastAsia="zh-CN" w:bidi="ar"/>
        </w:rPr>
        <w:t xml:space="preserve">logistic回归分析  </w:t>
      </w:r>
    </w:p>
    <w:p w14:paraId="32B80C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rPr>
          <w:rFonts w:hint="default" w:ascii="Times New Roman" w:hAnsi="Times New Roman" w:eastAsia="宋体" w:cs="Times New Roman"/>
          <w:color w:val="auto"/>
          <w:kern w:val="0"/>
          <w:szCs w:val="21"/>
          <w:lang w:val="en-US" w:eastAsia="zh-CN" w:bidi="ar"/>
        </w:rPr>
      </w:pPr>
      <w:r>
        <w:rPr>
          <w:rFonts w:hint="eastAsia" w:ascii="Times New Roman" w:hAnsi="Times New Roman" w:eastAsia="宋体" w:cs="Times New Roman"/>
          <w:color w:val="auto"/>
          <w:kern w:val="0"/>
          <w:szCs w:val="21"/>
          <w:lang w:val="en-US" w:eastAsia="zh-CN" w:bidi="ar"/>
        </w:rPr>
        <w:t>分层分析时采用互斥入组：分析贲门相关结局时，剔除所有合并非贲门病变的个体；分析非贲门相关结局时，剔除所有合并贲门病变的个体。将总人群中有统计学意义的NORI分别纳入分层无序多分类Logistic回归模型进行探索性分析。</w:t>
      </w:r>
      <w:r>
        <w:rPr>
          <w:rFonts w:hint="default" w:ascii="Times New Roman" w:hAnsi="Times New Roman" w:eastAsia="宋体" w:cs="Times New Roman"/>
          <w:color w:val="auto"/>
          <w:kern w:val="0"/>
          <w:szCs w:val="21"/>
          <w:lang w:val="en-US" w:eastAsia="zh-CN" w:bidi="ar"/>
        </w:rPr>
        <w:t>结果显示，VAI和CVAI每增加一个</w:t>
      </w:r>
      <w:r>
        <w:rPr>
          <w:rFonts w:hint="eastAsia" w:ascii="Times New Roman" w:hAnsi="Times New Roman" w:eastAsia="宋体" w:cs="Times New Roman"/>
          <w:color w:val="auto"/>
          <w:kern w:val="0"/>
          <w:szCs w:val="21"/>
          <w:lang w:val="en-US" w:eastAsia="zh-CN" w:bidi="ar"/>
        </w:rPr>
        <w:t>标准差，非</w:t>
      </w:r>
      <w:r>
        <w:rPr>
          <w:rFonts w:hint="default" w:ascii="Times New Roman" w:hAnsi="Times New Roman" w:eastAsia="宋体" w:cs="Times New Roman"/>
          <w:color w:val="auto"/>
          <w:kern w:val="0"/>
          <w:szCs w:val="21"/>
          <w:lang w:val="en-US" w:eastAsia="zh-CN" w:bidi="ar"/>
        </w:rPr>
        <w:t>贲门</w:t>
      </w:r>
      <w:r>
        <w:rPr>
          <w:rFonts w:hint="eastAsia" w:ascii="Times New Roman" w:hAnsi="Times New Roman" w:eastAsia="宋体" w:cs="Times New Roman"/>
          <w:color w:val="auto"/>
          <w:kern w:val="0"/>
          <w:szCs w:val="21"/>
          <w:lang w:val="en-US" w:eastAsia="zh-CN" w:bidi="ar"/>
        </w:rPr>
        <w:t>部位</w:t>
      </w:r>
      <w:r>
        <w:rPr>
          <w:rFonts w:hint="default" w:ascii="Times New Roman" w:hAnsi="Times New Roman" w:eastAsia="宋体" w:cs="Times New Roman"/>
          <w:color w:val="auto"/>
          <w:kern w:val="0"/>
          <w:szCs w:val="21"/>
          <w:lang w:val="en-US" w:eastAsia="zh-CN" w:bidi="ar"/>
        </w:rPr>
        <w:t>癌前疾病的患病风险分别降低4.9%（</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color w:val="auto"/>
          <w:kern w:val="0"/>
          <w:szCs w:val="21"/>
          <w:lang w:val="en-US" w:eastAsia="zh-CN" w:bidi="ar"/>
        </w:rPr>
        <w:t>0.951</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color w:val="auto"/>
          <w:kern w:val="0"/>
          <w:szCs w:val="21"/>
          <w:lang w:val="en-US" w:eastAsia="zh-CN" w:bidi="ar"/>
        </w:rPr>
        <w:t>0.905~0.999）和5.9%（</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color w:val="auto"/>
          <w:kern w:val="0"/>
          <w:szCs w:val="21"/>
          <w:lang w:val="en-US" w:eastAsia="zh-CN" w:bidi="ar"/>
        </w:rPr>
        <w:t>0.941</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color w:val="auto"/>
          <w:kern w:val="0"/>
          <w:szCs w:val="21"/>
          <w:lang w:val="en-US" w:eastAsia="zh-CN" w:bidi="ar"/>
        </w:rPr>
        <w:t>0.896~0.989）。与Q1组相比</w:t>
      </w:r>
      <w:r>
        <w:rPr>
          <w:rFonts w:hint="eastAsia" w:ascii="Times New Roman" w:hAnsi="Times New Roman" w:eastAsia="宋体" w:cs="Times New Roman"/>
          <w:color w:val="auto"/>
          <w:kern w:val="0"/>
          <w:szCs w:val="21"/>
          <w:lang w:val="en-US" w:eastAsia="zh-CN" w:bidi="ar"/>
        </w:rPr>
        <w:t>，</w:t>
      </w:r>
      <w:r>
        <w:rPr>
          <w:rFonts w:hint="default" w:ascii="Times New Roman" w:hAnsi="Times New Roman" w:eastAsia="宋体" w:cs="Times New Roman"/>
          <w:color w:val="auto"/>
          <w:kern w:val="0"/>
          <w:szCs w:val="21"/>
          <w:lang w:val="en-US" w:eastAsia="zh-CN" w:bidi="ar"/>
        </w:rPr>
        <w:t>CVAI的Q4组患</w:t>
      </w:r>
      <w:r>
        <w:rPr>
          <w:rFonts w:hint="eastAsia" w:ascii="Times New Roman" w:hAnsi="Times New Roman" w:eastAsia="宋体" w:cs="Times New Roman"/>
          <w:color w:val="auto"/>
          <w:kern w:val="0"/>
          <w:szCs w:val="21"/>
          <w:lang w:val="en-US" w:eastAsia="zh-CN" w:bidi="ar"/>
        </w:rPr>
        <w:t>非贲门部位</w:t>
      </w:r>
      <w:r>
        <w:rPr>
          <w:rFonts w:hint="default" w:ascii="Times New Roman" w:hAnsi="Times New Roman" w:eastAsia="宋体" w:cs="Times New Roman"/>
          <w:color w:val="auto"/>
          <w:kern w:val="0"/>
          <w:szCs w:val="21"/>
          <w:lang w:val="en-US" w:eastAsia="zh-CN" w:bidi="ar"/>
        </w:rPr>
        <w:t>癌前疾病的风险降低16</w:t>
      </w:r>
      <w:r>
        <w:rPr>
          <w:rFonts w:hint="eastAsia" w:ascii="Times New Roman" w:hAnsi="Times New Roman" w:eastAsia="宋体" w:cs="Times New Roman"/>
          <w:color w:val="auto"/>
          <w:kern w:val="0"/>
          <w:szCs w:val="21"/>
          <w:lang w:val="en-US" w:eastAsia="zh-CN" w:bidi="ar"/>
        </w:rPr>
        <w:t>.0</w:t>
      </w:r>
      <w:r>
        <w:rPr>
          <w:rFonts w:hint="default" w:ascii="Times New Roman" w:hAnsi="Times New Roman" w:eastAsia="宋体" w:cs="Times New Roman"/>
          <w:color w:val="auto"/>
          <w:kern w:val="0"/>
          <w:szCs w:val="21"/>
          <w:lang w:val="en-US" w:eastAsia="zh-CN" w:bidi="ar"/>
        </w:rPr>
        <w:t>%（</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color w:val="auto"/>
          <w:kern w:val="0"/>
          <w:szCs w:val="21"/>
          <w:lang w:val="en-US" w:eastAsia="zh-CN" w:bidi="ar"/>
        </w:rPr>
        <w:t>0.840</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color w:val="auto"/>
          <w:kern w:val="0"/>
          <w:szCs w:val="21"/>
          <w:lang w:val="en-US" w:eastAsia="zh-CN" w:bidi="ar"/>
        </w:rPr>
        <w:t>0.732~0.965）。此外，CMI每增加一个</w:t>
      </w:r>
      <w:r>
        <w:rPr>
          <w:rFonts w:hint="eastAsia" w:ascii="Times New Roman" w:hAnsi="Times New Roman" w:eastAsia="宋体" w:cs="Times New Roman"/>
          <w:color w:val="auto"/>
          <w:kern w:val="0"/>
          <w:szCs w:val="21"/>
          <w:lang w:val="en-US" w:eastAsia="zh-CN" w:bidi="ar"/>
        </w:rPr>
        <w:t>标准差，</w:t>
      </w:r>
      <w:r>
        <w:rPr>
          <w:rFonts w:hint="default" w:ascii="Times New Roman" w:hAnsi="Times New Roman" w:eastAsia="宋体" w:cs="Times New Roman"/>
          <w:color w:val="auto"/>
          <w:kern w:val="0"/>
          <w:szCs w:val="21"/>
          <w:lang w:val="en-US" w:eastAsia="zh-CN" w:bidi="ar"/>
        </w:rPr>
        <w:t>贲门</w:t>
      </w:r>
      <w:r>
        <w:rPr>
          <w:rFonts w:hint="eastAsia" w:ascii="Times New Roman" w:hAnsi="Times New Roman" w:eastAsia="宋体" w:cs="Times New Roman"/>
          <w:color w:val="auto"/>
          <w:kern w:val="0"/>
          <w:szCs w:val="21"/>
          <w:lang w:val="en-US" w:eastAsia="zh-CN" w:bidi="ar"/>
        </w:rPr>
        <w:t>部位GC发生</w:t>
      </w:r>
      <w:r>
        <w:rPr>
          <w:rFonts w:hint="default" w:ascii="Times New Roman" w:hAnsi="Times New Roman" w:eastAsia="宋体" w:cs="Times New Roman"/>
          <w:color w:val="auto"/>
          <w:kern w:val="0"/>
          <w:szCs w:val="21"/>
          <w:lang w:val="en-US" w:eastAsia="zh-CN" w:bidi="ar"/>
        </w:rPr>
        <w:t>风险上升18.9%（</w:t>
      </w:r>
      <w:r>
        <w:rPr>
          <w:rFonts w:hint="eastAsia" w:ascii="Times New Roman" w:hAnsi="Times New Roman" w:eastAsia="宋体" w:cs="Times New Roman"/>
          <w:color w:val="auto"/>
          <w:kern w:val="0"/>
          <w:szCs w:val="21"/>
          <w:lang w:val="en-US" w:eastAsia="zh-CN" w:bidi="ar"/>
        </w:rPr>
        <w:t>OR=</w:t>
      </w:r>
      <w:r>
        <w:rPr>
          <w:rFonts w:hint="default" w:ascii="Times New Roman" w:hAnsi="Times New Roman" w:eastAsia="宋体" w:cs="Times New Roman"/>
          <w:color w:val="auto"/>
          <w:kern w:val="0"/>
          <w:szCs w:val="21"/>
          <w:lang w:val="en-US" w:eastAsia="zh-CN" w:bidi="ar"/>
        </w:rPr>
        <w:t>1.189</w:t>
      </w:r>
      <w:r>
        <w:rPr>
          <w:rFonts w:hint="eastAsia" w:ascii="Times New Roman" w:hAnsi="Times New Roman" w:eastAsia="宋体" w:cs="Times New Roman"/>
          <w:i w:val="0"/>
          <w:iCs w:val="0"/>
          <w:color w:val="auto"/>
          <w:kern w:val="0"/>
          <w:sz w:val="22"/>
          <w:szCs w:val="22"/>
          <w:u w:val="none"/>
          <w:lang w:val="en-US" w:eastAsia="zh-CN" w:bidi="ar"/>
        </w:rPr>
        <w:t xml:space="preserve">, 95%CI: </w:t>
      </w:r>
      <w:r>
        <w:rPr>
          <w:rFonts w:hint="default" w:ascii="Times New Roman" w:hAnsi="Times New Roman" w:eastAsia="宋体" w:cs="Times New Roman"/>
          <w:color w:val="auto"/>
          <w:kern w:val="0"/>
          <w:szCs w:val="21"/>
          <w:lang w:val="en-US" w:eastAsia="zh-CN" w:bidi="ar"/>
        </w:rPr>
        <w:t>1.007~1.402）。见表4。</w:t>
      </w:r>
    </w:p>
    <w:p w14:paraId="3A86E830">
      <w:pPr>
        <w:spacing w:line="240" w:lineRule="auto"/>
        <w:rPr>
          <w:rFonts w:hint="default" w:ascii="Times New Roman" w:hAnsi="Times New Roman" w:cs="Times New Roman"/>
          <w:color w:val="auto"/>
          <w:lang w:val="en-US" w:eastAsia="zh-CN"/>
        </w:rPr>
      </w:pPr>
    </w:p>
    <w:p w14:paraId="26A2E1B2">
      <w:pPr>
        <w:rPr>
          <w:rFonts w:hint="default" w:ascii="Times New Roman" w:hAnsi="Times New Roman" w:cs="Times New Roman"/>
          <w:b/>
          <w:bCs/>
          <w:color w:val="auto"/>
        </w:rPr>
      </w:pPr>
    </w:p>
    <w:tbl>
      <w:tblPr>
        <w:tblStyle w:val="4"/>
        <w:tblpPr w:leftFromText="180" w:rightFromText="180" w:vertAnchor="text" w:horzAnchor="page" w:tblpX="1429" w:tblpY="296"/>
        <w:tblOverlap w:val="never"/>
        <w:tblW w:w="5000" w:type="pct"/>
        <w:tblInd w:w="0" w:type="dxa"/>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3"/>
        <w:gridCol w:w="680"/>
        <w:gridCol w:w="1745"/>
        <w:gridCol w:w="606"/>
        <w:gridCol w:w="1546"/>
        <w:gridCol w:w="538"/>
        <w:gridCol w:w="1461"/>
        <w:gridCol w:w="221"/>
        <w:gridCol w:w="661"/>
        <w:gridCol w:w="1694"/>
        <w:gridCol w:w="586"/>
        <w:gridCol w:w="1495"/>
        <w:gridCol w:w="538"/>
        <w:gridCol w:w="1390"/>
      </w:tblGrid>
      <w:tr w14:paraId="75F98A9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00" w:type="pct"/>
            <w:gridSpan w:val="14"/>
            <w:tcBorders>
              <w:top w:val="nil"/>
              <w:bottom w:val="single" w:color="auto" w:sz="4" w:space="0"/>
            </w:tcBorders>
            <w:shd w:val="clear" w:color="auto" w:fill="auto"/>
            <w:noWrap/>
            <w:vAlign w:val="center"/>
          </w:tcPr>
          <w:p w14:paraId="3A515E70">
            <w:pPr>
              <w:keepNext w:val="0"/>
              <w:keepLines w:val="0"/>
              <w:widowControl/>
              <w:suppressLineNumbers w:val="0"/>
              <w:jc w:val="center"/>
              <w:textAlignment w:val="center"/>
              <w:rPr>
                <w:rFonts w:hint="default" w:ascii="Times New Roman" w:hAnsi="Times New Roman" w:eastAsia="楷体" w:cs="Times New Roman"/>
                <w:b w:val="0"/>
                <w:bCs w:val="0"/>
                <w:color w:val="auto"/>
                <w:kern w:val="0"/>
                <w:szCs w:val="21"/>
                <w:lang w:val="en-US" w:eastAsia="zh-CN" w:bidi="ar"/>
              </w:rPr>
            </w:pPr>
            <w:r>
              <w:rPr>
                <w:rStyle w:val="14"/>
                <w:rFonts w:hint="default" w:ascii="Times New Roman" w:hAnsi="Times New Roman" w:cs="Times New Roman"/>
                <w:b w:val="0"/>
                <w:bCs w:val="0"/>
                <w:color w:val="auto"/>
                <w:lang w:val="en-US" w:eastAsia="zh-CN" w:bidi="ar"/>
              </w:rPr>
              <w:t xml:space="preserve">Table 4 </w:t>
            </w:r>
            <w:r>
              <w:rPr>
                <w:rStyle w:val="14"/>
                <w:rFonts w:hint="eastAsia" w:ascii="Times New Roman" w:hAnsi="Times New Roman" w:cs="Times New Roman"/>
                <w:b w:val="0"/>
                <w:bCs w:val="0"/>
                <w:color w:val="auto"/>
                <w:lang w:val="en-US" w:eastAsia="zh-CN" w:bidi="ar"/>
              </w:rPr>
              <w:t>M</w:t>
            </w:r>
            <w:r>
              <w:rPr>
                <w:rStyle w:val="14"/>
                <w:rFonts w:hint="default" w:ascii="Times New Roman" w:hAnsi="Times New Roman" w:cs="Times New Roman"/>
                <w:b w:val="0"/>
                <w:bCs w:val="0"/>
                <w:color w:val="auto"/>
                <w:lang w:val="en-US" w:eastAsia="zh-CN" w:bidi="ar"/>
              </w:rPr>
              <w:t>ultinomial logistic regression analysis of novel obesity-related indices with gastric cancer and precancerous lesions/diseases by anatomical site</w:t>
            </w:r>
          </w:p>
        </w:tc>
      </w:tr>
      <w:tr w14:paraId="4808347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vMerge w:val="restart"/>
            <w:tcBorders>
              <w:top w:val="single" w:color="auto" w:sz="4" w:space="0"/>
              <w:bottom w:val="single" w:color="auto" w:sz="4" w:space="0"/>
              <w:tl2br w:val="nil"/>
              <w:tr2bl w:val="nil"/>
            </w:tcBorders>
            <w:shd w:val="clear" w:color="auto" w:fill="auto"/>
            <w:noWrap/>
            <w:vAlign w:val="center"/>
          </w:tcPr>
          <w:p w14:paraId="6D5CC82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eastAsia" w:ascii="Times New Roman" w:hAnsi="Times New Roman" w:eastAsia="宋体" w:cs="Times New Roman"/>
                <w:b w:val="0"/>
                <w:bCs w:val="0"/>
                <w:i w:val="0"/>
                <w:iCs w:val="0"/>
                <w:color w:val="auto"/>
                <w:sz w:val="21"/>
                <w:szCs w:val="21"/>
                <w:u w:val="none"/>
                <w:lang w:val="en-US" w:eastAsia="zh-CN"/>
              </w:rPr>
              <w:t>Variable</w:t>
            </w:r>
          </w:p>
        </w:tc>
        <w:tc>
          <w:tcPr>
            <w:tcW w:w="2266" w:type="pct"/>
            <w:gridSpan w:val="6"/>
            <w:tcBorders>
              <w:top w:val="single" w:color="auto" w:sz="4" w:space="0"/>
              <w:bottom w:val="single" w:color="auto" w:sz="4" w:space="0"/>
              <w:tl2br w:val="nil"/>
              <w:tr2bl w:val="nil"/>
            </w:tcBorders>
            <w:shd w:val="clear" w:color="auto" w:fill="auto"/>
            <w:noWrap/>
            <w:vAlign w:val="center"/>
          </w:tcPr>
          <w:p w14:paraId="045A1B50">
            <w:pPr>
              <w:jc w:val="left"/>
              <w:rPr>
                <w:rFonts w:hint="default" w:ascii="Times New Roman" w:hAnsi="Times New Roman" w:eastAsia="宋体" w:cs="Times New Roman"/>
                <w:b w:val="0"/>
                <w:bCs w:val="0"/>
                <w:i w:val="0"/>
                <w:iCs w:val="0"/>
                <w:color w:val="auto"/>
                <w:sz w:val="18"/>
                <w:szCs w:val="18"/>
                <w:u w:val="none"/>
              </w:rPr>
            </w:pPr>
            <w:r>
              <w:rPr>
                <w:rFonts w:hint="eastAsia" w:ascii="Times New Roman" w:hAnsi="Times New Roman" w:eastAsia="宋体" w:cs="Times New Roman"/>
                <w:b w:val="0"/>
                <w:bCs w:val="0"/>
                <w:i w:val="0"/>
                <w:iCs w:val="0"/>
                <w:color w:val="auto"/>
                <w:kern w:val="0"/>
                <w:sz w:val="18"/>
                <w:szCs w:val="18"/>
                <w:u w:val="none"/>
                <w:lang w:val="en-US" w:eastAsia="zh-CN" w:bidi="ar"/>
              </w:rPr>
              <w:t>N</w:t>
            </w:r>
            <w:r>
              <w:rPr>
                <w:rFonts w:hint="default" w:ascii="Times New Roman" w:hAnsi="Times New Roman" w:eastAsia="宋体" w:cs="Times New Roman"/>
                <w:b w:val="0"/>
                <w:bCs w:val="0"/>
                <w:i w:val="0"/>
                <w:iCs w:val="0"/>
                <w:color w:val="auto"/>
                <w:kern w:val="0"/>
                <w:sz w:val="18"/>
                <w:szCs w:val="18"/>
                <w:u w:val="none"/>
                <w:lang w:val="en-US" w:eastAsia="zh-CN" w:bidi="ar"/>
              </w:rPr>
              <w:t>on-cardia</w:t>
            </w:r>
          </w:p>
        </w:tc>
        <w:tc>
          <w:tcPr>
            <w:tcW w:w="77" w:type="pct"/>
            <w:tcBorders>
              <w:top w:val="single" w:color="auto" w:sz="4" w:space="0"/>
              <w:bottom w:val="single" w:color="auto" w:sz="4" w:space="0"/>
              <w:tl2br w:val="nil"/>
              <w:tr2bl w:val="nil"/>
            </w:tcBorders>
            <w:shd w:val="clear" w:color="auto" w:fill="auto"/>
            <w:noWrap/>
            <w:vAlign w:val="center"/>
          </w:tcPr>
          <w:p w14:paraId="7E64AE31">
            <w:pPr>
              <w:jc w:val="left"/>
              <w:rPr>
                <w:rFonts w:hint="default" w:ascii="Times New Roman" w:hAnsi="Times New Roman" w:eastAsia="宋体" w:cs="Times New Roman"/>
                <w:b w:val="0"/>
                <w:bCs w:val="0"/>
                <w:i w:val="0"/>
                <w:iCs w:val="0"/>
                <w:color w:val="auto"/>
                <w:sz w:val="18"/>
                <w:szCs w:val="18"/>
                <w:u w:val="none"/>
              </w:rPr>
            </w:pPr>
          </w:p>
        </w:tc>
        <w:tc>
          <w:tcPr>
            <w:tcW w:w="2238" w:type="pct"/>
            <w:gridSpan w:val="6"/>
            <w:tcBorders>
              <w:top w:val="single" w:color="auto" w:sz="4" w:space="0"/>
              <w:bottom w:val="single" w:color="auto" w:sz="4" w:space="0"/>
              <w:tl2br w:val="nil"/>
              <w:tr2bl w:val="nil"/>
            </w:tcBorders>
            <w:shd w:val="clear" w:color="auto" w:fill="auto"/>
            <w:noWrap/>
            <w:vAlign w:val="center"/>
          </w:tcPr>
          <w:p w14:paraId="7B44C1CC">
            <w:pPr>
              <w:jc w:val="left"/>
              <w:rPr>
                <w:rFonts w:hint="default" w:ascii="Times New Roman" w:hAnsi="Times New Roman" w:eastAsia="宋体" w:cs="Times New Roman"/>
                <w:b w:val="0"/>
                <w:bCs w:val="0"/>
                <w:i w:val="0"/>
                <w:iCs w:val="0"/>
                <w:color w:val="auto"/>
                <w:sz w:val="18"/>
                <w:szCs w:val="18"/>
                <w:u w:val="none"/>
              </w:rPr>
            </w:pPr>
            <w:r>
              <w:rPr>
                <w:rFonts w:hint="eastAsia" w:ascii="Times New Roman" w:hAnsi="Times New Roman" w:eastAsia="宋体" w:cs="Times New Roman"/>
                <w:b w:val="0"/>
                <w:bCs w:val="0"/>
                <w:i w:val="0"/>
                <w:iCs w:val="0"/>
                <w:color w:val="auto"/>
                <w:kern w:val="0"/>
                <w:sz w:val="18"/>
                <w:szCs w:val="18"/>
                <w:u w:val="none"/>
                <w:lang w:val="en-US" w:eastAsia="zh-CN" w:bidi="ar"/>
              </w:rPr>
              <w:t>C</w:t>
            </w:r>
            <w:r>
              <w:rPr>
                <w:rFonts w:hint="default" w:ascii="Times New Roman" w:hAnsi="Times New Roman" w:eastAsia="宋体" w:cs="Times New Roman"/>
                <w:b w:val="0"/>
                <w:bCs w:val="0"/>
                <w:i w:val="0"/>
                <w:iCs w:val="0"/>
                <w:color w:val="auto"/>
                <w:kern w:val="0"/>
                <w:sz w:val="18"/>
                <w:szCs w:val="18"/>
                <w:u w:val="none"/>
                <w:lang w:val="en-US" w:eastAsia="zh-CN" w:bidi="ar"/>
              </w:rPr>
              <w:t>ardia</w:t>
            </w:r>
          </w:p>
        </w:tc>
      </w:tr>
      <w:tr w14:paraId="18687AD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417" w:type="pct"/>
            <w:vMerge w:val="continue"/>
            <w:tcBorders>
              <w:top w:val="single" w:color="auto" w:sz="4" w:space="0"/>
              <w:tl2br w:val="nil"/>
              <w:tr2bl w:val="nil"/>
            </w:tcBorders>
            <w:shd w:val="clear" w:color="auto" w:fill="auto"/>
            <w:noWrap/>
            <w:vAlign w:val="center"/>
          </w:tcPr>
          <w:p w14:paraId="577BAEEB">
            <w:pPr>
              <w:jc w:val="left"/>
              <w:rPr>
                <w:rFonts w:hint="default" w:ascii="Times New Roman" w:hAnsi="Times New Roman" w:eastAsia="宋体" w:cs="Times New Roman"/>
                <w:b w:val="0"/>
                <w:bCs w:val="0"/>
                <w:i w:val="0"/>
                <w:iCs w:val="0"/>
                <w:color w:val="auto"/>
                <w:sz w:val="18"/>
                <w:szCs w:val="18"/>
                <w:u w:val="none"/>
              </w:rPr>
            </w:pPr>
          </w:p>
        </w:tc>
        <w:tc>
          <w:tcPr>
            <w:tcW w:w="745" w:type="pct"/>
            <w:gridSpan w:val="2"/>
            <w:tcBorders>
              <w:top w:val="single" w:color="auto" w:sz="4" w:space="0"/>
              <w:bottom w:val="single" w:color="auto" w:sz="4" w:space="0"/>
            </w:tcBorders>
            <w:shd w:val="clear" w:color="auto" w:fill="auto"/>
            <w:noWrap/>
            <w:vAlign w:val="center"/>
          </w:tcPr>
          <w:p w14:paraId="059DE2A6">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diseases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(n=2942)</w:t>
            </w:r>
          </w:p>
        </w:tc>
        <w:tc>
          <w:tcPr>
            <w:tcW w:w="746" w:type="pct"/>
            <w:gridSpan w:val="2"/>
            <w:tcBorders>
              <w:top w:val="single" w:color="auto" w:sz="4" w:space="0"/>
              <w:bottom w:val="single" w:color="auto" w:sz="4" w:space="0"/>
            </w:tcBorders>
            <w:shd w:val="clear" w:color="auto" w:fill="auto"/>
            <w:noWrap/>
            <w:vAlign w:val="center"/>
          </w:tcPr>
          <w:p w14:paraId="466FE878">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lesions</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(n=110)</w:t>
            </w:r>
          </w:p>
        </w:tc>
        <w:tc>
          <w:tcPr>
            <w:tcW w:w="774" w:type="pct"/>
            <w:gridSpan w:val="2"/>
            <w:tcBorders>
              <w:top w:val="single" w:color="auto" w:sz="4" w:space="0"/>
              <w:bottom w:val="single" w:color="auto" w:sz="4" w:space="0"/>
            </w:tcBorders>
            <w:shd w:val="clear" w:color="auto" w:fill="auto"/>
            <w:noWrap/>
            <w:vAlign w:val="center"/>
          </w:tcPr>
          <w:p w14:paraId="5A213316">
            <w:pPr>
              <w:jc w:val="left"/>
              <w:rPr>
                <w:rFonts w:hint="default" w:ascii="Times New Roman" w:hAnsi="Times New Roman" w:eastAsia="宋体" w:cs="Times New Roman"/>
                <w:b w:val="0"/>
                <w:bCs w:val="0"/>
                <w:i w:val="0"/>
                <w:iCs w:val="0"/>
                <w:color w:val="auto"/>
                <w:sz w:val="18"/>
                <w:szCs w:val="18"/>
                <w:u w:val="none"/>
              </w:rPr>
            </w:pPr>
            <w:r>
              <w:rPr>
                <w:rFonts w:hint="eastAsia" w:ascii="Times New Roman" w:hAnsi="Times New Roman" w:eastAsia="宋体" w:cs="Times New Roman"/>
                <w:b w:val="0"/>
                <w:bCs w:val="0"/>
                <w:i w:val="0"/>
                <w:iCs w:val="0"/>
                <w:color w:val="auto"/>
                <w:kern w:val="0"/>
                <w:sz w:val="18"/>
                <w:szCs w:val="18"/>
                <w:u w:val="none"/>
                <w:lang w:val="en-US" w:eastAsia="zh-CN" w:bidi="ar"/>
              </w:rPr>
              <w:t>GC</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(n=18)</w:t>
            </w:r>
          </w:p>
        </w:tc>
        <w:tc>
          <w:tcPr>
            <w:tcW w:w="77" w:type="pct"/>
            <w:tcBorders>
              <w:top w:val="single" w:color="auto" w:sz="4" w:space="0"/>
              <w:tl2br w:val="nil"/>
              <w:tr2bl w:val="nil"/>
            </w:tcBorders>
            <w:shd w:val="clear" w:color="auto" w:fill="auto"/>
            <w:noWrap/>
            <w:vAlign w:val="center"/>
          </w:tcPr>
          <w:p w14:paraId="238BBE2D">
            <w:pPr>
              <w:jc w:val="left"/>
              <w:rPr>
                <w:rFonts w:hint="default" w:ascii="Times New Roman" w:hAnsi="Times New Roman" w:eastAsia="宋体" w:cs="Times New Roman"/>
                <w:b w:val="0"/>
                <w:bCs w:val="0"/>
                <w:i w:val="0"/>
                <w:iCs w:val="0"/>
                <w:color w:val="auto"/>
                <w:sz w:val="18"/>
                <w:szCs w:val="18"/>
                <w:u w:val="none"/>
              </w:rPr>
            </w:pPr>
          </w:p>
        </w:tc>
        <w:tc>
          <w:tcPr>
            <w:tcW w:w="746" w:type="pct"/>
            <w:gridSpan w:val="2"/>
            <w:tcBorders>
              <w:top w:val="single" w:color="auto" w:sz="4" w:space="0"/>
              <w:bottom w:val="single" w:color="auto" w:sz="4" w:space="0"/>
            </w:tcBorders>
            <w:shd w:val="clear" w:color="auto" w:fill="auto"/>
            <w:noWrap/>
            <w:vAlign w:val="center"/>
          </w:tcPr>
          <w:p w14:paraId="7672C640">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diseases</w:t>
            </w:r>
            <w:r>
              <w:rPr>
                <w:rFonts w:hint="eastAsia"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(n=231)</w:t>
            </w:r>
          </w:p>
        </w:tc>
        <w:tc>
          <w:tcPr>
            <w:tcW w:w="746" w:type="pct"/>
            <w:gridSpan w:val="2"/>
            <w:tcBorders>
              <w:top w:val="single" w:color="auto" w:sz="4" w:space="0"/>
              <w:bottom w:val="single" w:color="auto" w:sz="4" w:space="0"/>
            </w:tcBorders>
            <w:shd w:val="clear" w:color="auto" w:fill="auto"/>
            <w:noWrap/>
            <w:vAlign w:val="center"/>
          </w:tcPr>
          <w:p w14:paraId="3E0EBFFD">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21"/>
                <w:szCs w:val="21"/>
                <w:u w:val="none"/>
                <w:lang w:val="en-US" w:eastAsia="zh-CN" w:bidi="ar"/>
              </w:rPr>
              <w:t>Precancerous lesions</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(n=48)</w:t>
            </w:r>
          </w:p>
        </w:tc>
        <w:tc>
          <w:tcPr>
            <w:tcW w:w="746" w:type="pct"/>
            <w:gridSpan w:val="2"/>
            <w:tcBorders>
              <w:top w:val="single" w:color="auto" w:sz="4" w:space="0"/>
              <w:bottom w:val="single" w:color="auto" w:sz="4" w:space="0"/>
            </w:tcBorders>
            <w:shd w:val="clear" w:color="auto" w:fill="auto"/>
            <w:noWrap/>
            <w:vAlign w:val="center"/>
          </w:tcPr>
          <w:p w14:paraId="1DB28A69">
            <w:pPr>
              <w:jc w:val="left"/>
              <w:rPr>
                <w:rFonts w:hint="default" w:ascii="Times New Roman" w:hAnsi="Times New Roman" w:eastAsia="宋体" w:cs="Times New Roman"/>
                <w:b w:val="0"/>
                <w:bCs w:val="0"/>
                <w:i w:val="0"/>
                <w:iCs w:val="0"/>
                <w:color w:val="auto"/>
                <w:sz w:val="18"/>
                <w:szCs w:val="18"/>
                <w:u w:val="none"/>
              </w:rPr>
            </w:pPr>
            <w:r>
              <w:rPr>
                <w:rFonts w:hint="eastAsia" w:ascii="Times New Roman" w:hAnsi="Times New Roman" w:eastAsia="宋体" w:cs="Times New Roman"/>
                <w:b w:val="0"/>
                <w:bCs w:val="0"/>
                <w:i w:val="0"/>
                <w:iCs w:val="0"/>
                <w:color w:val="auto"/>
                <w:kern w:val="0"/>
                <w:sz w:val="18"/>
                <w:szCs w:val="18"/>
                <w:u w:val="none"/>
                <w:lang w:val="en-US" w:eastAsia="zh-CN" w:bidi="ar"/>
              </w:rPr>
              <w:t>GC</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(n=12)</w:t>
            </w:r>
          </w:p>
        </w:tc>
      </w:tr>
      <w:tr w14:paraId="57798B4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417" w:type="pct"/>
            <w:vMerge w:val="continue"/>
            <w:tcBorders>
              <w:bottom w:val="single" w:color="auto" w:sz="4" w:space="0"/>
              <w:tl2br w:val="nil"/>
              <w:tr2bl w:val="nil"/>
            </w:tcBorders>
            <w:shd w:val="clear" w:color="auto" w:fill="auto"/>
            <w:noWrap/>
            <w:vAlign w:val="center"/>
          </w:tcPr>
          <w:p w14:paraId="55055E3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p>
        </w:tc>
        <w:tc>
          <w:tcPr>
            <w:tcW w:w="580" w:type="dxa"/>
            <w:tcBorders>
              <w:top w:val="single" w:color="auto" w:sz="4" w:space="0"/>
              <w:bottom w:val="single" w:color="auto" w:sz="4" w:space="0"/>
            </w:tcBorders>
            <w:shd w:val="clear" w:color="auto" w:fill="auto"/>
            <w:noWrap/>
            <w:vAlign w:val="center"/>
          </w:tcPr>
          <w:p w14:paraId="7650502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545" w:type="dxa"/>
            <w:tcBorders>
              <w:top w:val="single" w:color="auto" w:sz="4" w:space="0"/>
              <w:bottom w:val="single" w:color="auto" w:sz="4" w:space="0"/>
            </w:tcBorders>
            <w:shd w:val="clear" w:color="auto" w:fill="auto"/>
            <w:noWrap/>
            <w:vAlign w:val="center"/>
          </w:tcPr>
          <w:p w14:paraId="0E1F617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580" w:type="dxa"/>
            <w:tcBorders>
              <w:top w:val="single" w:color="auto" w:sz="4" w:space="0"/>
              <w:bottom w:val="single" w:color="auto" w:sz="4" w:space="0"/>
            </w:tcBorders>
            <w:shd w:val="clear" w:color="auto" w:fill="auto"/>
            <w:noWrap/>
            <w:vAlign w:val="center"/>
          </w:tcPr>
          <w:p w14:paraId="21750B5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545" w:type="dxa"/>
            <w:tcBorders>
              <w:top w:val="single" w:color="auto" w:sz="4" w:space="0"/>
              <w:bottom w:val="single" w:color="auto" w:sz="4" w:space="0"/>
            </w:tcBorders>
            <w:shd w:val="clear" w:color="auto" w:fill="auto"/>
            <w:noWrap/>
            <w:vAlign w:val="center"/>
          </w:tcPr>
          <w:p w14:paraId="7C4E989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580" w:type="dxa"/>
            <w:tcBorders>
              <w:top w:val="single" w:color="auto" w:sz="4" w:space="0"/>
              <w:bottom w:val="single" w:color="auto" w:sz="4" w:space="0"/>
            </w:tcBorders>
            <w:shd w:val="clear" w:color="auto" w:fill="auto"/>
            <w:noWrap/>
            <w:vAlign w:val="center"/>
          </w:tcPr>
          <w:p w14:paraId="3344B74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626" w:type="dxa"/>
            <w:tcBorders>
              <w:top w:val="single" w:color="auto" w:sz="4" w:space="0"/>
              <w:bottom w:val="single" w:color="auto" w:sz="4" w:space="0"/>
            </w:tcBorders>
            <w:shd w:val="clear" w:color="auto" w:fill="auto"/>
            <w:noWrap/>
            <w:vAlign w:val="center"/>
          </w:tcPr>
          <w:p w14:paraId="1FD378F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77" w:type="pct"/>
            <w:tcBorders>
              <w:bottom w:val="single" w:color="auto" w:sz="4" w:space="0"/>
              <w:tl2br w:val="nil"/>
              <w:tr2bl w:val="nil"/>
            </w:tcBorders>
            <w:shd w:val="clear" w:color="auto" w:fill="auto"/>
            <w:noWrap/>
            <w:vAlign w:val="center"/>
          </w:tcPr>
          <w:p w14:paraId="2DCF32D6">
            <w:pPr>
              <w:jc w:val="left"/>
              <w:rPr>
                <w:rFonts w:hint="default" w:ascii="Times New Roman" w:hAnsi="Times New Roman" w:eastAsia="宋体" w:cs="Times New Roman"/>
                <w:b w:val="0"/>
                <w:bCs w:val="0"/>
                <w:i w:val="0"/>
                <w:iCs w:val="0"/>
                <w:color w:val="auto"/>
                <w:sz w:val="18"/>
                <w:szCs w:val="18"/>
                <w:u w:val="none"/>
              </w:rPr>
            </w:pPr>
          </w:p>
        </w:tc>
        <w:tc>
          <w:tcPr>
            <w:tcW w:w="580" w:type="dxa"/>
            <w:tcBorders>
              <w:top w:val="single" w:color="auto" w:sz="4" w:space="0"/>
              <w:bottom w:val="single" w:color="auto" w:sz="4" w:space="0"/>
            </w:tcBorders>
            <w:shd w:val="clear" w:color="auto" w:fill="auto"/>
            <w:noWrap/>
            <w:vAlign w:val="center"/>
          </w:tcPr>
          <w:p w14:paraId="2AB1D0D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545" w:type="dxa"/>
            <w:tcBorders>
              <w:top w:val="single" w:color="auto" w:sz="4" w:space="0"/>
              <w:bottom w:val="single" w:color="auto" w:sz="4" w:space="0"/>
            </w:tcBorders>
            <w:shd w:val="clear" w:color="auto" w:fill="auto"/>
            <w:noWrap/>
            <w:vAlign w:val="center"/>
          </w:tcPr>
          <w:p w14:paraId="3500534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580" w:type="dxa"/>
            <w:tcBorders>
              <w:top w:val="single" w:color="auto" w:sz="4" w:space="0"/>
              <w:bottom w:val="single" w:color="auto" w:sz="4" w:space="0"/>
            </w:tcBorders>
            <w:shd w:val="clear" w:color="auto" w:fill="auto"/>
            <w:noWrap/>
            <w:vAlign w:val="center"/>
          </w:tcPr>
          <w:p w14:paraId="62211D3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545" w:type="dxa"/>
            <w:tcBorders>
              <w:top w:val="single" w:color="auto" w:sz="4" w:space="0"/>
              <w:bottom w:val="single" w:color="auto" w:sz="4" w:space="0"/>
            </w:tcBorders>
            <w:shd w:val="clear" w:color="auto" w:fill="auto"/>
            <w:noWrap/>
            <w:vAlign w:val="center"/>
          </w:tcPr>
          <w:p w14:paraId="5DB3A72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581" w:type="dxa"/>
            <w:tcBorders>
              <w:top w:val="single" w:color="auto" w:sz="4" w:space="0"/>
              <w:bottom w:val="single" w:color="auto" w:sz="4" w:space="0"/>
            </w:tcBorders>
            <w:shd w:val="clear" w:color="auto" w:fill="auto"/>
            <w:noWrap/>
            <w:vAlign w:val="center"/>
          </w:tcPr>
          <w:p w14:paraId="036E5CD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P</w:t>
            </w:r>
          </w:p>
        </w:tc>
        <w:tc>
          <w:tcPr>
            <w:tcW w:w="1546" w:type="dxa"/>
            <w:tcBorders>
              <w:top w:val="single" w:color="auto" w:sz="4" w:space="0"/>
              <w:bottom w:val="single" w:color="auto" w:sz="4" w:space="0"/>
            </w:tcBorders>
            <w:shd w:val="clear" w:color="auto" w:fill="auto"/>
            <w:noWrap/>
            <w:vAlign w:val="center"/>
          </w:tcPr>
          <w:p w14:paraId="678FC2C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iCs/>
                <w:color w:val="auto"/>
                <w:kern w:val="0"/>
                <w:sz w:val="18"/>
                <w:szCs w:val="18"/>
                <w:u w:val="none"/>
                <w:lang w:val="en-US" w:eastAsia="zh-CN" w:bidi="ar"/>
              </w:rPr>
              <w:t>OR</w:t>
            </w:r>
            <w:r>
              <w:rPr>
                <w:rFonts w:hint="default" w:ascii="Times New Roman" w:hAnsi="Times New Roman" w:eastAsia="宋体" w:cs="Times New Roman"/>
                <w:b w:val="0"/>
                <w:bCs w:val="0"/>
                <w:i w:val="0"/>
                <w:iCs w:val="0"/>
                <w:color w:val="auto"/>
                <w:kern w:val="0"/>
                <w:sz w:val="18"/>
                <w:szCs w:val="18"/>
                <w:u w:val="none"/>
                <w:lang w:val="en-US" w:eastAsia="zh-CN" w:bidi="ar"/>
              </w:rPr>
              <w:t xml:space="preserve"> (95%</w:t>
            </w:r>
            <w:r>
              <w:rPr>
                <w:rFonts w:hint="default" w:ascii="Times New Roman" w:hAnsi="Times New Roman" w:eastAsia="宋体" w:cs="Times New Roman"/>
                <w:b w:val="0"/>
                <w:bCs w:val="0"/>
                <w:i/>
                <w:iCs/>
                <w:color w:val="auto"/>
                <w:kern w:val="0"/>
                <w:sz w:val="18"/>
                <w:szCs w:val="18"/>
                <w:u w:val="none"/>
                <w:lang w:val="en-US" w:eastAsia="zh-CN" w:bidi="ar"/>
              </w:rPr>
              <w:t>CI</w:t>
            </w:r>
            <w:r>
              <w:rPr>
                <w:rFonts w:hint="default" w:ascii="Times New Roman" w:hAnsi="Times New Roman" w:eastAsia="宋体" w:cs="Times New Roman"/>
                <w:b w:val="0"/>
                <w:bCs w:val="0"/>
                <w:i w:val="0"/>
                <w:iCs w:val="0"/>
                <w:color w:val="auto"/>
                <w:kern w:val="0"/>
                <w:sz w:val="18"/>
                <w:szCs w:val="18"/>
                <w:u w:val="none"/>
                <w:lang w:val="en-US" w:eastAsia="zh-CN" w:bidi="ar"/>
              </w:rPr>
              <w:t>)</w:t>
            </w:r>
          </w:p>
        </w:tc>
      </w:tr>
      <w:tr w14:paraId="480196DF">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op w:val="single" w:color="auto" w:sz="4" w:space="0"/>
            </w:tcBorders>
            <w:shd w:val="clear" w:color="auto" w:fill="auto"/>
            <w:noWrap/>
            <w:vAlign w:val="center"/>
          </w:tcPr>
          <w:p w14:paraId="49F8B47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LAP</w:t>
            </w:r>
          </w:p>
        </w:tc>
        <w:tc>
          <w:tcPr>
            <w:tcW w:w="203" w:type="pct"/>
            <w:tcBorders>
              <w:top w:val="single" w:color="auto" w:sz="4" w:space="0"/>
            </w:tcBorders>
            <w:shd w:val="clear" w:color="auto" w:fill="auto"/>
            <w:noWrap/>
            <w:vAlign w:val="center"/>
          </w:tcPr>
          <w:p w14:paraId="2DCF7BCF">
            <w:pPr>
              <w:jc w:val="left"/>
              <w:rPr>
                <w:rFonts w:hint="default" w:ascii="Times New Roman" w:hAnsi="Times New Roman" w:eastAsia="宋体" w:cs="Times New Roman"/>
                <w:b w:val="0"/>
                <w:bCs w:val="0"/>
                <w:i w:val="0"/>
                <w:iCs w:val="0"/>
                <w:color w:val="auto"/>
                <w:sz w:val="18"/>
                <w:szCs w:val="18"/>
                <w:u w:val="none"/>
              </w:rPr>
            </w:pPr>
          </w:p>
        </w:tc>
        <w:tc>
          <w:tcPr>
            <w:tcW w:w="542" w:type="pct"/>
            <w:tcBorders>
              <w:top w:val="single" w:color="auto" w:sz="4" w:space="0"/>
            </w:tcBorders>
            <w:shd w:val="clear" w:color="auto" w:fill="auto"/>
            <w:noWrap/>
            <w:vAlign w:val="center"/>
          </w:tcPr>
          <w:p w14:paraId="0B37DF08">
            <w:pPr>
              <w:jc w:val="left"/>
              <w:rPr>
                <w:rFonts w:hint="default" w:ascii="Times New Roman" w:hAnsi="Times New Roman" w:eastAsia="宋体" w:cs="Times New Roman"/>
                <w:b w:val="0"/>
                <w:bCs w:val="0"/>
                <w:i w:val="0"/>
                <w:iCs w:val="0"/>
                <w:color w:val="auto"/>
                <w:sz w:val="18"/>
                <w:szCs w:val="18"/>
                <w:u w:val="none"/>
              </w:rPr>
            </w:pPr>
          </w:p>
        </w:tc>
        <w:tc>
          <w:tcPr>
            <w:tcW w:w="203" w:type="pct"/>
            <w:tcBorders>
              <w:top w:val="single" w:color="auto" w:sz="4" w:space="0"/>
            </w:tcBorders>
            <w:shd w:val="clear" w:color="auto" w:fill="auto"/>
            <w:noWrap/>
            <w:vAlign w:val="center"/>
          </w:tcPr>
          <w:p w14:paraId="6CD988B1">
            <w:pPr>
              <w:jc w:val="left"/>
              <w:rPr>
                <w:rFonts w:hint="default" w:ascii="Times New Roman" w:hAnsi="Times New Roman" w:eastAsia="宋体" w:cs="Times New Roman"/>
                <w:b w:val="0"/>
                <w:bCs w:val="0"/>
                <w:i w:val="0"/>
                <w:iCs w:val="0"/>
                <w:color w:val="auto"/>
                <w:sz w:val="18"/>
                <w:szCs w:val="18"/>
                <w:u w:val="none"/>
              </w:rPr>
            </w:pPr>
          </w:p>
        </w:tc>
        <w:tc>
          <w:tcPr>
            <w:tcW w:w="542" w:type="pct"/>
            <w:tcBorders>
              <w:top w:val="single" w:color="auto" w:sz="4" w:space="0"/>
            </w:tcBorders>
            <w:shd w:val="clear" w:color="auto" w:fill="auto"/>
            <w:noWrap/>
            <w:vAlign w:val="center"/>
          </w:tcPr>
          <w:p w14:paraId="78079061">
            <w:pPr>
              <w:jc w:val="left"/>
              <w:rPr>
                <w:rFonts w:hint="default" w:ascii="Times New Roman" w:hAnsi="Times New Roman" w:eastAsia="宋体" w:cs="Times New Roman"/>
                <w:b w:val="0"/>
                <w:bCs w:val="0"/>
                <w:i w:val="0"/>
                <w:iCs w:val="0"/>
                <w:color w:val="auto"/>
                <w:sz w:val="18"/>
                <w:szCs w:val="18"/>
                <w:u w:val="none"/>
              </w:rPr>
            </w:pPr>
          </w:p>
        </w:tc>
        <w:tc>
          <w:tcPr>
            <w:tcW w:w="203" w:type="pct"/>
            <w:tcBorders>
              <w:top w:val="single" w:color="auto" w:sz="4" w:space="0"/>
            </w:tcBorders>
            <w:shd w:val="clear" w:color="auto" w:fill="auto"/>
            <w:noWrap/>
            <w:vAlign w:val="center"/>
          </w:tcPr>
          <w:p w14:paraId="0A69B213">
            <w:pPr>
              <w:jc w:val="left"/>
              <w:rPr>
                <w:rFonts w:hint="default" w:ascii="Times New Roman" w:hAnsi="Times New Roman" w:eastAsia="宋体" w:cs="Times New Roman"/>
                <w:b w:val="0"/>
                <w:bCs w:val="0"/>
                <w:i w:val="0"/>
                <w:iCs w:val="0"/>
                <w:color w:val="auto"/>
                <w:sz w:val="18"/>
                <w:szCs w:val="18"/>
                <w:u w:val="none"/>
              </w:rPr>
            </w:pPr>
          </w:p>
        </w:tc>
        <w:tc>
          <w:tcPr>
            <w:tcW w:w="570" w:type="pct"/>
            <w:tcBorders>
              <w:top w:val="single" w:color="auto" w:sz="4" w:space="0"/>
            </w:tcBorders>
            <w:shd w:val="clear" w:color="auto" w:fill="auto"/>
            <w:noWrap/>
            <w:vAlign w:val="center"/>
          </w:tcPr>
          <w:p w14:paraId="70AA9231">
            <w:pPr>
              <w:jc w:val="left"/>
              <w:rPr>
                <w:rFonts w:hint="default" w:ascii="Times New Roman" w:hAnsi="Times New Roman" w:eastAsia="宋体" w:cs="Times New Roman"/>
                <w:b w:val="0"/>
                <w:bCs w:val="0"/>
                <w:i w:val="0"/>
                <w:iCs w:val="0"/>
                <w:color w:val="auto"/>
                <w:sz w:val="18"/>
                <w:szCs w:val="18"/>
                <w:u w:val="none"/>
              </w:rPr>
            </w:pPr>
          </w:p>
        </w:tc>
        <w:tc>
          <w:tcPr>
            <w:tcW w:w="77" w:type="pct"/>
            <w:tcBorders>
              <w:top w:val="single" w:color="auto" w:sz="4" w:space="0"/>
            </w:tcBorders>
            <w:shd w:val="clear" w:color="auto" w:fill="auto"/>
            <w:noWrap/>
            <w:vAlign w:val="center"/>
          </w:tcPr>
          <w:p w14:paraId="7D1EFE16">
            <w:pPr>
              <w:jc w:val="left"/>
              <w:rPr>
                <w:rFonts w:hint="default" w:ascii="Times New Roman" w:hAnsi="Times New Roman" w:eastAsia="宋体" w:cs="Times New Roman"/>
                <w:b w:val="0"/>
                <w:bCs w:val="0"/>
                <w:i w:val="0"/>
                <w:iCs w:val="0"/>
                <w:color w:val="auto"/>
                <w:sz w:val="18"/>
                <w:szCs w:val="18"/>
                <w:u w:val="none"/>
              </w:rPr>
            </w:pPr>
          </w:p>
        </w:tc>
        <w:tc>
          <w:tcPr>
            <w:tcW w:w="203" w:type="pct"/>
            <w:tcBorders>
              <w:top w:val="single" w:color="auto" w:sz="4" w:space="0"/>
            </w:tcBorders>
            <w:shd w:val="clear" w:color="auto" w:fill="auto"/>
            <w:noWrap/>
            <w:vAlign w:val="center"/>
          </w:tcPr>
          <w:p w14:paraId="7A7F5038">
            <w:pPr>
              <w:jc w:val="left"/>
              <w:rPr>
                <w:rFonts w:hint="default" w:ascii="Times New Roman" w:hAnsi="Times New Roman" w:eastAsia="宋体" w:cs="Times New Roman"/>
                <w:b w:val="0"/>
                <w:bCs w:val="0"/>
                <w:i w:val="0"/>
                <w:iCs w:val="0"/>
                <w:color w:val="auto"/>
                <w:sz w:val="18"/>
                <w:szCs w:val="18"/>
                <w:u w:val="none"/>
              </w:rPr>
            </w:pPr>
          </w:p>
        </w:tc>
        <w:tc>
          <w:tcPr>
            <w:tcW w:w="542" w:type="pct"/>
            <w:tcBorders>
              <w:top w:val="single" w:color="auto" w:sz="4" w:space="0"/>
            </w:tcBorders>
            <w:shd w:val="clear" w:color="auto" w:fill="auto"/>
            <w:noWrap/>
            <w:vAlign w:val="center"/>
          </w:tcPr>
          <w:p w14:paraId="4582D996">
            <w:pPr>
              <w:jc w:val="left"/>
              <w:rPr>
                <w:rFonts w:hint="default" w:ascii="Times New Roman" w:hAnsi="Times New Roman" w:eastAsia="宋体" w:cs="Times New Roman"/>
                <w:b w:val="0"/>
                <w:bCs w:val="0"/>
                <w:i w:val="0"/>
                <w:iCs w:val="0"/>
                <w:color w:val="auto"/>
                <w:sz w:val="18"/>
                <w:szCs w:val="18"/>
                <w:u w:val="none"/>
              </w:rPr>
            </w:pPr>
          </w:p>
        </w:tc>
        <w:tc>
          <w:tcPr>
            <w:tcW w:w="203" w:type="pct"/>
            <w:tcBorders>
              <w:top w:val="single" w:color="auto" w:sz="4" w:space="0"/>
            </w:tcBorders>
            <w:shd w:val="clear" w:color="auto" w:fill="auto"/>
            <w:noWrap/>
            <w:vAlign w:val="center"/>
          </w:tcPr>
          <w:p w14:paraId="694650C2">
            <w:pPr>
              <w:jc w:val="left"/>
              <w:rPr>
                <w:rFonts w:hint="default" w:ascii="Times New Roman" w:hAnsi="Times New Roman" w:eastAsia="宋体" w:cs="Times New Roman"/>
                <w:b w:val="0"/>
                <w:bCs w:val="0"/>
                <w:i w:val="0"/>
                <w:iCs w:val="0"/>
                <w:color w:val="auto"/>
                <w:sz w:val="18"/>
                <w:szCs w:val="18"/>
                <w:u w:val="none"/>
              </w:rPr>
            </w:pPr>
          </w:p>
        </w:tc>
        <w:tc>
          <w:tcPr>
            <w:tcW w:w="542" w:type="pct"/>
            <w:tcBorders>
              <w:top w:val="single" w:color="auto" w:sz="4" w:space="0"/>
            </w:tcBorders>
            <w:shd w:val="clear" w:color="auto" w:fill="auto"/>
            <w:noWrap/>
            <w:vAlign w:val="center"/>
          </w:tcPr>
          <w:p w14:paraId="47EFDC82">
            <w:pPr>
              <w:jc w:val="left"/>
              <w:rPr>
                <w:rFonts w:hint="default" w:ascii="Times New Roman" w:hAnsi="Times New Roman" w:eastAsia="宋体" w:cs="Times New Roman"/>
                <w:b w:val="0"/>
                <w:bCs w:val="0"/>
                <w:i w:val="0"/>
                <w:iCs w:val="0"/>
                <w:color w:val="auto"/>
                <w:sz w:val="18"/>
                <w:szCs w:val="18"/>
                <w:u w:val="none"/>
              </w:rPr>
            </w:pPr>
          </w:p>
        </w:tc>
        <w:tc>
          <w:tcPr>
            <w:tcW w:w="203" w:type="pct"/>
            <w:tcBorders>
              <w:top w:val="single" w:color="auto" w:sz="4" w:space="0"/>
            </w:tcBorders>
            <w:shd w:val="clear" w:color="auto" w:fill="auto"/>
            <w:noWrap/>
            <w:vAlign w:val="center"/>
          </w:tcPr>
          <w:p w14:paraId="2BECF760">
            <w:pPr>
              <w:jc w:val="left"/>
              <w:rPr>
                <w:rFonts w:hint="default" w:ascii="Times New Roman" w:hAnsi="Times New Roman" w:eastAsia="宋体" w:cs="Times New Roman"/>
                <w:b w:val="0"/>
                <w:bCs w:val="0"/>
                <w:i w:val="0"/>
                <w:iCs w:val="0"/>
                <w:color w:val="auto"/>
                <w:sz w:val="18"/>
                <w:szCs w:val="18"/>
                <w:u w:val="none"/>
              </w:rPr>
            </w:pPr>
          </w:p>
        </w:tc>
        <w:tc>
          <w:tcPr>
            <w:tcW w:w="542" w:type="pct"/>
            <w:tcBorders>
              <w:top w:val="single" w:color="auto" w:sz="4" w:space="0"/>
            </w:tcBorders>
            <w:shd w:val="clear" w:color="auto" w:fill="auto"/>
            <w:noWrap/>
            <w:vAlign w:val="center"/>
          </w:tcPr>
          <w:p w14:paraId="497BCD18">
            <w:pPr>
              <w:jc w:val="left"/>
              <w:rPr>
                <w:rFonts w:hint="default" w:ascii="Times New Roman" w:hAnsi="Times New Roman" w:eastAsia="宋体" w:cs="Times New Roman"/>
                <w:b w:val="0"/>
                <w:bCs w:val="0"/>
                <w:i w:val="0"/>
                <w:iCs w:val="0"/>
                <w:color w:val="auto"/>
                <w:sz w:val="18"/>
                <w:szCs w:val="18"/>
                <w:u w:val="none"/>
              </w:rPr>
            </w:pPr>
          </w:p>
        </w:tc>
      </w:tr>
      <w:tr w14:paraId="79A57A8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75E1F95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Q1 (&lt;20.50)</w:t>
            </w:r>
          </w:p>
        </w:tc>
        <w:tc>
          <w:tcPr>
            <w:tcW w:w="203" w:type="pct"/>
            <w:tcBorders>
              <w:tl2br w:val="nil"/>
              <w:tr2bl w:val="nil"/>
            </w:tcBorders>
            <w:shd w:val="clear" w:color="auto" w:fill="auto"/>
            <w:noWrap/>
            <w:vAlign w:val="center"/>
          </w:tcPr>
          <w:p w14:paraId="3FAB13C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196C4D51">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F02F02F">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62366FBE">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BDEE7C0">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70" w:type="pct"/>
            <w:tcBorders>
              <w:tl2br w:val="nil"/>
              <w:tr2bl w:val="nil"/>
            </w:tcBorders>
            <w:shd w:val="clear" w:color="auto" w:fill="auto"/>
            <w:noWrap/>
            <w:vAlign w:val="center"/>
          </w:tcPr>
          <w:p w14:paraId="46728484">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6493157B">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1E7E32A2">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023CFA7">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B113639">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099F9D04">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1D5D62FA">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10205288">
            <w:pPr>
              <w:jc w:val="left"/>
              <w:rPr>
                <w:rFonts w:hint="default" w:ascii="Times New Roman" w:hAnsi="Times New Roman" w:eastAsia="宋体" w:cs="Times New Roman"/>
                <w:b w:val="0"/>
                <w:bCs w:val="0"/>
                <w:i w:val="0"/>
                <w:iCs w:val="0"/>
                <w:color w:val="auto"/>
                <w:sz w:val="18"/>
                <w:szCs w:val="18"/>
                <w:u w:val="none"/>
              </w:rPr>
            </w:pPr>
          </w:p>
        </w:tc>
      </w:tr>
      <w:tr w14:paraId="1E5B9C5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63D77A1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Q2 (20.50~)</w:t>
            </w:r>
          </w:p>
        </w:tc>
        <w:tc>
          <w:tcPr>
            <w:tcW w:w="203" w:type="pct"/>
            <w:tcBorders>
              <w:tl2br w:val="nil"/>
              <w:tr2bl w:val="nil"/>
            </w:tcBorders>
            <w:shd w:val="clear" w:color="auto" w:fill="auto"/>
            <w:noWrap/>
            <w:vAlign w:val="center"/>
          </w:tcPr>
          <w:p w14:paraId="50094D9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0.226</w:t>
            </w:r>
          </w:p>
        </w:tc>
        <w:tc>
          <w:tcPr>
            <w:tcW w:w="542" w:type="pct"/>
            <w:tcBorders>
              <w:tl2br w:val="nil"/>
              <w:tr2bl w:val="nil"/>
            </w:tcBorders>
            <w:shd w:val="clear" w:color="auto" w:fill="auto"/>
            <w:noWrap/>
            <w:vAlign w:val="center"/>
          </w:tcPr>
          <w:p w14:paraId="03912A0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0.923 (0.811~1.051)</w:t>
            </w:r>
          </w:p>
        </w:tc>
        <w:tc>
          <w:tcPr>
            <w:tcW w:w="203" w:type="pct"/>
            <w:tcBorders>
              <w:tl2br w:val="nil"/>
              <w:tr2bl w:val="nil"/>
            </w:tcBorders>
            <w:shd w:val="clear" w:color="auto" w:fill="auto"/>
            <w:noWrap/>
            <w:vAlign w:val="center"/>
          </w:tcPr>
          <w:p w14:paraId="142FF5C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0.778</w:t>
            </w:r>
          </w:p>
        </w:tc>
        <w:tc>
          <w:tcPr>
            <w:tcW w:w="542" w:type="pct"/>
            <w:tcBorders>
              <w:tl2br w:val="nil"/>
              <w:tr2bl w:val="nil"/>
            </w:tcBorders>
            <w:shd w:val="clear" w:color="auto" w:fill="auto"/>
            <w:noWrap/>
            <w:vAlign w:val="center"/>
          </w:tcPr>
          <w:p w14:paraId="08043CB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0.923 (0.528~1.612)</w:t>
            </w:r>
          </w:p>
        </w:tc>
        <w:tc>
          <w:tcPr>
            <w:tcW w:w="203" w:type="pct"/>
            <w:tcBorders>
              <w:tl2br w:val="nil"/>
              <w:tr2bl w:val="nil"/>
            </w:tcBorders>
            <w:shd w:val="clear" w:color="auto" w:fill="auto"/>
            <w:noWrap/>
            <w:vAlign w:val="center"/>
          </w:tcPr>
          <w:p w14:paraId="1A110B9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0.381</w:t>
            </w:r>
          </w:p>
        </w:tc>
        <w:tc>
          <w:tcPr>
            <w:tcW w:w="570" w:type="pct"/>
            <w:tcBorders>
              <w:tl2br w:val="nil"/>
              <w:tr2bl w:val="nil"/>
            </w:tcBorders>
            <w:shd w:val="clear" w:color="auto" w:fill="auto"/>
            <w:noWrap/>
            <w:vAlign w:val="center"/>
          </w:tcPr>
          <w:p w14:paraId="21FC83B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1.901 (0.452~7.991)</w:t>
            </w:r>
          </w:p>
        </w:tc>
        <w:tc>
          <w:tcPr>
            <w:tcW w:w="77" w:type="pct"/>
            <w:tcBorders>
              <w:tl2br w:val="nil"/>
              <w:tr2bl w:val="nil"/>
            </w:tcBorders>
            <w:shd w:val="clear" w:color="auto" w:fill="auto"/>
            <w:noWrap/>
            <w:vAlign w:val="center"/>
          </w:tcPr>
          <w:p w14:paraId="5EB4479D">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1AFF51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0.836</w:t>
            </w:r>
          </w:p>
        </w:tc>
        <w:tc>
          <w:tcPr>
            <w:tcW w:w="542" w:type="pct"/>
            <w:tcBorders>
              <w:tl2br w:val="nil"/>
              <w:tr2bl w:val="nil"/>
            </w:tcBorders>
            <w:shd w:val="clear" w:color="auto" w:fill="auto"/>
            <w:noWrap/>
            <w:vAlign w:val="center"/>
          </w:tcPr>
          <w:p w14:paraId="304DE25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0.961 (0.661~1.397)</w:t>
            </w:r>
          </w:p>
        </w:tc>
        <w:tc>
          <w:tcPr>
            <w:tcW w:w="203" w:type="pct"/>
            <w:tcBorders>
              <w:tl2br w:val="nil"/>
              <w:tr2bl w:val="nil"/>
            </w:tcBorders>
            <w:shd w:val="clear" w:color="auto" w:fill="auto"/>
            <w:noWrap/>
            <w:vAlign w:val="center"/>
          </w:tcPr>
          <w:p w14:paraId="5EA5DCE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0.716</w:t>
            </w:r>
          </w:p>
        </w:tc>
        <w:tc>
          <w:tcPr>
            <w:tcW w:w="542" w:type="pct"/>
            <w:tcBorders>
              <w:tl2br w:val="nil"/>
              <w:tr2bl w:val="nil"/>
            </w:tcBorders>
            <w:shd w:val="clear" w:color="auto" w:fill="auto"/>
            <w:noWrap/>
            <w:vAlign w:val="center"/>
          </w:tcPr>
          <w:p w14:paraId="6D96436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1.128 (0.589~2.162)</w:t>
            </w:r>
          </w:p>
        </w:tc>
        <w:tc>
          <w:tcPr>
            <w:tcW w:w="203" w:type="pct"/>
            <w:tcBorders>
              <w:tl2br w:val="nil"/>
              <w:tr2bl w:val="nil"/>
            </w:tcBorders>
            <w:shd w:val="clear" w:color="auto" w:fill="auto"/>
            <w:noWrap/>
            <w:vAlign w:val="center"/>
          </w:tcPr>
          <w:p w14:paraId="4573944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0.402</w:t>
            </w:r>
          </w:p>
        </w:tc>
        <w:tc>
          <w:tcPr>
            <w:tcW w:w="542" w:type="pct"/>
            <w:tcBorders>
              <w:tl2br w:val="nil"/>
              <w:tr2bl w:val="nil"/>
            </w:tcBorders>
            <w:shd w:val="clear" w:color="auto" w:fill="auto"/>
            <w:noWrap/>
            <w:vAlign w:val="center"/>
          </w:tcPr>
          <w:p w14:paraId="5BD122E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1.770 (0.466~6.730)</w:t>
            </w:r>
          </w:p>
        </w:tc>
      </w:tr>
      <w:tr w14:paraId="568D669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0662360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Q3 (36.11</w:t>
            </w:r>
            <w:r>
              <w:rPr>
                <w:rFonts w:hint="eastAsia" w:ascii="Times New Roman" w:hAnsi="Times New Roman" w:eastAsia="宋体" w:cs="Times New Roman"/>
                <w:b w:val="0"/>
                <w:bCs w:val="0"/>
                <w:i w:val="0"/>
                <w:iCs w:val="0"/>
                <w:color w:val="auto"/>
                <w:kern w:val="0"/>
                <w:sz w:val="18"/>
                <w:szCs w:val="18"/>
                <w:u w:val="none"/>
                <w:lang w:val="en-US" w:eastAsia="zh-CN" w:bidi="ar"/>
              </w:rPr>
              <w:t>~</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203" w:type="pct"/>
            <w:tcBorders>
              <w:tl2br w:val="nil"/>
              <w:tr2bl w:val="nil"/>
            </w:tcBorders>
            <w:shd w:val="clear" w:color="auto" w:fill="auto"/>
            <w:noWrap/>
            <w:vAlign w:val="center"/>
          </w:tcPr>
          <w:p w14:paraId="7F98AA4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0.800</w:t>
            </w:r>
          </w:p>
        </w:tc>
        <w:tc>
          <w:tcPr>
            <w:tcW w:w="542" w:type="pct"/>
            <w:tcBorders>
              <w:tl2br w:val="nil"/>
              <w:tr2bl w:val="nil"/>
            </w:tcBorders>
            <w:shd w:val="clear" w:color="auto" w:fill="auto"/>
            <w:noWrap/>
            <w:vAlign w:val="center"/>
          </w:tcPr>
          <w:p w14:paraId="2372E10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0.983 (0.863~1.120)</w:t>
            </w:r>
          </w:p>
        </w:tc>
        <w:tc>
          <w:tcPr>
            <w:tcW w:w="203" w:type="pct"/>
            <w:tcBorders>
              <w:tl2br w:val="nil"/>
              <w:tr2bl w:val="nil"/>
            </w:tcBorders>
            <w:shd w:val="clear" w:color="auto" w:fill="auto"/>
            <w:noWrap/>
            <w:vAlign w:val="center"/>
          </w:tcPr>
          <w:p w14:paraId="007499D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0.888</w:t>
            </w:r>
          </w:p>
        </w:tc>
        <w:tc>
          <w:tcPr>
            <w:tcW w:w="542" w:type="pct"/>
            <w:tcBorders>
              <w:tl2br w:val="nil"/>
              <w:tr2bl w:val="nil"/>
            </w:tcBorders>
            <w:shd w:val="clear" w:color="auto" w:fill="auto"/>
            <w:noWrap/>
            <w:vAlign w:val="center"/>
          </w:tcPr>
          <w:p w14:paraId="2EF606A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1.041 (0.597~1.813)</w:t>
            </w:r>
          </w:p>
        </w:tc>
        <w:tc>
          <w:tcPr>
            <w:tcW w:w="203" w:type="pct"/>
            <w:tcBorders>
              <w:tl2br w:val="nil"/>
              <w:tr2bl w:val="nil"/>
            </w:tcBorders>
            <w:shd w:val="clear" w:color="auto" w:fill="auto"/>
            <w:noWrap/>
            <w:vAlign w:val="center"/>
          </w:tcPr>
          <w:p w14:paraId="3C02DC4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0.369</w:t>
            </w:r>
          </w:p>
        </w:tc>
        <w:tc>
          <w:tcPr>
            <w:tcW w:w="570" w:type="pct"/>
            <w:tcBorders>
              <w:tl2br w:val="nil"/>
              <w:tr2bl w:val="nil"/>
            </w:tcBorders>
            <w:shd w:val="clear" w:color="auto" w:fill="auto"/>
            <w:noWrap/>
            <w:vAlign w:val="center"/>
          </w:tcPr>
          <w:p w14:paraId="5E00F31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1.944 (0.455~8.304)</w:t>
            </w:r>
          </w:p>
        </w:tc>
        <w:tc>
          <w:tcPr>
            <w:tcW w:w="77" w:type="pct"/>
            <w:tcBorders>
              <w:tl2br w:val="nil"/>
              <w:tr2bl w:val="nil"/>
            </w:tcBorders>
            <w:shd w:val="clear" w:color="auto" w:fill="auto"/>
            <w:noWrap/>
            <w:vAlign w:val="center"/>
          </w:tcPr>
          <w:p w14:paraId="13858F76">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ED35CA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0.837</w:t>
            </w:r>
          </w:p>
        </w:tc>
        <w:tc>
          <w:tcPr>
            <w:tcW w:w="542" w:type="pct"/>
            <w:tcBorders>
              <w:tl2br w:val="nil"/>
              <w:tr2bl w:val="nil"/>
            </w:tcBorders>
            <w:shd w:val="clear" w:color="auto" w:fill="auto"/>
            <w:noWrap/>
            <w:vAlign w:val="center"/>
          </w:tcPr>
          <w:p w14:paraId="540F13A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1.040 (0.719~1.504)</w:t>
            </w:r>
          </w:p>
        </w:tc>
        <w:tc>
          <w:tcPr>
            <w:tcW w:w="203" w:type="pct"/>
            <w:tcBorders>
              <w:tl2br w:val="nil"/>
              <w:tr2bl w:val="nil"/>
            </w:tcBorders>
            <w:shd w:val="clear" w:color="auto" w:fill="auto"/>
            <w:noWrap/>
            <w:vAlign w:val="center"/>
          </w:tcPr>
          <w:p w14:paraId="753FB84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0.155</w:t>
            </w:r>
          </w:p>
        </w:tc>
        <w:tc>
          <w:tcPr>
            <w:tcW w:w="542" w:type="pct"/>
            <w:tcBorders>
              <w:tl2br w:val="nil"/>
              <w:tr2bl w:val="nil"/>
            </w:tcBorders>
            <w:shd w:val="clear" w:color="auto" w:fill="auto"/>
            <w:noWrap/>
            <w:vAlign w:val="center"/>
          </w:tcPr>
          <w:p w14:paraId="160335B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0.584 (0.278~1.226)</w:t>
            </w:r>
          </w:p>
        </w:tc>
        <w:tc>
          <w:tcPr>
            <w:tcW w:w="203" w:type="pct"/>
            <w:tcBorders>
              <w:tl2br w:val="nil"/>
              <w:tr2bl w:val="nil"/>
            </w:tcBorders>
            <w:shd w:val="clear" w:color="auto" w:fill="auto"/>
            <w:noWrap/>
            <w:vAlign w:val="center"/>
          </w:tcPr>
          <w:p w14:paraId="2991AE6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0.231</w:t>
            </w:r>
          </w:p>
        </w:tc>
        <w:tc>
          <w:tcPr>
            <w:tcW w:w="542" w:type="pct"/>
            <w:tcBorders>
              <w:tl2br w:val="nil"/>
              <w:tr2bl w:val="nil"/>
            </w:tcBorders>
            <w:shd w:val="clear" w:color="auto" w:fill="auto"/>
            <w:noWrap/>
            <w:vAlign w:val="center"/>
          </w:tcPr>
          <w:p w14:paraId="2A21DE7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2.224 (0.601~8.236)</w:t>
            </w:r>
          </w:p>
        </w:tc>
      </w:tr>
      <w:tr w14:paraId="5583B62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0414E09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Q4 (≥60.06)</w:t>
            </w:r>
          </w:p>
        </w:tc>
        <w:tc>
          <w:tcPr>
            <w:tcW w:w="203" w:type="pct"/>
            <w:tcBorders>
              <w:tl2br w:val="nil"/>
              <w:tr2bl w:val="nil"/>
            </w:tcBorders>
            <w:shd w:val="clear" w:color="auto" w:fill="auto"/>
            <w:noWrap/>
            <w:vAlign w:val="center"/>
          </w:tcPr>
          <w:p w14:paraId="54DD778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0.072</w:t>
            </w:r>
          </w:p>
        </w:tc>
        <w:tc>
          <w:tcPr>
            <w:tcW w:w="542" w:type="pct"/>
            <w:tcBorders>
              <w:tl2br w:val="nil"/>
              <w:tr2bl w:val="nil"/>
            </w:tcBorders>
            <w:shd w:val="clear" w:color="auto" w:fill="auto"/>
            <w:noWrap/>
            <w:vAlign w:val="center"/>
          </w:tcPr>
          <w:p w14:paraId="3C12185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0.885 (0.774~1.011)</w:t>
            </w:r>
          </w:p>
        </w:tc>
        <w:tc>
          <w:tcPr>
            <w:tcW w:w="203" w:type="pct"/>
            <w:tcBorders>
              <w:tl2br w:val="nil"/>
              <w:tr2bl w:val="nil"/>
            </w:tcBorders>
            <w:shd w:val="clear" w:color="auto" w:fill="auto"/>
            <w:noWrap/>
            <w:vAlign w:val="center"/>
          </w:tcPr>
          <w:p w14:paraId="1DC979D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0.710</w:t>
            </w:r>
          </w:p>
        </w:tc>
        <w:tc>
          <w:tcPr>
            <w:tcW w:w="542" w:type="pct"/>
            <w:tcBorders>
              <w:tl2br w:val="nil"/>
              <w:tr2bl w:val="nil"/>
            </w:tcBorders>
            <w:shd w:val="clear" w:color="auto" w:fill="auto"/>
            <w:noWrap/>
            <w:vAlign w:val="center"/>
          </w:tcPr>
          <w:p w14:paraId="5DB8562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1.111 (0.639~1.929)</w:t>
            </w:r>
          </w:p>
        </w:tc>
        <w:tc>
          <w:tcPr>
            <w:tcW w:w="203" w:type="pct"/>
            <w:tcBorders>
              <w:tl2br w:val="nil"/>
              <w:tr2bl w:val="nil"/>
            </w:tcBorders>
            <w:shd w:val="clear" w:color="auto" w:fill="auto"/>
            <w:noWrap/>
            <w:vAlign w:val="center"/>
          </w:tcPr>
          <w:p w14:paraId="5D4C0F7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0.920</w:t>
            </w:r>
          </w:p>
        </w:tc>
        <w:tc>
          <w:tcPr>
            <w:tcW w:w="570" w:type="pct"/>
            <w:tcBorders>
              <w:tl2br w:val="nil"/>
              <w:tr2bl w:val="nil"/>
            </w:tcBorders>
            <w:shd w:val="clear" w:color="auto" w:fill="auto"/>
            <w:noWrap/>
            <w:vAlign w:val="center"/>
          </w:tcPr>
          <w:p w14:paraId="3B3E991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0.917 (0.170~4.948)</w:t>
            </w:r>
          </w:p>
        </w:tc>
        <w:tc>
          <w:tcPr>
            <w:tcW w:w="77" w:type="pct"/>
            <w:tcBorders>
              <w:tl2br w:val="nil"/>
              <w:tr2bl w:val="nil"/>
            </w:tcBorders>
            <w:shd w:val="clear" w:color="auto" w:fill="auto"/>
            <w:noWrap/>
            <w:vAlign w:val="center"/>
          </w:tcPr>
          <w:p w14:paraId="5278336A">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EAD5C5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0.078</w:t>
            </w:r>
          </w:p>
        </w:tc>
        <w:tc>
          <w:tcPr>
            <w:tcW w:w="542" w:type="pct"/>
            <w:tcBorders>
              <w:tl2br w:val="nil"/>
              <w:tr2bl w:val="nil"/>
            </w:tcBorders>
            <w:shd w:val="clear" w:color="auto" w:fill="auto"/>
            <w:noWrap/>
            <w:vAlign w:val="center"/>
          </w:tcPr>
          <w:p w14:paraId="61779BD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0.690 (0.457~1.042)</w:t>
            </w:r>
          </w:p>
        </w:tc>
        <w:tc>
          <w:tcPr>
            <w:tcW w:w="203" w:type="pct"/>
            <w:tcBorders>
              <w:tl2br w:val="nil"/>
              <w:tr2bl w:val="nil"/>
            </w:tcBorders>
            <w:shd w:val="clear" w:color="auto" w:fill="auto"/>
            <w:noWrap/>
            <w:vAlign w:val="center"/>
          </w:tcPr>
          <w:p w14:paraId="6355C0D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0.751</w:t>
            </w:r>
          </w:p>
        </w:tc>
        <w:tc>
          <w:tcPr>
            <w:tcW w:w="542" w:type="pct"/>
            <w:tcBorders>
              <w:tl2br w:val="nil"/>
              <w:tr2bl w:val="nil"/>
            </w:tcBorders>
            <w:shd w:val="clear" w:color="auto" w:fill="auto"/>
            <w:noWrap/>
            <w:vAlign w:val="center"/>
          </w:tcPr>
          <w:p w14:paraId="6C0991C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0.895 (0.449~1.781)</w:t>
            </w:r>
          </w:p>
        </w:tc>
        <w:tc>
          <w:tcPr>
            <w:tcW w:w="203" w:type="pct"/>
            <w:tcBorders>
              <w:tl2br w:val="nil"/>
              <w:tr2bl w:val="nil"/>
            </w:tcBorders>
            <w:shd w:val="clear" w:color="auto" w:fill="auto"/>
            <w:noWrap/>
            <w:vAlign w:val="center"/>
          </w:tcPr>
          <w:p w14:paraId="712F810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0.356</w:t>
            </w:r>
          </w:p>
        </w:tc>
        <w:tc>
          <w:tcPr>
            <w:tcW w:w="542" w:type="pct"/>
            <w:tcBorders>
              <w:tl2br w:val="nil"/>
              <w:tr2bl w:val="nil"/>
            </w:tcBorders>
            <w:shd w:val="clear" w:color="auto" w:fill="auto"/>
            <w:noWrap/>
            <w:vAlign w:val="center"/>
          </w:tcPr>
          <w:p w14:paraId="478ABCE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1.850 (0.501~6.829)</w:t>
            </w:r>
          </w:p>
        </w:tc>
      </w:tr>
      <w:tr w14:paraId="2DF75BC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07A857F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LAP z-score</w:t>
            </w:r>
          </w:p>
        </w:tc>
        <w:tc>
          <w:tcPr>
            <w:tcW w:w="203" w:type="pct"/>
            <w:tcBorders>
              <w:tl2br w:val="nil"/>
              <w:tr2bl w:val="nil"/>
            </w:tcBorders>
            <w:shd w:val="clear" w:color="auto" w:fill="auto"/>
            <w:noWrap/>
            <w:vAlign w:val="center"/>
          </w:tcPr>
          <w:p w14:paraId="3328A52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0.070</w:t>
            </w:r>
          </w:p>
        </w:tc>
        <w:tc>
          <w:tcPr>
            <w:tcW w:w="542" w:type="pct"/>
            <w:tcBorders>
              <w:tl2br w:val="nil"/>
              <w:tr2bl w:val="nil"/>
            </w:tcBorders>
            <w:shd w:val="clear" w:color="auto" w:fill="auto"/>
            <w:noWrap/>
            <w:vAlign w:val="center"/>
          </w:tcPr>
          <w:p w14:paraId="2C5282A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0.956 (0.910~1.004)</w:t>
            </w:r>
          </w:p>
        </w:tc>
        <w:tc>
          <w:tcPr>
            <w:tcW w:w="203" w:type="pct"/>
            <w:tcBorders>
              <w:tl2br w:val="nil"/>
              <w:tr2bl w:val="nil"/>
            </w:tcBorders>
            <w:shd w:val="clear" w:color="auto" w:fill="auto"/>
            <w:noWrap/>
            <w:vAlign w:val="center"/>
          </w:tcPr>
          <w:p w14:paraId="2BEF62A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0.949</w:t>
            </w:r>
          </w:p>
        </w:tc>
        <w:tc>
          <w:tcPr>
            <w:tcW w:w="542" w:type="pct"/>
            <w:tcBorders>
              <w:tl2br w:val="nil"/>
              <w:tr2bl w:val="nil"/>
            </w:tcBorders>
            <w:shd w:val="clear" w:color="auto" w:fill="auto"/>
            <w:noWrap/>
            <w:vAlign w:val="center"/>
          </w:tcPr>
          <w:p w14:paraId="71B72F5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1.006 (0.834~1.214)</w:t>
            </w:r>
          </w:p>
        </w:tc>
        <w:tc>
          <w:tcPr>
            <w:tcW w:w="203" w:type="pct"/>
            <w:tcBorders>
              <w:tl2br w:val="nil"/>
              <w:tr2bl w:val="nil"/>
            </w:tcBorders>
            <w:shd w:val="clear" w:color="auto" w:fill="auto"/>
            <w:noWrap/>
            <w:vAlign w:val="center"/>
          </w:tcPr>
          <w:p w14:paraId="4C5F1E7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0.604</w:t>
            </w:r>
          </w:p>
        </w:tc>
        <w:tc>
          <w:tcPr>
            <w:tcW w:w="570" w:type="pct"/>
            <w:tcBorders>
              <w:tl2br w:val="nil"/>
              <w:tr2bl w:val="nil"/>
            </w:tcBorders>
            <w:shd w:val="clear" w:color="auto" w:fill="auto"/>
            <w:noWrap/>
            <w:vAlign w:val="center"/>
          </w:tcPr>
          <w:p w14:paraId="6895526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0.848 (0.456~1.580)</w:t>
            </w:r>
          </w:p>
        </w:tc>
        <w:tc>
          <w:tcPr>
            <w:tcW w:w="77" w:type="pct"/>
            <w:tcBorders>
              <w:tl2br w:val="nil"/>
              <w:tr2bl w:val="nil"/>
            </w:tcBorders>
            <w:shd w:val="clear" w:color="auto" w:fill="auto"/>
            <w:noWrap/>
            <w:vAlign w:val="center"/>
          </w:tcPr>
          <w:p w14:paraId="224F9EF4">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08532A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0.124</w:t>
            </w:r>
          </w:p>
        </w:tc>
        <w:tc>
          <w:tcPr>
            <w:tcW w:w="542" w:type="pct"/>
            <w:tcBorders>
              <w:tl2br w:val="nil"/>
              <w:tr2bl w:val="nil"/>
            </w:tcBorders>
            <w:shd w:val="clear" w:color="auto" w:fill="auto"/>
            <w:noWrap/>
            <w:vAlign w:val="center"/>
          </w:tcPr>
          <w:p w14:paraId="7FD4C20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0.874 (0.735~1.038)</w:t>
            </w:r>
          </w:p>
        </w:tc>
        <w:tc>
          <w:tcPr>
            <w:tcW w:w="203" w:type="pct"/>
            <w:tcBorders>
              <w:tl2br w:val="nil"/>
              <w:tr2bl w:val="nil"/>
            </w:tcBorders>
            <w:shd w:val="clear" w:color="auto" w:fill="auto"/>
            <w:noWrap/>
            <w:vAlign w:val="center"/>
          </w:tcPr>
          <w:p w14:paraId="3F29B80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0.485</w:t>
            </w:r>
          </w:p>
        </w:tc>
        <w:tc>
          <w:tcPr>
            <w:tcW w:w="542" w:type="pct"/>
            <w:tcBorders>
              <w:tl2br w:val="nil"/>
              <w:tr2bl w:val="nil"/>
            </w:tcBorders>
            <w:shd w:val="clear" w:color="auto" w:fill="auto"/>
            <w:noWrap/>
            <w:vAlign w:val="center"/>
          </w:tcPr>
          <w:p w14:paraId="6C5FCBE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1.075 (0.878~1.317)</w:t>
            </w:r>
          </w:p>
        </w:tc>
        <w:tc>
          <w:tcPr>
            <w:tcW w:w="203" w:type="pct"/>
            <w:tcBorders>
              <w:tl2br w:val="nil"/>
              <w:tr2bl w:val="nil"/>
            </w:tcBorders>
            <w:shd w:val="clear" w:color="auto" w:fill="auto"/>
            <w:noWrap/>
            <w:vAlign w:val="center"/>
          </w:tcPr>
          <w:p w14:paraId="09358E4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0.095</w:t>
            </w:r>
          </w:p>
        </w:tc>
        <w:tc>
          <w:tcPr>
            <w:tcW w:w="542" w:type="pct"/>
            <w:tcBorders>
              <w:tl2br w:val="nil"/>
              <w:tr2bl w:val="nil"/>
            </w:tcBorders>
            <w:shd w:val="clear" w:color="auto" w:fill="auto"/>
            <w:noWrap/>
            <w:vAlign w:val="center"/>
          </w:tcPr>
          <w:p w14:paraId="22856FC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1.207 (0.968~1.505)</w:t>
            </w:r>
          </w:p>
        </w:tc>
      </w:tr>
      <w:tr w14:paraId="177687C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6EA06B3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VAI</w:t>
            </w:r>
          </w:p>
        </w:tc>
        <w:tc>
          <w:tcPr>
            <w:tcW w:w="203" w:type="pct"/>
            <w:tcBorders>
              <w:tl2br w:val="nil"/>
              <w:tr2bl w:val="nil"/>
            </w:tcBorders>
            <w:shd w:val="clear" w:color="auto" w:fill="auto"/>
            <w:noWrap/>
            <w:vAlign w:val="center"/>
          </w:tcPr>
          <w:p w14:paraId="1F342C8C">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5A76E984">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5C0B6002">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080FC3EE">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673AC45">
            <w:pPr>
              <w:jc w:val="left"/>
              <w:rPr>
                <w:rFonts w:hint="default" w:ascii="Times New Roman" w:hAnsi="Times New Roman" w:eastAsia="宋体" w:cs="Times New Roman"/>
                <w:b w:val="0"/>
                <w:bCs w:val="0"/>
                <w:i w:val="0"/>
                <w:iCs w:val="0"/>
                <w:color w:val="auto"/>
                <w:sz w:val="18"/>
                <w:szCs w:val="18"/>
                <w:u w:val="none"/>
              </w:rPr>
            </w:pPr>
          </w:p>
        </w:tc>
        <w:tc>
          <w:tcPr>
            <w:tcW w:w="570" w:type="pct"/>
            <w:tcBorders>
              <w:tl2br w:val="nil"/>
              <w:tr2bl w:val="nil"/>
            </w:tcBorders>
            <w:shd w:val="clear" w:color="auto" w:fill="auto"/>
            <w:noWrap/>
            <w:vAlign w:val="center"/>
          </w:tcPr>
          <w:p w14:paraId="281A1251">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11C52968">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391B3E05">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0EB35E98">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51214EC2">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5EC5DD38">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90B390A">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5DFBA83F">
            <w:pPr>
              <w:jc w:val="left"/>
              <w:rPr>
                <w:rFonts w:hint="default" w:ascii="Times New Roman" w:hAnsi="Times New Roman" w:eastAsia="宋体" w:cs="Times New Roman"/>
                <w:b w:val="0"/>
                <w:bCs w:val="0"/>
                <w:i w:val="0"/>
                <w:iCs w:val="0"/>
                <w:color w:val="auto"/>
                <w:sz w:val="18"/>
                <w:szCs w:val="18"/>
                <w:u w:val="none"/>
              </w:rPr>
            </w:pPr>
          </w:p>
        </w:tc>
      </w:tr>
      <w:tr w14:paraId="63858D4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33A7E0F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Q1 (&lt;1.19)</w:t>
            </w:r>
          </w:p>
        </w:tc>
        <w:tc>
          <w:tcPr>
            <w:tcW w:w="203" w:type="pct"/>
            <w:tcBorders>
              <w:tl2br w:val="nil"/>
              <w:tr2bl w:val="nil"/>
            </w:tcBorders>
            <w:shd w:val="clear" w:color="auto" w:fill="auto"/>
            <w:noWrap/>
            <w:vAlign w:val="center"/>
          </w:tcPr>
          <w:p w14:paraId="7971409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44CEDDAC">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0BCB4F1">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D5236C5">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6F9FB20">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70" w:type="pct"/>
            <w:tcBorders>
              <w:tl2br w:val="nil"/>
              <w:tr2bl w:val="nil"/>
            </w:tcBorders>
            <w:shd w:val="clear" w:color="auto" w:fill="auto"/>
            <w:noWrap/>
            <w:vAlign w:val="center"/>
          </w:tcPr>
          <w:p w14:paraId="5D7D29C2">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2EFDF746">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5E1315AA">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625A80DA">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83670DE">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653A69E0">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2F41FE1E">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49E339A9">
            <w:pPr>
              <w:jc w:val="left"/>
              <w:rPr>
                <w:rFonts w:hint="default" w:ascii="Times New Roman" w:hAnsi="Times New Roman" w:eastAsia="宋体" w:cs="Times New Roman"/>
                <w:b w:val="0"/>
                <w:bCs w:val="0"/>
                <w:i w:val="0"/>
                <w:iCs w:val="0"/>
                <w:color w:val="auto"/>
                <w:sz w:val="18"/>
                <w:szCs w:val="18"/>
                <w:u w:val="none"/>
              </w:rPr>
            </w:pPr>
          </w:p>
        </w:tc>
      </w:tr>
      <w:tr w14:paraId="104D055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7AE1297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Q2 (1.19</w:t>
            </w:r>
            <w:r>
              <w:rPr>
                <w:rFonts w:hint="eastAsia" w:ascii="Times New Roman" w:hAnsi="Times New Roman" w:eastAsia="宋体" w:cs="Times New Roman"/>
                <w:b w:val="0"/>
                <w:bCs w:val="0"/>
                <w:i w:val="0"/>
                <w:iCs w:val="0"/>
                <w:color w:val="auto"/>
                <w:kern w:val="0"/>
                <w:sz w:val="18"/>
                <w:szCs w:val="18"/>
                <w:u w:val="none"/>
                <w:lang w:val="en-US" w:eastAsia="zh-CN" w:bidi="ar"/>
              </w:rPr>
              <w:t>~</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203" w:type="pct"/>
            <w:tcBorders>
              <w:tl2br w:val="nil"/>
              <w:tr2bl w:val="nil"/>
            </w:tcBorders>
            <w:shd w:val="clear" w:color="auto" w:fill="auto"/>
            <w:noWrap/>
            <w:vAlign w:val="center"/>
          </w:tcPr>
          <w:p w14:paraId="3F0C88A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0.429</w:t>
            </w:r>
          </w:p>
        </w:tc>
        <w:tc>
          <w:tcPr>
            <w:tcW w:w="542" w:type="pct"/>
            <w:tcBorders>
              <w:tl2br w:val="nil"/>
              <w:tr2bl w:val="nil"/>
            </w:tcBorders>
            <w:shd w:val="clear" w:color="auto" w:fill="auto"/>
            <w:noWrap/>
            <w:vAlign w:val="center"/>
          </w:tcPr>
          <w:p w14:paraId="1E9FF6E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0.949 (0.833~1.081)</w:t>
            </w:r>
          </w:p>
        </w:tc>
        <w:tc>
          <w:tcPr>
            <w:tcW w:w="203" w:type="pct"/>
            <w:tcBorders>
              <w:tl2br w:val="nil"/>
              <w:tr2bl w:val="nil"/>
            </w:tcBorders>
            <w:shd w:val="clear" w:color="auto" w:fill="auto"/>
            <w:noWrap/>
            <w:vAlign w:val="center"/>
          </w:tcPr>
          <w:p w14:paraId="2820D27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0.450</w:t>
            </w:r>
          </w:p>
        </w:tc>
        <w:tc>
          <w:tcPr>
            <w:tcW w:w="542" w:type="pct"/>
            <w:tcBorders>
              <w:tl2br w:val="nil"/>
              <w:tr2bl w:val="nil"/>
            </w:tcBorders>
            <w:shd w:val="clear" w:color="auto" w:fill="auto"/>
            <w:noWrap/>
            <w:vAlign w:val="center"/>
          </w:tcPr>
          <w:p w14:paraId="6B140D0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0.801 (0.451~1.423)</w:t>
            </w:r>
          </w:p>
        </w:tc>
        <w:tc>
          <w:tcPr>
            <w:tcW w:w="203" w:type="pct"/>
            <w:tcBorders>
              <w:tl2br w:val="nil"/>
              <w:tr2bl w:val="nil"/>
            </w:tcBorders>
            <w:shd w:val="clear" w:color="auto" w:fill="auto"/>
            <w:noWrap/>
            <w:vAlign w:val="center"/>
          </w:tcPr>
          <w:p w14:paraId="2040A7A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0.181</w:t>
            </w:r>
          </w:p>
        </w:tc>
        <w:tc>
          <w:tcPr>
            <w:tcW w:w="570" w:type="pct"/>
            <w:tcBorders>
              <w:tl2br w:val="nil"/>
              <w:tr2bl w:val="nil"/>
            </w:tcBorders>
            <w:shd w:val="clear" w:color="auto" w:fill="auto"/>
            <w:noWrap/>
            <w:vAlign w:val="center"/>
          </w:tcPr>
          <w:p w14:paraId="5182898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2.673 (0.633~11.281)</w:t>
            </w:r>
          </w:p>
        </w:tc>
        <w:tc>
          <w:tcPr>
            <w:tcW w:w="77" w:type="pct"/>
            <w:tcBorders>
              <w:tl2br w:val="nil"/>
              <w:tr2bl w:val="nil"/>
            </w:tcBorders>
            <w:shd w:val="clear" w:color="auto" w:fill="auto"/>
            <w:noWrap/>
            <w:vAlign w:val="center"/>
          </w:tcPr>
          <w:p w14:paraId="7139A345">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561A6A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0.243</w:t>
            </w:r>
          </w:p>
        </w:tc>
        <w:tc>
          <w:tcPr>
            <w:tcW w:w="542" w:type="pct"/>
            <w:tcBorders>
              <w:tl2br w:val="nil"/>
              <w:tr2bl w:val="nil"/>
            </w:tcBorders>
            <w:shd w:val="clear" w:color="auto" w:fill="auto"/>
            <w:noWrap/>
            <w:vAlign w:val="center"/>
          </w:tcPr>
          <w:p w14:paraId="125DBB6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1.249 (0.860~1.816)</w:t>
            </w:r>
          </w:p>
        </w:tc>
        <w:tc>
          <w:tcPr>
            <w:tcW w:w="203" w:type="pct"/>
            <w:tcBorders>
              <w:tl2br w:val="nil"/>
              <w:tr2bl w:val="nil"/>
            </w:tcBorders>
            <w:shd w:val="clear" w:color="auto" w:fill="auto"/>
            <w:noWrap/>
            <w:vAlign w:val="center"/>
          </w:tcPr>
          <w:p w14:paraId="6D0D69F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0.382</w:t>
            </w:r>
          </w:p>
        </w:tc>
        <w:tc>
          <w:tcPr>
            <w:tcW w:w="542" w:type="pct"/>
            <w:tcBorders>
              <w:tl2br w:val="nil"/>
              <w:tr2bl w:val="nil"/>
            </w:tcBorders>
            <w:shd w:val="clear" w:color="auto" w:fill="auto"/>
            <w:noWrap/>
            <w:vAlign w:val="center"/>
          </w:tcPr>
          <w:p w14:paraId="10EE35A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1.328 (0.703~2.512)</w:t>
            </w:r>
          </w:p>
        </w:tc>
        <w:tc>
          <w:tcPr>
            <w:tcW w:w="203" w:type="pct"/>
            <w:tcBorders>
              <w:tl2br w:val="nil"/>
              <w:tr2bl w:val="nil"/>
            </w:tcBorders>
            <w:shd w:val="clear" w:color="auto" w:fill="auto"/>
            <w:noWrap/>
            <w:vAlign w:val="center"/>
          </w:tcPr>
          <w:p w14:paraId="3A29D6A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0.516</w:t>
            </w:r>
          </w:p>
        </w:tc>
        <w:tc>
          <w:tcPr>
            <w:tcW w:w="542" w:type="pct"/>
            <w:tcBorders>
              <w:tl2br w:val="nil"/>
              <w:tr2bl w:val="nil"/>
            </w:tcBorders>
            <w:shd w:val="clear" w:color="auto" w:fill="auto"/>
            <w:noWrap/>
            <w:vAlign w:val="center"/>
          </w:tcPr>
          <w:p w14:paraId="6BDC317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1.481 (0.453~4.836)</w:t>
            </w:r>
          </w:p>
        </w:tc>
      </w:tr>
      <w:tr w14:paraId="320906C8">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43756D0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Q3 (1.94</w:t>
            </w:r>
            <w:r>
              <w:rPr>
                <w:rFonts w:hint="eastAsia" w:ascii="Times New Roman" w:hAnsi="Times New Roman" w:eastAsia="宋体" w:cs="Times New Roman"/>
                <w:b w:val="0"/>
                <w:bCs w:val="0"/>
                <w:i w:val="0"/>
                <w:iCs w:val="0"/>
                <w:color w:val="auto"/>
                <w:kern w:val="0"/>
                <w:sz w:val="18"/>
                <w:szCs w:val="18"/>
                <w:u w:val="none"/>
                <w:lang w:val="en-US" w:eastAsia="zh-CN" w:bidi="ar"/>
              </w:rPr>
              <w:t>~</w:t>
            </w:r>
            <w:r>
              <w:rPr>
                <w:rFonts w:hint="default" w:ascii="Times New Roman" w:hAnsi="Times New Roman" w:eastAsia="宋体" w:cs="Times New Roman"/>
                <w:b w:val="0"/>
                <w:bCs w:val="0"/>
                <w:i w:val="0"/>
                <w:iCs w:val="0"/>
                <w:color w:val="auto"/>
                <w:kern w:val="0"/>
                <w:sz w:val="18"/>
                <w:szCs w:val="18"/>
                <w:u w:val="none"/>
                <w:lang w:val="en-US" w:eastAsia="zh-CN" w:bidi="ar"/>
              </w:rPr>
              <w:t>)</w:t>
            </w:r>
          </w:p>
        </w:tc>
        <w:tc>
          <w:tcPr>
            <w:tcW w:w="203" w:type="pct"/>
            <w:tcBorders>
              <w:tl2br w:val="nil"/>
              <w:tr2bl w:val="nil"/>
            </w:tcBorders>
            <w:shd w:val="clear" w:color="auto" w:fill="auto"/>
            <w:noWrap/>
            <w:vAlign w:val="center"/>
          </w:tcPr>
          <w:p w14:paraId="6EB0672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0.350</w:t>
            </w:r>
          </w:p>
        </w:tc>
        <w:tc>
          <w:tcPr>
            <w:tcW w:w="542" w:type="pct"/>
            <w:tcBorders>
              <w:tl2br w:val="nil"/>
              <w:tr2bl w:val="nil"/>
            </w:tcBorders>
            <w:shd w:val="clear" w:color="auto" w:fill="auto"/>
            <w:noWrap/>
            <w:vAlign w:val="center"/>
          </w:tcPr>
          <w:p w14:paraId="6294F44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0.939 (0.824~1.071)</w:t>
            </w:r>
          </w:p>
        </w:tc>
        <w:tc>
          <w:tcPr>
            <w:tcW w:w="203" w:type="pct"/>
            <w:tcBorders>
              <w:tl2br w:val="nil"/>
              <w:tr2bl w:val="nil"/>
            </w:tcBorders>
            <w:shd w:val="clear" w:color="auto" w:fill="auto"/>
            <w:noWrap/>
            <w:vAlign w:val="center"/>
          </w:tcPr>
          <w:p w14:paraId="4675C42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0.288</w:t>
            </w:r>
          </w:p>
        </w:tc>
        <w:tc>
          <w:tcPr>
            <w:tcW w:w="542" w:type="pct"/>
            <w:tcBorders>
              <w:tl2br w:val="nil"/>
              <w:tr2bl w:val="nil"/>
            </w:tcBorders>
            <w:shd w:val="clear" w:color="auto" w:fill="auto"/>
            <w:noWrap/>
            <w:vAlign w:val="center"/>
          </w:tcPr>
          <w:p w14:paraId="4AB25C5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1.325 (0.789~2.224)</w:t>
            </w:r>
          </w:p>
        </w:tc>
        <w:tc>
          <w:tcPr>
            <w:tcW w:w="203" w:type="pct"/>
            <w:tcBorders>
              <w:tl2br w:val="nil"/>
              <w:tr2bl w:val="nil"/>
            </w:tcBorders>
            <w:shd w:val="clear" w:color="auto" w:fill="auto"/>
            <w:noWrap/>
            <w:vAlign w:val="center"/>
          </w:tcPr>
          <w:p w14:paraId="27A07BF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0.420</w:t>
            </w:r>
          </w:p>
        </w:tc>
        <w:tc>
          <w:tcPr>
            <w:tcW w:w="570" w:type="pct"/>
            <w:tcBorders>
              <w:tl2br w:val="nil"/>
              <w:tr2bl w:val="nil"/>
            </w:tcBorders>
            <w:shd w:val="clear" w:color="auto" w:fill="auto"/>
            <w:noWrap/>
            <w:vAlign w:val="center"/>
          </w:tcPr>
          <w:p w14:paraId="3D958E1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1.915 (0.395~9.295)</w:t>
            </w:r>
          </w:p>
        </w:tc>
        <w:tc>
          <w:tcPr>
            <w:tcW w:w="77" w:type="pct"/>
            <w:tcBorders>
              <w:tl2br w:val="nil"/>
              <w:tr2bl w:val="nil"/>
            </w:tcBorders>
            <w:shd w:val="clear" w:color="auto" w:fill="auto"/>
            <w:noWrap/>
            <w:vAlign w:val="center"/>
          </w:tcPr>
          <w:p w14:paraId="21EA3625">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5D841AA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0.580</w:t>
            </w:r>
          </w:p>
        </w:tc>
        <w:tc>
          <w:tcPr>
            <w:tcW w:w="542" w:type="pct"/>
            <w:tcBorders>
              <w:tl2br w:val="nil"/>
              <w:tr2bl w:val="nil"/>
            </w:tcBorders>
            <w:shd w:val="clear" w:color="auto" w:fill="auto"/>
            <w:noWrap/>
            <w:vAlign w:val="center"/>
          </w:tcPr>
          <w:p w14:paraId="7DC28D8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1.116 (0.756~1.648)</w:t>
            </w:r>
          </w:p>
        </w:tc>
        <w:tc>
          <w:tcPr>
            <w:tcW w:w="203" w:type="pct"/>
            <w:tcBorders>
              <w:tl2br w:val="nil"/>
              <w:tr2bl w:val="nil"/>
            </w:tcBorders>
            <w:shd w:val="clear" w:color="auto" w:fill="auto"/>
            <w:noWrap/>
            <w:vAlign w:val="center"/>
          </w:tcPr>
          <w:p w14:paraId="03CB344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0.143</w:t>
            </w:r>
          </w:p>
        </w:tc>
        <w:tc>
          <w:tcPr>
            <w:tcW w:w="542" w:type="pct"/>
            <w:tcBorders>
              <w:tl2br w:val="nil"/>
              <w:tr2bl w:val="nil"/>
            </w:tcBorders>
            <w:shd w:val="clear" w:color="auto" w:fill="auto"/>
            <w:noWrap/>
            <w:vAlign w:val="center"/>
          </w:tcPr>
          <w:p w14:paraId="29336F7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0.554 (0.252~1.222)</w:t>
            </w:r>
          </w:p>
        </w:tc>
        <w:tc>
          <w:tcPr>
            <w:tcW w:w="203" w:type="pct"/>
            <w:tcBorders>
              <w:tl2br w:val="nil"/>
              <w:tr2bl w:val="nil"/>
            </w:tcBorders>
            <w:shd w:val="clear" w:color="auto" w:fill="auto"/>
            <w:noWrap/>
            <w:vAlign w:val="center"/>
          </w:tcPr>
          <w:p w14:paraId="1722A60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0.918</w:t>
            </w:r>
          </w:p>
        </w:tc>
        <w:tc>
          <w:tcPr>
            <w:tcW w:w="542" w:type="pct"/>
            <w:tcBorders>
              <w:tl2br w:val="nil"/>
              <w:tr2bl w:val="nil"/>
            </w:tcBorders>
            <w:shd w:val="clear" w:color="auto" w:fill="auto"/>
            <w:noWrap/>
            <w:vAlign w:val="center"/>
          </w:tcPr>
          <w:p w14:paraId="43601CB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1.071 (0.291~3.946)</w:t>
            </w:r>
          </w:p>
        </w:tc>
      </w:tr>
      <w:tr w14:paraId="54E16FBB">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45DCFCC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Q4 (≥3.12)</w:t>
            </w:r>
          </w:p>
        </w:tc>
        <w:tc>
          <w:tcPr>
            <w:tcW w:w="203" w:type="pct"/>
            <w:tcBorders>
              <w:tl2br w:val="nil"/>
              <w:tr2bl w:val="nil"/>
            </w:tcBorders>
            <w:shd w:val="clear" w:color="auto" w:fill="auto"/>
            <w:noWrap/>
            <w:vAlign w:val="center"/>
          </w:tcPr>
          <w:p w14:paraId="4364B18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0.257</w:t>
            </w:r>
          </w:p>
        </w:tc>
        <w:tc>
          <w:tcPr>
            <w:tcW w:w="542" w:type="pct"/>
            <w:tcBorders>
              <w:tl2br w:val="nil"/>
              <w:tr2bl w:val="nil"/>
            </w:tcBorders>
            <w:shd w:val="clear" w:color="auto" w:fill="auto"/>
            <w:noWrap/>
            <w:vAlign w:val="center"/>
          </w:tcPr>
          <w:p w14:paraId="4F8ADF2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0.926 (0.810~1.058)</w:t>
            </w:r>
          </w:p>
        </w:tc>
        <w:tc>
          <w:tcPr>
            <w:tcW w:w="203" w:type="pct"/>
            <w:tcBorders>
              <w:tl2br w:val="nil"/>
              <w:tr2bl w:val="nil"/>
            </w:tcBorders>
            <w:shd w:val="clear" w:color="auto" w:fill="auto"/>
            <w:noWrap/>
            <w:vAlign w:val="center"/>
          </w:tcPr>
          <w:p w14:paraId="5D8450F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0.848</w:t>
            </w:r>
          </w:p>
        </w:tc>
        <w:tc>
          <w:tcPr>
            <w:tcW w:w="542" w:type="pct"/>
            <w:tcBorders>
              <w:tl2br w:val="nil"/>
              <w:tr2bl w:val="nil"/>
            </w:tcBorders>
            <w:shd w:val="clear" w:color="auto" w:fill="auto"/>
            <w:noWrap/>
            <w:vAlign w:val="center"/>
          </w:tcPr>
          <w:p w14:paraId="4B9528A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0.946 (0.533~1.678)</w:t>
            </w:r>
          </w:p>
        </w:tc>
        <w:tc>
          <w:tcPr>
            <w:tcW w:w="203" w:type="pct"/>
            <w:tcBorders>
              <w:tl2br w:val="nil"/>
              <w:tr2bl w:val="nil"/>
            </w:tcBorders>
            <w:shd w:val="clear" w:color="auto" w:fill="auto"/>
            <w:noWrap/>
            <w:vAlign w:val="center"/>
          </w:tcPr>
          <w:p w14:paraId="58B446D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0.213</w:t>
            </w:r>
          </w:p>
        </w:tc>
        <w:tc>
          <w:tcPr>
            <w:tcW w:w="570" w:type="pct"/>
            <w:tcBorders>
              <w:tl2br w:val="nil"/>
              <w:tr2bl w:val="nil"/>
            </w:tcBorders>
            <w:shd w:val="clear" w:color="auto" w:fill="auto"/>
            <w:noWrap/>
            <w:vAlign w:val="center"/>
          </w:tcPr>
          <w:p w14:paraId="39FBB34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2.677 (0.569~12.590)</w:t>
            </w:r>
          </w:p>
        </w:tc>
        <w:tc>
          <w:tcPr>
            <w:tcW w:w="77" w:type="pct"/>
            <w:tcBorders>
              <w:tl2br w:val="nil"/>
              <w:tr2bl w:val="nil"/>
            </w:tcBorders>
            <w:shd w:val="clear" w:color="auto" w:fill="auto"/>
            <w:noWrap/>
            <w:vAlign w:val="center"/>
          </w:tcPr>
          <w:p w14:paraId="6B91AE5B">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B70A66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0.959</w:t>
            </w:r>
          </w:p>
        </w:tc>
        <w:tc>
          <w:tcPr>
            <w:tcW w:w="542" w:type="pct"/>
            <w:tcBorders>
              <w:tl2br w:val="nil"/>
              <w:tr2bl w:val="nil"/>
            </w:tcBorders>
            <w:shd w:val="clear" w:color="auto" w:fill="auto"/>
            <w:noWrap/>
            <w:vAlign w:val="center"/>
          </w:tcPr>
          <w:p w14:paraId="5C7CF7E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1.011 (0.672~1.520)</w:t>
            </w:r>
          </w:p>
        </w:tc>
        <w:tc>
          <w:tcPr>
            <w:tcW w:w="203" w:type="pct"/>
            <w:tcBorders>
              <w:tl2br w:val="nil"/>
              <w:tr2bl w:val="nil"/>
            </w:tcBorders>
            <w:shd w:val="clear" w:color="auto" w:fill="auto"/>
            <w:noWrap/>
            <w:vAlign w:val="center"/>
          </w:tcPr>
          <w:p w14:paraId="5D2CD07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0.865</w:t>
            </w:r>
          </w:p>
        </w:tc>
        <w:tc>
          <w:tcPr>
            <w:tcW w:w="542" w:type="pct"/>
            <w:tcBorders>
              <w:tl2br w:val="nil"/>
              <w:tr2bl w:val="nil"/>
            </w:tcBorders>
            <w:shd w:val="clear" w:color="auto" w:fill="auto"/>
            <w:noWrap/>
            <w:vAlign w:val="center"/>
          </w:tcPr>
          <w:p w14:paraId="3D59C41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1.062 (0.532~2.119)</w:t>
            </w:r>
          </w:p>
        </w:tc>
        <w:tc>
          <w:tcPr>
            <w:tcW w:w="203" w:type="pct"/>
            <w:tcBorders>
              <w:tl2br w:val="nil"/>
              <w:tr2bl w:val="nil"/>
            </w:tcBorders>
            <w:shd w:val="clear" w:color="auto" w:fill="auto"/>
            <w:noWrap/>
            <w:vAlign w:val="center"/>
          </w:tcPr>
          <w:p w14:paraId="4BE834A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0.159</w:t>
            </w:r>
          </w:p>
        </w:tc>
        <w:tc>
          <w:tcPr>
            <w:tcW w:w="542" w:type="pct"/>
            <w:tcBorders>
              <w:tl2br w:val="nil"/>
              <w:tr2bl w:val="nil"/>
            </w:tcBorders>
            <w:shd w:val="clear" w:color="auto" w:fill="auto"/>
            <w:noWrap/>
            <w:vAlign w:val="center"/>
          </w:tcPr>
          <w:p w14:paraId="102CA8A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2.214 (0.733~6.682)</w:t>
            </w:r>
          </w:p>
        </w:tc>
      </w:tr>
      <w:tr w14:paraId="19C84EE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347E319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VAI z-score</w:t>
            </w:r>
          </w:p>
        </w:tc>
        <w:tc>
          <w:tcPr>
            <w:tcW w:w="203" w:type="pct"/>
            <w:tcBorders>
              <w:tl2br w:val="nil"/>
              <w:tr2bl w:val="nil"/>
            </w:tcBorders>
            <w:shd w:val="clear" w:color="auto" w:fill="auto"/>
            <w:noWrap/>
            <w:vAlign w:val="center"/>
          </w:tcPr>
          <w:p w14:paraId="1E58E09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0.047</w:t>
            </w:r>
          </w:p>
        </w:tc>
        <w:tc>
          <w:tcPr>
            <w:tcW w:w="542" w:type="pct"/>
            <w:tcBorders>
              <w:tl2br w:val="nil"/>
              <w:tr2bl w:val="nil"/>
            </w:tcBorders>
            <w:shd w:val="clear" w:color="auto" w:fill="auto"/>
            <w:noWrap/>
            <w:vAlign w:val="center"/>
          </w:tcPr>
          <w:p w14:paraId="23B3BD6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0.951 (0.905~0.999)</w:t>
            </w:r>
          </w:p>
        </w:tc>
        <w:tc>
          <w:tcPr>
            <w:tcW w:w="203" w:type="pct"/>
            <w:tcBorders>
              <w:tl2br w:val="nil"/>
              <w:tr2bl w:val="nil"/>
            </w:tcBorders>
            <w:shd w:val="clear" w:color="auto" w:fill="auto"/>
            <w:noWrap/>
            <w:vAlign w:val="center"/>
          </w:tcPr>
          <w:p w14:paraId="7FCB72C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0.709</w:t>
            </w:r>
          </w:p>
        </w:tc>
        <w:tc>
          <w:tcPr>
            <w:tcW w:w="542" w:type="pct"/>
            <w:tcBorders>
              <w:tl2br w:val="nil"/>
              <w:tr2bl w:val="nil"/>
            </w:tcBorders>
            <w:shd w:val="clear" w:color="auto" w:fill="auto"/>
            <w:noWrap/>
            <w:vAlign w:val="center"/>
          </w:tcPr>
          <w:p w14:paraId="2466C3F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0.960 (0.773~1.192)</w:t>
            </w:r>
          </w:p>
        </w:tc>
        <w:tc>
          <w:tcPr>
            <w:tcW w:w="203" w:type="pct"/>
            <w:tcBorders>
              <w:tl2br w:val="nil"/>
              <w:tr2bl w:val="nil"/>
            </w:tcBorders>
            <w:shd w:val="clear" w:color="auto" w:fill="auto"/>
            <w:noWrap/>
            <w:vAlign w:val="center"/>
          </w:tcPr>
          <w:p w14:paraId="091494F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0.710</w:t>
            </w:r>
          </w:p>
        </w:tc>
        <w:tc>
          <w:tcPr>
            <w:tcW w:w="570" w:type="pct"/>
            <w:tcBorders>
              <w:tl2br w:val="nil"/>
              <w:tr2bl w:val="nil"/>
            </w:tcBorders>
            <w:shd w:val="clear" w:color="auto" w:fill="auto"/>
            <w:noWrap/>
            <w:vAlign w:val="center"/>
          </w:tcPr>
          <w:p w14:paraId="6720AF7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0.884 (0.461~1.695)</w:t>
            </w:r>
          </w:p>
        </w:tc>
        <w:tc>
          <w:tcPr>
            <w:tcW w:w="77" w:type="pct"/>
            <w:tcBorders>
              <w:tl2br w:val="nil"/>
              <w:tr2bl w:val="nil"/>
            </w:tcBorders>
            <w:shd w:val="clear" w:color="auto" w:fill="auto"/>
            <w:noWrap/>
            <w:vAlign w:val="center"/>
          </w:tcPr>
          <w:p w14:paraId="0CD59A26">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51C36D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0.318</w:t>
            </w:r>
          </w:p>
        </w:tc>
        <w:tc>
          <w:tcPr>
            <w:tcW w:w="542" w:type="pct"/>
            <w:tcBorders>
              <w:tl2br w:val="nil"/>
              <w:tr2bl w:val="nil"/>
            </w:tcBorders>
            <w:shd w:val="clear" w:color="auto" w:fill="auto"/>
            <w:noWrap/>
            <w:vAlign w:val="center"/>
          </w:tcPr>
          <w:p w14:paraId="25C56BF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0.913 (0.765~1.091)</w:t>
            </w:r>
          </w:p>
        </w:tc>
        <w:tc>
          <w:tcPr>
            <w:tcW w:w="203" w:type="pct"/>
            <w:tcBorders>
              <w:tl2br w:val="nil"/>
              <w:tr2bl w:val="nil"/>
            </w:tcBorders>
            <w:shd w:val="clear" w:color="auto" w:fill="auto"/>
            <w:noWrap/>
            <w:vAlign w:val="center"/>
          </w:tcPr>
          <w:p w14:paraId="4E93CAA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0.780</w:t>
            </w:r>
          </w:p>
        </w:tc>
        <w:tc>
          <w:tcPr>
            <w:tcW w:w="542" w:type="pct"/>
            <w:tcBorders>
              <w:tl2br w:val="nil"/>
              <w:tr2bl w:val="nil"/>
            </w:tcBorders>
            <w:shd w:val="clear" w:color="auto" w:fill="auto"/>
            <w:noWrap/>
            <w:vAlign w:val="center"/>
          </w:tcPr>
          <w:p w14:paraId="5DA7DF3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0.959 (0.714~1.287)</w:t>
            </w:r>
          </w:p>
        </w:tc>
        <w:tc>
          <w:tcPr>
            <w:tcW w:w="203" w:type="pct"/>
            <w:tcBorders>
              <w:tl2br w:val="nil"/>
              <w:tr2bl w:val="nil"/>
            </w:tcBorders>
            <w:shd w:val="clear" w:color="auto" w:fill="auto"/>
            <w:noWrap/>
            <w:vAlign w:val="center"/>
          </w:tcPr>
          <w:p w14:paraId="25B3630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0.427</w:t>
            </w:r>
          </w:p>
        </w:tc>
        <w:tc>
          <w:tcPr>
            <w:tcW w:w="542" w:type="pct"/>
            <w:tcBorders>
              <w:tl2br w:val="nil"/>
              <w:tr2bl w:val="nil"/>
            </w:tcBorders>
            <w:shd w:val="clear" w:color="auto" w:fill="auto"/>
            <w:noWrap/>
            <w:vAlign w:val="center"/>
          </w:tcPr>
          <w:p w14:paraId="7DD1775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1.113 (0.855~1.449)</w:t>
            </w:r>
          </w:p>
        </w:tc>
      </w:tr>
      <w:tr w14:paraId="0427714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48F7418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CVAI</w:t>
            </w:r>
          </w:p>
        </w:tc>
        <w:tc>
          <w:tcPr>
            <w:tcW w:w="203" w:type="pct"/>
            <w:tcBorders>
              <w:tl2br w:val="nil"/>
              <w:tr2bl w:val="nil"/>
            </w:tcBorders>
            <w:shd w:val="clear" w:color="auto" w:fill="auto"/>
            <w:noWrap/>
            <w:vAlign w:val="center"/>
          </w:tcPr>
          <w:p w14:paraId="0C184912">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0B51D462">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A66D8C3">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52698328">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3C5B74D7">
            <w:pPr>
              <w:jc w:val="left"/>
              <w:rPr>
                <w:rFonts w:hint="default" w:ascii="Times New Roman" w:hAnsi="Times New Roman" w:eastAsia="宋体" w:cs="Times New Roman"/>
                <w:b w:val="0"/>
                <w:bCs w:val="0"/>
                <w:i w:val="0"/>
                <w:iCs w:val="0"/>
                <w:color w:val="auto"/>
                <w:sz w:val="18"/>
                <w:szCs w:val="18"/>
                <w:u w:val="none"/>
              </w:rPr>
            </w:pPr>
          </w:p>
        </w:tc>
        <w:tc>
          <w:tcPr>
            <w:tcW w:w="570" w:type="pct"/>
            <w:tcBorders>
              <w:tl2br w:val="nil"/>
              <w:tr2bl w:val="nil"/>
            </w:tcBorders>
            <w:shd w:val="clear" w:color="auto" w:fill="auto"/>
            <w:noWrap/>
            <w:vAlign w:val="center"/>
          </w:tcPr>
          <w:p w14:paraId="0691EBD2">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7CC320F3">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34E720C0">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1DAFFC05">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0BB742D">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25E3EC12">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3888644D">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129BE29D">
            <w:pPr>
              <w:jc w:val="left"/>
              <w:rPr>
                <w:rFonts w:hint="default" w:ascii="Times New Roman" w:hAnsi="Times New Roman" w:eastAsia="宋体" w:cs="Times New Roman"/>
                <w:b w:val="0"/>
                <w:bCs w:val="0"/>
                <w:i w:val="0"/>
                <w:iCs w:val="0"/>
                <w:color w:val="auto"/>
                <w:sz w:val="18"/>
                <w:szCs w:val="18"/>
                <w:u w:val="none"/>
              </w:rPr>
            </w:pPr>
          </w:p>
        </w:tc>
      </w:tr>
      <w:tr w14:paraId="3CD0551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4151B53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Q1 (&lt;73.82)</w:t>
            </w:r>
          </w:p>
        </w:tc>
        <w:tc>
          <w:tcPr>
            <w:tcW w:w="203" w:type="pct"/>
            <w:tcBorders>
              <w:tl2br w:val="nil"/>
              <w:tr2bl w:val="nil"/>
            </w:tcBorders>
            <w:shd w:val="clear" w:color="auto" w:fill="auto"/>
            <w:noWrap/>
            <w:vAlign w:val="center"/>
          </w:tcPr>
          <w:p w14:paraId="536A515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67D82E0C">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A6C4BCD">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52C4F30">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6933A16">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70" w:type="pct"/>
            <w:tcBorders>
              <w:tl2br w:val="nil"/>
              <w:tr2bl w:val="nil"/>
            </w:tcBorders>
            <w:shd w:val="clear" w:color="auto" w:fill="auto"/>
            <w:noWrap/>
            <w:vAlign w:val="center"/>
          </w:tcPr>
          <w:p w14:paraId="29AC6CF4">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6640E959">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974DC82">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65234E7E">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77F6A55">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379558F">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6C40327">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3C4660DB">
            <w:pPr>
              <w:jc w:val="left"/>
              <w:rPr>
                <w:rFonts w:hint="default" w:ascii="Times New Roman" w:hAnsi="Times New Roman" w:eastAsia="宋体" w:cs="Times New Roman"/>
                <w:b w:val="0"/>
                <w:bCs w:val="0"/>
                <w:i w:val="0"/>
                <w:iCs w:val="0"/>
                <w:color w:val="auto"/>
                <w:sz w:val="18"/>
                <w:szCs w:val="18"/>
                <w:u w:val="none"/>
              </w:rPr>
            </w:pPr>
          </w:p>
        </w:tc>
      </w:tr>
      <w:tr w14:paraId="2C84B89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507E91A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Q2 (73.82~)</w:t>
            </w:r>
          </w:p>
        </w:tc>
        <w:tc>
          <w:tcPr>
            <w:tcW w:w="203" w:type="pct"/>
            <w:tcBorders>
              <w:tl2br w:val="nil"/>
              <w:tr2bl w:val="nil"/>
            </w:tcBorders>
            <w:shd w:val="clear" w:color="auto" w:fill="auto"/>
            <w:noWrap/>
            <w:vAlign w:val="center"/>
          </w:tcPr>
          <w:p w14:paraId="65470A1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0.760</w:t>
            </w:r>
          </w:p>
        </w:tc>
        <w:tc>
          <w:tcPr>
            <w:tcW w:w="542" w:type="pct"/>
            <w:tcBorders>
              <w:tl2br w:val="nil"/>
              <w:tr2bl w:val="nil"/>
            </w:tcBorders>
            <w:shd w:val="clear" w:color="auto" w:fill="auto"/>
            <w:noWrap/>
            <w:vAlign w:val="center"/>
          </w:tcPr>
          <w:p w14:paraId="0FDCCB2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1.020 (0.896~1.162)</w:t>
            </w:r>
          </w:p>
        </w:tc>
        <w:tc>
          <w:tcPr>
            <w:tcW w:w="203" w:type="pct"/>
            <w:tcBorders>
              <w:tl2br w:val="nil"/>
              <w:tr2bl w:val="nil"/>
            </w:tcBorders>
            <w:shd w:val="clear" w:color="auto" w:fill="auto"/>
            <w:noWrap/>
            <w:vAlign w:val="center"/>
          </w:tcPr>
          <w:p w14:paraId="044A7C6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0.507</w:t>
            </w:r>
          </w:p>
        </w:tc>
        <w:tc>
          <w:tcPr>
            <w:tcW w:w="542" w:type="pct"/>
            <w:tcBorders>
              <w:tl2br w:val="nil"/>
              <w:tr2bl w:val="nil"/>
            </w:tcBorders>
            <w:shd w:val="clear" w:color="auto" w:fill="auto"/>
            <w:noWrap/>
            <w:vAlign w:val="center"/>
          </w:tcPr>
          <w:p w14:paraId="0C70F65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0.819 (0.453~1.479)</w:t>
            </w:r>
          </w:p>
        </w:tc>
        <w:tc>
          <w:tcPr>
            <w:tcW w:w="203" w:type="pct"/>
            <w:tcBorders>
              <w:tl2br w:val="nil"/>
              <w:tr2bl w:val="nil"/>
            </w:tcBorders>
            <w:shd w:val="clear" w:color="auto" w:fill="auto"/>
            <w:noWrap/>
            <w:vAlign w:val="center"/>
          </w:tcPr>
          <w:p w14:paraId="24E74A4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0.682</w:t>
            </w:r>
          </w:p>
        </w:tc>
        <w:tc>
          <w:tcPr>
            <w:tcW w:w="570" w:type="pct"/>
            <w:tcBorders>
              <w:tl2br w:val="nil"/>
              <w:tr2bl w:val="nil"/>
            </w:tcBorders>
            <w:shd w:val="clear" w:color="auto" w:fill="auto"/>
            <w:noWrap/>
            <w:vAlign w:val="center"/>
          </w:tcPr>
          <w:p w14:paraId="5F5EAC4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1.466 (0.235~9.128)</w:t>
            </w:r>
          </w:p>
        </w:tc>
        <w:tc>
          <w:tcPr>
            <w:tcW w:w="77" w:type="pct"/>
            <w:tcBorders>
              <w:tl2br w:val="nil"/>
              <w:tr2bl w:val="nil"/>
            </w:tcBorders>
            <w:shd w:val="clear" w:color="auto" w:fill="auto"/>
            <w:noWrap/>
            <w:vAlign w:val="center"/>
          </w:tcPr>
          <w:p w14:paraId="6AF684FC">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BB8B7D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0.280</w:t>
            </w:r>
          </w:p>
        </w:tc>
        <w:tc>
          <w:tcPr>
            <w:tcW w:w="542" w:type="pct"/>
            <w:tcBorders>
              <w:tl2br w:val="nil"/>
              <w:tr2bl w:val="nil"/>
            </w:tcBorders>
            <w:shd w:val="clear" w:color="auto" w:fill="auto"/>
            <w:noWrap/>
            <w:vAlign w:val="center"/>
          </w:tcPr>
          <w:p w14:paraId="3C5CA78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1.240 (0.840~1.832)</w:t>
            </w:r>
          </w:p>
        </w:tc>
        <w:tc>
          <w:tcPr>
            <w:tcW w:w="203" w:type="pct"/>
            <w:tcBorders>
              <w:tl2br w:val="nil"/>
              <w:tr2bl w:val="nil"/>
            </w:tcBorders>
            <w:shd w:val="clear" w:color="auto" w:fill="auto"/>
            <w:noWrap/>
            <w:vAlign w:val="center"/>
          </w:tcPr>
          <w:p w14:paraId="1E37E83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0.692</w:t>
            </w:r>
          </w:p>
        </w:tc>
        <w:tc>
          <w:tcPr>
            <w:tcW w:w="542" w:type="pct"/>
            <w:tcBorders>
              <w:tl2br w:val="nil"/>
              <w:tr2bl w:val="nil"/>
            </w:tcBorders>
            <w:shd w:val="clear" w:color="auto" w:fill="auto"/>
            <w:noWrap/>
            <w:vAlign w:val="center"/>
          </w:tcPr>
          <w:p w14:paraId="6D88EB0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0.871 (0.440~1.724)</w:t>
            </w:r>
          </w:p>
        </w:tc>
        <w:tc>
          <w:tcPr>
            <w:tcW w:w="203" w:type="pct"/>
            <w:tcBorders>
              <w:tl2br w:val="nil"/>
              <w:tr2bl w:val="nil"/>
            </w:tcBorders>
            <w:shd w:val="clear" w:color="auto" w:fill="auto"/>
            <w:noWrap/>
            <w:vAlign w:val="center"/>
          </w:tcPr>
          <w:p w14:paraId="3B9C55C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0.759</w:t>
            </w:r>
          </w:p>
        </w:tc>
        <w:tc>
          <w:tcPr>
            <w:tcW w:w="542" w:type="pct"/>
            <w:tcBorders>
              <w:tl2br w:val="nil"/>
              <w:tr2bl w:val="nil"/>
            </w:tcBorders>
            <w:shd w:val="clear" w:color="auto" w:fill="auto"/>
            <w:noWrap/>
            <w:vAlign w:val="center"/>
          </w:tcPr>
          <w:p w14:paraId="3119FE3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1.255 (0.293~5.379)</w:t>
            </w:r>
          </w:p>
        </w:tc>
      </w:tr>
      <w:tr w14:paraId="50FAA30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7BCA6BD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Q3 (96.81~)</w:t>
            </w:r>
          </w:p>
        </w:tc>
        <w:tc>
          <w:tcPr>
            <w:tcW w:w="203" w:type="pct"/>
            <w:tcBorders>
              <w:tl2br w:val="nil"/>
              <w:tr2bl w:val="nil"/>
            </w:tcBorders>
            <w:shd w:val="clear" w:color="auto" w:fill="auto"/>
            <w:noWrap/>
            <w:vAlign w:val="center"/>
          </w:tcPr>
          <w:p w14:paraId="10D6523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0.130</w:t>
            </w:r>
          </w:p>
        </w:tc>
        <w:tc>
          <w:tcPr>
            <w:tcW w:w="542" w:type="pct"/>
            <w:tcBorders>
              <w:tl2br w:val="nil"/>
              <w:tr2bl w:val="nil"/>
            </w:tcBorders>
            <w:shd w:val="clear" w:color="auto" w:fill="auto"/>
            <w:noWrap/>
            <w:vAlign w:val="center"/>
          </w:tcPr>
          <w:p w14:paraId="2BA828C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0.902 (0.789~1.031)</w:t>
            </w:r>
          </w:p>
        </w:tc>
        <w:tc>
          <w:tcPr>
            <w:tcW w:w="203" w:type="pct"/>
            <w:tcBorders>
              <w:tl2br w:val="nil"/>
              <w:tr2bl w:val="nil"/>
            </w:tcBorders>
            <w:shd w:val="clear" w:color="auto" w:fill="auto"/>
            <w:noWrap/>
            <w:vAlign w:val="center"/>
          </w:tcPr>
          <w:p w14:paraId="53CBD86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0.951</w:t>
            </w:r>
          </w:p>
        </w:tc>
        <w:tc>
          <w:tcPr>
            <w:tcW w:w="542" w:type="pct"/>
            <w:tcBorders>
              <w:tl2br w:val="nil"/>
              <w:tr2bl w:val="nil"/>
            </w:tcBorders>
            <w:shd w:val="clear" w:color="auto" w:fill="auto"/>
            <w:noWrap/>
            <w:vAlign w:val="center"/>
          </w:tcPr>
          <w:p w14:paraId="2B9E4FB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1.017 (0.584~1.771)</w:t>
            </w:r>
          </w:p>
        </w:tc>
        <w:tc>
          <w:tcPr>
            <w:tcW w:w="203" w:type="pct"/>
            <w:tcBorders>
              <w:tl2br w:val="nil"/>
              <w:tr2bl w:val="nil"/>
            </w:tcBorders>
            <w:shd w:val="clear" w:color="auto" w:fill="auto"/>
            <w:noWrap/>
            <w:vAlign w:val="center"/>
          </w:tcPr>
          <w:p w14:paraId="39EB6D2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0.402</w:t>
            </w:r>
          </w:p>
        </w:tc>
        <w:tc>
          <w:tcPr>
            <w:tcW w:w="570" w:type="pct"/>
            <w:tcBorders>
              <w:tl2br w:val="nil"/>
              <w:tr2bl w:val="nil"/>
            </w:tcBorders>
            <w:shd w:val="clear" w:color="auto" w:fill="auto"/>
            <w:noWrap/>
            <w:vAlign w:val="center"/>
          </w:tcPr>
          <w:p w14:paraId="2D38CD6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2.044 (0.384~10.867)</w:t>
            </w:r>
          </w:p>
        </w:tc>
        <w:tc>
          <w:tcPr>
            <w:tcW w:w="77" w:type="pct"/>
            <w:tcBorders>
              <w:tl2br w:val="nil"/>
              <w:tr2bl w:val="nil"/>
            </w:tcBorders>
            <w:shd w:val="clear" w:color="auto" w:fill="auto"/>
            <w:noWrap/>
            <w:vAlign w:val="center"/>
          </w:tcPr>
          <w:p w14:paraId="7B7EE182">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0F419E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0.975</w:t>
            </w:r>
          </w:p>
        </w:tc>
        <w:tc>
          <w:tcPr>
            <w:tcW w:w="542" w:type="pct"/>
            <w:tcBorders>
              <w:tl2br w:val="nil"/>
              <w:tr2bl w:val="nil"/>
            </w:tcBorders>
            <w:shd w:val="clear" w:color="auto" w:fill="auto"/>
            <w:noWrap/>
            <w:vAlign w:val="center"/>
          </w:tcPr>
          <w:p w14:paraId="4B34923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1.006 (0.672~1.508)</w:t>
            </w:r>
          </w:p>
        </w:tc>
        <w:tc>
          <w:tcPr>
            <w:tcW w:w="203" w:type="pct"/>
            <w:tcBorders>
              <w:tl2br w:val="nil"/>
              <w:tr2bl w:val="nil"/>
            </w:tcBorders>
            <w:shd w:val="clear" w:color="auto" w:fill="auto"/>
            <w:noWrap/>
            <w:vAlign w:val="center"/>
          </w:tcPr>
          <w:p w14:paraId="2460A83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0.365</w:t>
            </w:r>
          </w:p>
        </w:tc>
        <w:tc>
          <w:tcPr>
            <w:tcW w:w="542" w:type="pct"/>
            <w:tcBorders>
              <w:tl2br w:val="nil"/>
              <w:tr2bl w:val="nil"/>
            </w:tcBorders>
            <w:shd w:val="clear" w:color="auto" w:fill="auto"/>
            <w:noWrap/>
            <w:vAlign w:val="center"/>
          </w:tcPr>
          <w:p w14:paraId="431F11E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0.721 (0.355~1.463)</w:t>
            </w:r>
          </w:p>
        </w:tc>
        <w:tc>
          <w:tcPr>
            <w:tcW w:w="203" w:type="pct"/>
            <w:tcBorders>
              <w:tl2br w:val="nil"/>
              <w:tr2bl w:val="nil"/>
            </w:tcBorders>
            <w:shd w:val="clear" w:color="auto" w:fill="auto"/>
            <w:noWrap/>
            <w:vAlign w:val="center"/>
          </w:tcPr>
          <w:p w14:paraId="613CB03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0.454</w:t>
            </w:r>
          </w:p>
        </w:tc>
        <w:tc>
          <w:tcPr>
            <w:tcW w:w="542" w:type="pct"/>
            <w:tcBorders>
              <w:tl2br w:val="nil"/>
              <w:tr2bl w:val="nil"/>
            </w:tcBorders>
            <w:shd w:val="clear" w:color="auto" w:fill="auto"/>
            <w:noWrap/>
            <w:vAlign w:val="center"/>
          </w:tcPr>
          <w:p w14:paraId="01447F2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1.647 (0.446~6.083)</w:t>
            </w:r>
          </w:p>
        </w:tc>
      </w:tr>
      <w:tr w14:paraId="3FF5230D">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122005F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Q4 (≥119.30)</w:t>
            </w:r>
          </w:p>
        </w:tc>
        <w:tc>
          <w:tcPr>
            <w:tcW w:w="203" w:type="pct"/>
            <w:tcBorders>
              <w:tl2br w:val="nil"/>
              <w:tr2bl w:val="nil"/>
            </w:tcBorders>
            <w:shd w:val="clear" w:color="auto" w:fill="auto"/>
            <w:noWrap/>
            <w:vAlign w:val="center"/>
          </w:tcPr>
          <w:p w14:paraId="5A031F9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0.014</w:t>
            </w:r>
          </w:p>
        </w:tc>
        <w:tc>
          <w:tcPr>
            <w:tcW w:w="542" w:type="pct"/>
            <w:tcBorders>
              <w:tl2br w:val="nil"/>
              <w:tr2bl w:val="nil"/>
            </w:tcBorders>
            <w:shd w:val="clear" w:color="auto" w:fill="auto"/>
            <w:noWrap/>
            <w:vAlign w:val="center"/>
          </w:tcPr>
          <w:p w14:paraId="287ED14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0.840 (0.732~0.965)</w:t>
            </w:r>
          </w:p>
        </w:tc>
        <w:tc>
          <w:tcPr>
            <w:tcW w:w="203" w:type="pct"/>
            <w:tcBorders>
              <w:tl2br w:val="nil"/>
              <w:tr2bl w:val="nil"/>
            </w:tcBorders>
            <w:shd w:val="clear" w:color="auto" w:fill="auto"/>
            <w:noWrap/>
            <w:vAlign w:val="center"/>
          </w:tcPr>
          <w:p w14:paraId="2A2CFDD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0.924</w:t>
            </w:r>
          </w:p>
        </w:tc>
        <w:tc>
          <w:tcPr>
            <w:tcW w:w="542" w:type="pct"/>
            <w:tcBorders>
              <w:tl2br w:val="nil"/>
              <w:tr2bl w:val="nil"/>
            </w:tcBorders>
            <w:shd w:val="clear" w:color="auto" w:fill="auto"/>
            <w:noWrap/>
            <w:vAlign w:val="center"/>
          </w:tcPr>
          <w:p w14:paraId="4953CFC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0.973 (0.558~1.697)</w:t>
            </w:r>
          </w:p>
        </w:tc>
        <w:tc>
          <w:tcPr>
            <w:tcW w:w="203" w:type="pct"/>
            <w:tcBorders>
              <w:tl2br w:val="nil"/>
              <w:tr2bl w:val="nil"/>
            </w:tcBorders>
            <w:shd w:val="clear" w:color="auto" w:fill="auto"/>
            <w:noWrap/>
            <w:vAlign w:val="center"/>
          </w:tcPr>
          <w:p w14:paraId="1449E4C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0.417</w:t>
            </w:r>
          </w:p>
        </w:tc>
        <w:tc>
          <w:tcPr>
            <w:tcW w:w="570" w:type="pct"/>
            <w:tcBorders>
              <w:tl2br w:val="nil"/>
              <w:tr2bl w:val="nil"/>
            </w:tcBorders>
            <w:shd w:val="clear" w:color="auto" w:fill="auto"/>
            <w:noWrap/>
            <w:vAlign w:val="center"/>
          </w:tcPr>
          <w:p w14:paraId="2E2DF85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1.975 (0.382~10.222)</w:t>
            </w:r>
          </w:p>
        </w:tc>
        <w:tc>
          <w:tcPr>
            <w:tcW w:w="77" w:type="pct"/>
            <w:tcBorders>
              <w:tl2br w:val="nil"/>
              <w:tr2bl w:val="nil"/>
            </w:tcBorders>
            <w:shd w:val="clear" w:color="auto" w:fill="auto"/>
            <w:noWrap/>
            <w:vAlign w:val="center"/>
          </w:tcPr>
          <w:p w14:paraId="3CAC599A">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4778281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0.612</w:t>
            </w:r>
          </w:p>
        </w:tc>
        <w:tc>
          <w:tcPr>
            <w:tcW w:w="542" w:type="pct"/>
            <w:tcBorders>
              <w:tl2br w:val="nil"/>
              <w:tr2bl w:val="nil"/>
            </w:tcBorders>
            <w:shd w:val="clear" w:color="auto" w:fill="auto"/>
            <w:noWrap/>
            <w:vAlign w:val="center"/>
          </w:tcPr>
          <w:p w14:paraId="59F602C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0.900 (0.598~1.354)</w:t>
            </w:r>
          </w:p>
        </w:tc>
        <w:tc>
          <w:tcPr>
            <w:tcW w:w="203" w:type="pct"/>
            <w:tcBorders>
              <w:tl2br w:val="nil"/>
              <w:tr2bl w:val="nil"/>
            </w:tcBorders>
            <w:shd w:val="clear" w:color="auto" w:fill="auto"/>
            <w:noWrap/>
            <w:vAlign w:val="center"/>
          </w:tcPr>
          <w:p w14:paraId="49EF93E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0.129</w:t>
            </w:r>
          </w:p>
        </w:tc>
        <w:tc>
          <w:tcPr>
            <w:tcW w:w="542" w:type="pct"/>
            <w:tcBorders>
              <w:tl2br w:val="nil"/>
              <w:tr2bl w:val="nil"/>
            </w:tcBorders>
            <w:shd w:val="clear" w:color="auto" w:fill="auto"/>
            <w:noWrap/>
            <w:vAlign w:val="center"/>
          </w:tcPr>
          <w:p w14:paraId="538783A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0.582 (0.290~1.170)</w:t>
            </w:r>
          </w:p>
        </w:tc>
        <w:tc>
          <w:tcPr>
            <w:tcW w:w="203" w:type="pct"/>
            <w:tcBorders>
              <w:tl2br w:val="nil"/>
              <w:tr2bl w:val="nil"/>
            </w:tcBorders>
            <w:shd w:val="clear" w:color="auto" w:fill="auto"/>
            <w:noWrap/>
            <w:vAlign w:val="center"/>
          </w:tcPr>
          <w:p w14:paraId="5FBE6CE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0.487</w:t>
            </w:r>
          </w:p>
        </w:tc>
        <w:tc>
          <w:tcPr>
            <w:tcW w:w="542" w:type="pct"/>
            <w:tcBorders>
              <w:tl2br w:val="nil"/>
              <w:tr2bl w:val="nil"/>
            </w:tcBorders>
            <w:shd w:val="clear" w:color="auto" w:fill="auto"/>
            <w:noWrap/>
            <w:vAlign w:val="center"/>
          </w:tcPr>
          <w:p w14:paraId="7515A82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1.584 (0.433~5.803)</w:t>
            </w:r>
          </w:p>
        </w:tc>
      </w:tr>
      <w:tr w14:paraId="024A8C15">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07440FE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CVAI z-score</w:t>
            </w:r>
          </w:p>
        </w:tc>
        <w:tc>
          <w:tcPr>
            <w:tcW w:w="203" w:type="pct"/>
            <w:tcBorders>
              <w:tl2br w:val="nil"/>
              <w:tr2bl w:val="nil"/>
            </w:tcBorders>
            <w:shd w:val="clear" w:color="auto" w:fill="auto"/>
            <w:noWrap/>
            <w:vAlign w:val="center"/>
          </w:tcPr>
          <w:p w14:paraId="36C6E15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0.015</w:t>
            </w:r>
          </w:p>
        </w:tc>
        <w:tc>
          <w:tcPr>
            <w:tcW w:w="542" w:type="pct"/>
            <w:tcBorders>
              <w:tl2br w:val="nil"/>
              <w:tr2bl w:val="nil"/>
            </w:tcBorders>
            <w:shd w:val="clear" w:color="auto" w:fill="auto"/>
            <w:noWrap/>
            <w:vAlign w:val="center"/>
          </w:tcPr>
          <w:p w14:paraId="0CE9DE4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0.941 (0.896~0.989)</w:t>
            </w:r>
          </w:p>
        </w:tc>
        <w:tc>
          <w:tcPr>
            <w:tcW w:w="203" w:type="pct"/>
            <w:tcBorders>
              <w:tl2br w:val="nil"/>
              <w:tr2bl w:val="nil"/>
            </w:tcBorders>
            <w:shd w:val="clear" w:color="auto" w:fill="auto"/>
            <w:noWrap/>
            <w:vAlign w:val="center"/>
          </w:tcPr>
          <w:p w14:paraId="6A33E2C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0.692</w:t>
            </w:r>
          </w:p>
        </w:tc>
        <w:tc>
          <w:tcPr>
            <w:tcW w:w="542" w:type="pct"/>
            <w:tcBorders>
              <w:tl2br w:val="nil"/>
              <w:tr2bl w:val="nil"/>
            </w:tcBorders>
            <w:shd w:val="clear" w:color="auto" w:fill="auto"/>
            <w:noWrap/>
            <w:vAlign w:val="center"/>
          </w:tcPr>
          <w:p w14:paraId="7991435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0.961 (0.788~1.171)</w:t>
            </w:r>
          </w:p>
        </w:tc>
        <w:tc>
          <w:tcPr>
            <w:tcW w:w="203" w:type="pct"/>
            <w:tcBorders>
              <w:tl2br w:val="nil"/>
              <w:tr2bl w:val="nil"/>
            </w:tcBorders>
            <w:shd w:val="clear" w:color="auto" w:fill="auto"/>
            <w:noWrap/>
            <w:vAlign w:val="center"/>
          </w:tcPr>
          <w:p w14:paraId="0F8F37F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0.707</w:t>
            </w:r>
          </w:p>
        </w:tc>
        <w:tc>
          <w:tcPr>
            <w:tcW w:w="570" w:type="pct"/>
            <w:tcBorders>
              <w:tl2br w:val="nil"/>
              <w:tr2bl w:val="nil"/>
            </w:tcBorders>
            <w:shd w:val="clear" w:color="auto" w:fill="auto"/>
            <w:noWrap/>
            <w:vAlign w:val="center"/>
          </w:tcPr>
          <w:p w14:paraId="5771617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1.098 (0.675~1.787)</w:t>
            </w:r>
          </w:p>
        </w:tc>
        <w:tc>
          <w:tcPr>
            <w:tcW w:w="77" w:type="pct"/>
            <w:tcBorders>
              <w:tl2br w:val="nil"/>
              <w:tr2bl w:val="nil"/>
            </w:tcBorders>
            <w:shd w:val="clear" w:color="auto" w:fill="auto"/>
            <w:noWrap/>
            <w:vAlign w:val="center"/>
          </w:tcPr>
          <w:p w14:paraId="2D05B9F7">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3D06F3B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0.556</w:t>
            </w:r>
          </w:p>
        </w:tc>
        <w:tc>
          <w:tcPr>
            <w:tcW w:w="542" w:type="pct"/>
            <w:tcBorders>
              <w:tl2br w:val="nil"/>
              <w:tr2bl w:val="nil"/>
            </w:tcBorders>
            <w:shd w:val="clear" w:color="auto" w:fill="auto"/>
            <w:noWrap/>
            <w:vAlign w:val="center"/>
          </w:tcPr>
          <w:p w14:paraId="2342D5C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0.960 (0.836~1.101)</w:t>
            </w:r>
          </w:p>
        </w:tc>
        <w:tc>
          <w:tcPr>
            <w:tcW w:w="203" w:type="pct"/>
            <w:tcBorders>
              <w:tl2br w:val="nil"/>
              <w:tr2bl w:val="nil"/>
            </w:tcBorders>
            <w:shd w:val="clear" w:color="auto" w:fill="auto"/>
            <w:noWrap/>
            <w:vAlign w:val="center"/>
          </w:tcPr>
          <w:p w14:paraId="03C4C63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0.427</w:t>
            </w:r>
          </w:p>
        </w:tc>
        <w:tc>
          <w:tcPr>
            <w:tcW w:w="542" w:type="pct"/>
            <w:tcBorders>
              <w:tl2br w:val="nil"/>
              <w:tr2bl w:val="nil"/>
            </w:tcBorders>
            <w:shd w:val="clear" w:color="auto" w:fill="auto"/>
            <w:noWrap/>
            <w:vAlign w:val="center"/>
          </w:tcPr>
          <w:p w14:paraId="4916C1A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0.893 (0.675~1.181)</w:t>
            </w:r>
          </w:p>
        </w:tc>
        <w:tc>
          <w:tcPr>
            <w:tcW w:w="203" w:type="pct"/>
            <w:tcBorders>
              <w:tl2br w:val="nil"/>
              <w:tr2bl w:val="nil"/>
            </w:tcBorders>
            <w:shd w:val="clear" w:color="auto" w:fill="auto"/>
            <w:noWrap/>
            <w:vAlign w:val="center"/>
          </w:tcPr>
          <w:p w14:paraId="3C9F528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0.425</w:t>
            </w:r>
          </w:p>
        </w:tc>
        <w:tc>
          <w:tcPr>
            <w:tcW w:w="542" w:type="pct"/>
            <w:tcBorders>
              <w:tl2br w:val="nil"/>
              <w:tr2bl w:val="nil"/>
            </w:tcBorders>
            <w:shd w:val="clear" w:color="auto" w:fill="auto"/>
            <w:noWrap/>
            <w:vAlign w:val="center"/>
          </w:tcPr>
          <w:p w14:paraId="7821A40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1.296 (0.686~2.451)</w:t>
            </w:r>
          </w:p>
        </w:tc>
      </w:tr>
      <w:tr w14:paraId="39BC3E9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42D2E91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CMI</w:t>
            </w:r>
          </w:p>
        </w:tc>
        <w:tc>
          <w:tcPr>
            <w:tcW w:w="203" w:type="pct"/>
            <w:tcBorders>
              <w:tl2br w:val="nil"/>
              <w:tr2bl w:val="nil"/>
            </w:tcBorders>
            <w:shd w:val="clear" w:color="auto" w:fill="auto"/>
            <w:noWrap/>
            <w:vAlign w:val="center"/>
          </w:tcPr>
          <w:p w14:paraId="4AC98169">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218896BF">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609794E">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6E049DF8">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DEF5D8B">
            <w:pPr>
              <w:jc w:val="left"/>
              <w:rPr>
                <w:rFonts w:hint="default" w:ascii="Times New Roman" w:hAnsi="Times New Roman" w:eastAsia="宋体" w:cs="Times New Roman"/>
                <w:b w:val="0"/>
                <w:bCs w:val="0"/>
                <w:i w:val="0"/>
                <w:iCs w:val="0"/>
                <w:color w:val="auto"/>
                <w:sz w:val="18"/>
                <w:szCs w:val="18"/>
                <w:u w:val="none"/>
              </w:rPr>
            </w:pPr>
          </w:p>
        </w:tc>
        <w:tc>
          <w:tcPr>
            <w:tcW w:w="570" w:type="pct"/>
            <w:tcBorders>
              <w:tl2br w:val="nil"/>
              <w:tr2bl w:val="nil"/>
            </w:tcBorders>
            <w:shd w:val="clear" w:color="auto" w:fill="auto"/>
            <w:noWrap/>
            <w:vAlign w:val="center"/>
          </w:tcPr>
          <w:p w14:paraId="08E3CC25">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5E40657A">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53F2E9A5">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6DD19219">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78975FA">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71CC649E">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0ED04EA">
            <w:pPr>
              <w:jc w:val="left"/>
              <w:rPr>
                <w:rFonts w:hint="default" w:ascii="Times New Roman" w:hAnsi="Times New Roman" w:eastAsia="宋体" w:cs="Times New Roman"/>
                <w:b w:val="0"/>
                <w:bCs w:val="0"/>
                <w:i w:val="0"/>
                <w:iCs w:val="0"/>
                <w:color w:val="auto"/>
                <w:sz w:val="18"/>
                <w:szCs w:val="18"/>
                <w:u w:val="none"/>
              </w:rPr>
            </w:pPr>
          </w:p>
        </w:tc>
        <w:tc>
          <w:tcPr>
            <w:tcW w:w="542" w:type="pct"/>
            <w:tcBorders>
              <w:tl2br w:val="nil"/>
              <w:tr2bl w:val="nil"/>
            </w:tcBorders>
            <w:shd w:val="clear" w:color="auto" w:fill="auto"/>
            <w:noWrap/>
            <w:vAlign w:val="center"/>
          </w:tcPr>
          <w:p w14:paraId="1F023313">
            <w:pPr>
              <w:jc w:val="left"/>
              <w:rPr>
                <w:rFonts w:hint="default" w:ascii="Times New Roman" w:hAnsi="Times New Roman" w:eastAsia="宋体" w:cs="Times New Roman"/>
                <w:b w:val="0"/>
                <w:bCs w:val="0"/>
                <w:i w:val="0"/>
                <w:iCs w:val="0"/>
                <w:color w:val="auto"/>
                <w:sz w:val="18"/>
                <w:szCs w:val="18"/>
                <w:u w:val="none"/>
              </w:rPr>
            </w:pPr>
          </w:p>
        </w:tc>
      </w:tr>
      <w:tr w14:paraId="3FC165CC">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3367F526">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Q1 (&lt;0.38)</w:t>
            </w:r>
          </w:p>
        </w:tc>
        <w:tc>
          <w:tcPr>
            <w:tcW w:w="203" w:type="pct"/>
            <w:tcBorders>
              <w:tl2br w:val="nil"/>
              <w:tr2bl w:val="nil"/>
            </w:tcBorders>
            <w:shd w:val="clear" w:color="auto" w:fill="auto"/>
            <w:noWrap/>
            <w:vAlign w:val="center"/>
          </w:tcPr>
          <w:p w14:paraId="66DB18A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0E3A7901">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1DBE120E">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BD79478">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092FF3E5">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70" w:type="pct"/>
            <w:tcBorders>
              <w:tl2br w:val="nil"/>
              <w:tr2bl w:val="nil"/>
            </w:tcBorders>
            <w:shd w:val="clear" w:color="auto" w:fill="auto"/>
            <w:noWrap/>
            <w:vAlign w:val="center"/>
          </w:tcPr>
          <w:p w14:paraId="16830607">
            <w:pPr>
              <w:jc w:val="left"/>
              <w:rPr>
                <w:rFonts w:hint="default" w:ascii="Times New Roman" w:hAnsi="Times New Roman" w:eastAsia="宋体" w:cs="Times New Roman"/>
                <w:b w:val="0"/>
                <w:bCs w:val="0"/>
                <w:i w:val="0"/>
                <w:iCs w:val="0"/>
                <w:color w:val="auto"/>
                <w:sz w:val="18"/>
                <w:szCs w:val="18"/>
                <w:u w:val="none"/>
              </w:rPr>
            </w:pPr>
          </w:p>
        </w:tc>
        <w:tc>
          <w:tcPr>
            <w:tcW w:w="77" w:type="pct"/>
            <w:tcBorders>
              <w:tl2br w:val="nil"/>
              <w:tr2bl w:val="nil"/>
            </w:tcBorders>
            <w:shd w:val="clear" w:color="auto" w:fill="auto"/>
            <w:noWrap/>
            <w:vAlign w:val="center"/>
          </w:tcPr>
          <w:p w14:paraId="26D3CF93">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12F7FED4">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F6ACCF3">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FC6A785">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5A55D46B">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2D44CFAA">
            <w:pPr>
              <w:jc w:val="left"/>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1.000</w:t>
            </w:r>
          </w:p>
        </w:tc>
        <w:tc>
          <w:tcPr>
            <w:tcW w:w="542" w:type="pct"/>
            <w:tcBorders>
              <w:tl2br w:val="nil"/>
              <w:tr2bl w:val="nil"/>
            </w:tcBorders>
            <w:shd w:val="clear" w:color="auto" w:fill="auto"/>
            <w:noWrap/>
            <w:vAlign w:val="center"/>
          </w:tcPr>
          <w:p w14:paraId="4C55D63F">
            <w:pPr>
              <w:jc w:val="left"/>
              <w:rPr>
                <w:rFonts w:hint="default" w:ascii="Times New Roman" w:hAnsi="Times New Roman" w:eastAsia="宋体" w:cs="Times New Roman"/>
                <w:b w:val="0"/>
                <w:bCs w:val="0"/>
                <w:i w:val="0"/>
                <w:iCs w:val="0"/>
                <w:color w:val="auto"/>
                <w:sz w:val="18"/>
                <w:szCs w:val="18"/>
                <w:u w:val="none"/>
              </w:rPr>
            </w:pPr>
          </w:p>
        </w:tc>
      </w:tr>
      <w:tr w14:paraId="2631E22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70E0D8D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Q2 (0.38~)</w:t>
            </w:r>
          </w:p>
        </w:tc>
        <w:tc>
          <w:tcPr>
            <w:tcW w:w="203" w:type="pct"/>
            <w:tcBorders>
              <w:tl2br w:val="nil"/>
              <w:tr2bl w:val="nil"/>
            </w:tcBorders>
            <w:shd w:val="clear" w:color="auto" w:fill="auto"/>
            <w:noWrap/>
            <w:vAlign w:val="center"/>
          </w:tcPr>
          <w:p w14:paraId="18CCD25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0.798</w:t>
            </w:r>
          </w:p>
        </w:tc>
        <w:tc>
          <w:tcPr>
            <w:tcW w:w="542" w:type="pct"/>
            <w:tcBorders>
              <w:tl2br w:val="nil"/>
              <w:tr2bl w:val="nil"/>
            </w:tcBorders>
            <w:shd w:val="clear" w:color="auto" w:fill="auto"/>
            <w:noWrap/>
            <w:vAlign w:val="center"/>
          </w:tcPr>
          <w:p w14:paraId="54C2B58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0.983 (0.865~1.118)</w:t>
            </w:r>
          </w:p>
        </w:tc>
        <w:tc>
          <w:tcPr>
            <w:tcW w:w="203" w:type="pct"/>
            <w:tcBorders>
              <w:tl2br w:val="nil"/>
              <w:tr2bl w:val="nil"/>
            </w:tcBorders>
            <w:shd w:val="clear" w:color="auto" w:fill="auto"/>
            <w:noWrap/>
            <w:vAlign w:val="center"/>
          </w:tcPr>
          <w:p w14:paraId="42D6491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0.892</w:t>
            </w:r>
          </w:p>
        </w:tc>
        <w:tc>
          <w:tcPr>
            <w:tcW w:w="542" w:type="pct"/>
            <w:tcBorders>
              <w:tl2br w:val="nil"/>
              <w:tr2bl w:val="nil"/>
            </w:tcBorders>
            <w:shd w:val="clear" w:color="auto" w:fill="auto"/>
            <w:noWrap/>
            <w:vAlign w:val="center"/>
          </w:tcPr>
          <w:p w14:paraId="4208EB0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1.038 (0.603~1.790)</w:t>
            </w:r>
          </w:p>
        </w:tc>
        <w:tc>
          <w:tcPr>
            <w:tcW w:w="203" w:type="pct"/>
            <w:tcBorders>
              <w:tl2br w:val="nil"/>
              <w:tr2bl w:val="nil"/>
            </w:tcBorders>
            <w:shd w:val="clear" w:color="auto" w:fill="auto"/>
            <w:noWrap/>
            <w:vAlign w:val="center"/>
          </w:tcPr>
          <w:p w14:paraId="6DC5F11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0.236</w:t>
            </w:r>
          </w:p>
        </w:tc>
        <w:tc>
          <w:tcPr>
            <w:tcW w:w="570" w:type="pct"/>
            <w:tcBorders>
              <w:tl2br w:val="nil"/>
              <w:tr2bl w:val="nil"/>
            </w:tcBorders>
            <w:shd w:val="clear" w:color="auto" w:fill="auto"/>
            <w:noWrap/>
            <w:vAlign w:val="center"/>
          </w:tcPr>
          <w:p w14:paraId="7769506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2.761 (0.515~14.815)</w:t>
            </w:r>
          </w:p>
        </w:tc>
        <w:tc>
          <w:tcPr>
            <w:tcW w:w="77" w:type="pct"/>
            <w:tcBorders>
              <w:tl2br w:val="nil"/>
              <w:tr2bl w:val="nil"/>
            </w:tcBorders>
            <w:shd w:val="clear" w:color="auto" w:fill="auto"/>
            <w:noWrap/>
            <w:vAlign w:val="center"/>
          </w:tcPr>
          <w:p w14:paraId="49C5FB03">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35EBF2DC">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0.609</w:t>
            </w:r>
          </w:p>
        </w:tc>
        <w:tc>
          <w:tcPr>
            <w:tcW w:w="542" w:type="pct"/>
            <w:tcBorders>
              <w:tl2br w:val="nil"/>
              <w:tr2bl w:val="nil"/>
            </w:tcBorders>
            <w:shd w:val="clear" w:color="auto" w:fill="auto"/>
            <w:noWrap/>
            <w:vAlign w:val="center"/>
          </w:tcPr>
          <w:p w14:paraId="2E50C6B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1.106 (0.753~1.623)</w:t>
            </w:r>
          </w:p>
        </w:tc>
        <w:tc>
          <w:tcPr>
            <w:tcW w:w="203" w:type="pct"/>
            <w:tcBorders>
              <w:tl2br w:val="nil"/>
              <w:tr2bl w:val="nil"/>
            </w:tcBorders>
            <w:shd w:val="clear" w:color="auto" w:fill="auto"/>
            <w:noWrap/>
            <w:vAlign w:val="center"/>
          </w:tcPr>
          <w:p w14:paraId="76142FD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0.857</w:t>
            </w:r>
          </w:p>
        </w:tc>
        <w:tc>
          <w:tcPr>
            <w:tcW w:w="542" w:type="pct"/>
            <w:tcBorders>
              <w:tl2br w:val="nil"/>
              <w:tr2bl w:val="nil"/>
            </w:tcBorders>
            <w:shd w:val="clear" w:color="auto" w:fill="auto"/>
            <w:noWrap/>
            <w:vAlign w:val="center"/>
          </w:tcPr>
          <w:p w14:paraId="5A4FF57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1.064 (0.540~2.095)</w:t>
            </w:r>
          </w:p>
        </w:tc>
        <w:tc>
          <w:tcPr>
            <w:tcW w:w="203" w:type="pct"/>
            <w:tcBorders>
              <w:tl2br w:val="nil"/>
              <w:tr2bl w:val="nil"/>
            </w:tcBorders>
            <w:shd w:val="clear" w:color="auto" w:fill="auto"/>
            <w:noWrap/>
            <w:vAlign w:val="center"/>
          </w:tcPr>
          <w:p w14:paraId="40E5253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0.366</w:t>
            </w:r>
          </w:p>
        </w:tc>
        <w:tc>
          <w:tcPr>
            <w:tcW w:w="542" w:type="pct"/>
            <w:tcBorders>
              <w:tl2br w:val="nil"/>
              <w:tr2bl w:val="nil"/>
            </w:tcBorders>
            <w:shd w:val="clear" w:color="auto" w:fill="auto"/>
            <w:noWrap/>
            <w:vAlign w:val="center"/>
          </w:tcPr>
          <w:p w14:paraId="6A3F82A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1.846 (0.488~6.983)</w:t>
            </w:r>
          </w:p>
        </w:tc>
      </w:tr>
      <w:tr w14:paraId="095486CE">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6AB28F3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Q3 (0.62~)</w:t>
            </w:r>
          </w:p>
        </w:tc>
        <w:tc>
          <w:tcPr>
            <w:tcW w:w="203" w:type="pct"/>
            <w:tcBorders>
              <w:tl2br w:val="nil"/>
              <w:tr2bl w:val="nil"/>
            </w:tcBorders>
            <w:shd w:val="clear" w:color="auto" w:fill="auto"/>
            <w:noWrap/>
            <w:vAlign w:val="center"/>
          </w:tcPr>
          <w:p w14:paraId="56AE8D7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0.275</w:t>
            </w:r>
          </w:p>
        </w:tc>
        <w:tc>
          <w:tcPr>
            <w:tcW w:w="542" w:type="pct"/>
            <w:tcBorders>
              <w:tl2br w:val="nil"/>
              <w:tr2bl w:val="nil"/>
            </w:tcBorders>
            <w:shd w:val="clear" w:color="auto" w:fill="auto"/>
            <w:noWrap/>
            <w:vAlign w:val="center"/>
          </w:tcPr>
          <w:p w14:paraId="45F716B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0.930 (0.817~1.059)</w:t>
            </w:r>
          </w:p>
        </w:tc>
        <w:tc>
          <w:tcPr>
            <w:tcW w:w="203" w:type="pct"/>
            <w:tcBorders>
              <w:tl2br w:val="nil"/>
              <w:tr2bl w:val="nil"/>
            </w:tcBorders>
            <w:shd w:val="clear" w:color="auto" w:fill="auto"/>
            <w:noWrap/>
            <w:vAlign w:val="center"/>
          </w:tcPr>
          <w:p w14:paraId="4F117F8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0.383</w:t>
            </w:r>
          </w:p>
        </w:tc>
        <w:tc>
          <w:tcPr>
            <w:tcW w:w="542" w:type="pct"/>
            <w:tcBorders>
              <w:tl2br w:val="nil"/>
              <w:tr2bl w:val="nil"/>
            </w:tcBorders>
            <w:shd w:val="clear" w:color="auto" w:fill="auto"/>
            <w:noWrap/>
            <w:vAlign w:val="center"/>
          </w:tcPr>
          <w:p w14:paraId="19466E8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0.770 (0.428~1.384)</w:t>
            </w:r>
          </w:p>
        </w:tc>
        <w:tc>
          <w:tcPr>
            <w:tcW w:w="203" w:type="pct"/>
            <w:tcBorders>
              <w:tl2br w:val="nil"/>
              <w:tr2bl w:val="nil"/>
            </w:tcBorders>
            <w:shd w:val="clear" w:color="auto" w:fill="auto"/>
            <w:noWrap/>
            <w:vAlign w:val="center"/>
          </w:tcPr>
          <w:p w14:paraId="52C0C5A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0.151</w:t>
            </w:r>
          </w:p>
        </w:tc>
        <w:tc>
          <w:tcPr>
            <w:tcW w:w="570" w:type="pct"/>
            <w:tcBorders>
              <w:tl2br w:val="nil"/>
              <w:tr2bl w:val="nil"/>
            </w:tcBorders>
            <w:shd w:val="clear" w:color="auto" w:fill="auto"/>
            <w:noWrap/>
            <w:vAlign w:val="center"/>
          </w:tcPr>
          <w:p w14:paraId="12CD176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3.382 (0.641~17.837)</w:t>
            </w:r>
          </w:p>
        </w:tc>
        <w:tc>
          <w:tcPr>
            <w:tcW w:w="77" w:type="pct"/>
            <w:tcBorders>
              <w:tl2br w:val="nil"/>
              <w:tr2bl w:val="nil"/>
            </w:tcBorders>
            <w:shd w:val="clear" w:color="auto" w:fill="auto"/>
            <w:noWrap/>
            <w:vAlign w:val="center"/>
          </w:tcPr>
          <w:p w14:paraId="7B9371C2">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5D3AF85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0.263</w:t>
            </w:r>
          </w:p>
        </w:tc>
        <w:tc>
          <w:tcPr>
            <w:tcW w:w="542" w:type="pct"/>
            <w:tcBorders>
              <w:tl2br w:val="nil"/>
              <w:tr2bl w:val="nil"/>
            </w:tcBorders>
            <w:shd w:val="clear" w:color="auto" w:fill="auto"/>
            <w:noWrap/>
            <w:vAlign w:val="center"/>
          </w:tcPr>
          <w:p w14:paraId="41F5FC47">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1.240 (0.851~1.806)</w:t>
            </w:r>
          </w:p>
        </w:tc>
        <w:tc>
          <w:tcPr>
            <w:tcW w:w="203" w:type="pct"/>
            <w:tcBorders>
              <w:tl2br w:val="nil"/>
              <w:tr2bl w:val="nil"/>
            </w:tcBorders>
            <w:shd w:val="clear" w:color="auto" w:fill="auto"/>
            <w:noWrap/>
            <w:vAlign w:val="center"/>
          </w:tcPr>
          <w:p w14:paraId="771E30C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0.494</w:t>
            </w:r>
          </w:p>
        </w:tc>
        <w:tc>
          <w:tcPr>
            <w:tcW w:w="542" w:type="pct"/>
            <w:tcBorders>
              <w:tl2br w:val="nil"/>
              <w:tr2bl w:val="nil"/>
            </w:tcBorders>
            <w:shd w:val="clear" w:color="auto" w:fill="auto"/>
            <w:noWrap/>
            <w:vAlign w:val="center"/>
          </w:tcPr>
          <w:p w14:paraId="173AC81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0.782 (0.387~1.581)</w:t>
            </w:r>
          </w:p>
        </w:tc>
        <w:tc>
          <w:tcPr>
            <w:tcW w:w="203" w:type="pct"/>
            <w:tcBorders>
              <w:tl2br w:val="nil"/>
              <w:tr2bl w:val="nil"/>
            </w:tcBorders>
            <w:shd w:val="clear" w:color="auto" w:fill="auto"/>
            <w:noWrap/>
            <w:vAlign w:val="center"/>
          </w:tcPr>
          <w:p w14:paraId="13EAFE7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0.515</w:t>
            </w:r>
          </w:p>
        </w:tc>
        <w:tc>
          <w:tcPr>
            <w:tcW w:w="542" w:type="pct"/>
            <w:tcBorders>
              <w:tl2br w:val="nil"/>
              <w:tr2bl w:val="nil"/>
            </w:tcBorders>
            <w:shd w:val="clear" w:color="auto" w:fill="auto"/>
            <w:noWrap/>
            <w:vAlign w:val="center"/>
          </w:tcPr>
          <w:p w14:paraId="2A62F33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1.571 (0.404~6.116)</w:t>
            </w:r>
          </w:p>
        </w:tc>
      </w:tr>
      <w:tr w14:paraId="406BE87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2468A4F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Q4 (≥1.03)</w:t>
            </w:r>
          </w:p>
        </w:tc>
        <w:tc>
          <w:tcPr>
            <w:tcW w:w="203" w:type="pct"/>
            <w:tcBorders>
              <w:tl2br w:val="nil"/>
              <w:tr2bl w:val="nil"/>
            </w:tcBorders>
            <w:shd w:val="clear" w:color="auto" w:fill="auto"/>
            <w:noWrap/>
            <w:vAlign w:val="center"/>
          </w:tcPr>
          <w:p w14:paraId="201FB768">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0.160</w:t>
            </w:r>
          </w:p>
        </w:tc>
        <w:tc>
          <w:tcPr>
            <w:tcW w:w="542" w:type="pct"/>
            <w:tcBorders>
              <w:tl2br w:val="nil"/>
              <w:tr2bl w:val="nil"/>
            </w:tcBorders>
            <w:shd w:val="clear" w:color="auto" w:fill="auto"/>
            <w:noWrap/>
            <w:vAlign w:val="center"/>
          </w:tcPr>
          <w:p w14:paraId="2008800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0.909 (0.796~1.038)</w:t>
            </w:r>
          </w:p>
        </w:tc>
        <w:tc>
          <w:tcPr>
            <w:tcW w:w="203" w:type="pct"/>
            <w:tcBorders>
              <w:tl2br w:val="nil"/>
              <w:tr2bl w:val="nil"/>
            </w:tcBorders>
            <w:shd w:val="clear" w:color="auto" w:fill="auto"/>
            <w:noWrap/>
            <w:vAlign w:val="center"/>
          </w:tcPr>
          <w:p w14:paraId="70DC119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0.431</w:t>
            </w:r>
          </w:p>
        </w:tc>
        <w:tc>
          <w:tcPr>
            <w:tcW w:w="542" w:type="pct"/>
            <w:tcBorders>
              <w:tl2br w:val="nil"/>
              <w:tr2bl w:val="nil"/>
            </w:tcBorders>
            <w:shd w:val="clear" w:color="auto" w:fill="auto"/>
            <w:noWrap/>
            <w:vAlign w:val="center"/>
          </w:tcPr>
          <w:p w14:paraId="13477EC1">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1.240 (0.726~2.118)</w:t>
            </w:r>
          </w:p>
        </w:tc>
        <w:tc>
          <w:tcPr>
            <w:tcW w:w="203" w:type="pct"/>
            <w:tcBorders>
              <w:tl2br w:val="nil"/>
              <w:tr2bl w:val="nil"/>
            </w:tcBorders>
            <w:shd w:val="clear" w:color="auto" w:fill="auto"/>
            <w:noWrap/>
            <w:vAlign w:val="center"/>
          </w:tcPr>
          <w:p w14:paraId="312443E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0.294</w:t>
            </w:r>
          </w:p>
        </w:tc>
        <w:tc>
          <w:tcPr>
            <w:tcW w:w="570" w:type="pct"/>
            <w:tcBorders>
              <w:tl2br w:val="nil"/>
              <w:tr2bl w:val="nil"/>
            </w:tcBorders>
            <w:shd w:val="clear" w:color="auto" w:fill="auto"/>
            <w:noWrap/>
            <w:vAlign w:val="center"/>
          </w:tcPr>
          <w:p w14:paraId="019E964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2.530 (0.447~14.305)</w:t>
            </w:r>
          </w:p>
        </w:tc>
        <w:tc>
          <w:tcPr>
            <w:tcW w:w="77" w:type="pct"/>
            <w:tcBorders>
              <w:tl2br w:val="nil"/>
              <w:tr2bl w:val="nil"/>
            </w:tcBorders>
            <w:shd w:val="clear" w:color="auto" w:fill="auto"/>
            <w:noWrap/>
            <w:vAlign w:val="center"/>
          </w:tcPr>
          <w:p w14:paraId="68C38C53">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6E5CF0E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0.465</w:t>
            </w:r>
          </w:p>
        </w:tc>
        <w:tc>
          <w:tcPr>
            <w:tcW w:w="542" w:type="pct"/>
            <w:tcBorders>
              <w:tl2br w:val="nil"/>
              <w:tr2bl w:val="nil"/>
            </w:tcBorders>
            <w:shd w:val="clear" w:color="auto" w:fill="auto"/>
            <w:noWrap/>
            <w:vAlign w:val="center"/>
          </w:tcPr>
          <w:p w14:paraId="7AABFC0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0.858 (0.570~1.293)</w:t>
            </w:r>
          </w:p>
        </w:tc>
        <w:tc>
          <w:tcPr>
            <w:tcW w:w="203" w:type="pct"/>
            <w:tcBorders>
              <w:tl2br w:val="nil"/>
              <w:tr2bl w:val="nil"/>
            </w:tcBorders>
            <w:shd w:val="clear" w:color="auto" w:fill="auto"/>
            <w:noWrap/>
            <w:vAlign w:val="center"/>
          </w:tcPr>
          <w:p w14:paraId="2D10588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0.438</w:t>
            </w:r>
          </w:p>
        </w:tc>
        <w:tc>
          <w:tcPr>
            <w:tcW w:w="542" w:type="pct"/>
            <w:tcBorders>
              <w:tl2br w:val="nil"/>
              <w:tr2bl w:val="nil"/>
            </w:tcBorders>
            <w:shd w:val="clear" w:color="auto" w:fill="auto"/>
            <w:noWrap/>
            <w:vAlign w:val="center"/>
          </w:tcPr>
          <w:p w14:paraId="2DAAEC1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0.756 (0.372~1.534)</w:t>
            </w:r>
          </w:p>
        </w:tc>
        <w:tc>
          <w:tcPr>
            <w:tcW w:w="203" w:type="pct"/>
            <w:tcBorders>
              <w:tl2br w:val="nil"/>
              <w:tr2bl w:val="nil"/>
            </w:tcBorders>
            <w:shd w:val="clear" w:color="auto" w:fill="auto"/>
            <w:noWrap/>
            <w:vAlign w:val="center"/>
          </w:tcPr>
          <w:p w14:paraId="591C068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0.143</w:t>
            </w:r>
          </w:p>
        </w:tc>
        <w:tc>
          <w:tcPr>
            <w:tcW w:w="542" w:type="pct"/>
            <w:tcBorders>
              <w:tl2br w:val="nil"/>
              <w:tr2bl w:val="nil"/>
            </w:tcBorders>
            <w:shd w:val="clear" w:color="auto" w:fill="auto"/>
            <w:noWrap/>
            <w:vAlign w:val="center"/>
          </w:tcPr>
          <w:p w14:paraId="262E148F">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2.558 (0.727~8.998)</w:t>
            </w:r>
          </w:p>
        </w:tc>
      </w:tr>
      <w:tr w14:paraId="5EF5AC80">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17" w:type="pct"/>
            <w:tcBorders>
              <w:tl2br w:val="nil"/>
              <w:tr2bl w:val="nil"/>
            </w:tcBorders>
            <w:shd w:val="clear" w:color="auto" w:fill="auto"/>
            <w:noWrap/>
            <w:vAlign w:val="center"/>
          </w:tcPr>
          <w:p w14:paraId="0107C1B3">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CMI z-score</w:t>
            </w:r>
          </w:p>
        </w:tc>
        <w:tc>
          <w:tcPr>
            <w:tcW w:w="203" w:type="pct"/>
            <w:tcBorders>
              <w:tl2br w:val="nil"/>
              <w:tr2bl w:val="nil"/>
            </w:tcBorders>
            <w:shd w:val="clear" w:color="auto" w:fill="auto"/>
            <w:noWrap/>
            <w:vAlign w:val="center"/>
          </w:tcPr>
          <w:p w14:paraId="4CF63BD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0.065</w:t>
            </w:r>
          </w:p>
        </w:tc>
        <w:tc>
          <w:tcPr>
            <w:tcW w:w="542" w:type="pct"/>
            <w:tcBorders>
              <w:tl2br w:val="nil"/>
              <w:tr2bl w:val="nil"/>
            </w:tcBorders>
            <w:shd w:val="clear" w:color="auto" w:fill="auto"/>
            <w:noWrap/>
            <w:vAlign w:val="center"/>
          </w:tcPr>
          <w:p w14:paraId="7D9EF2C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0.954 (0.907~1.003)</w:t>
            </w:r>
          </w:p>
        </w:tc>
        <w:tc>
          <w:tcPr>
            <w:tcW w:w="203" w:type="pct"/>
            <w:tcBorders>
              <w:tl2br w:val="nil"/>
              <w:tr2bl w:val="nil"/>
            </w:tcBorders>
            <w:shd w:val="clear" w:color="auto" w:fill="auto"/>
            <w:noWrap/>
            <w:vAlign w:val="center"/>
          </w:tcPr>
          <w:p w14:paraId="20AE48EA">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0.851</w:t>
            </w:r>
          </w:p>
        </w:tc>
        <w:tc>
          <w:tcPr>
            <w:tcW w:w="542" w:type="pct"/>
            <w:tcBorders>
              <w:tl2br w:val="nil"/>
              <w:tr2bl w:val="nil"/>
            </w:tcBorders>
            <w:shd w:val="clear" w:color="auto" w:fill="auto"/>
            <w:noWrap/>
            <w:vAlign w:val="center"/>
          </w:tcPr>
          <w:p w14:paraId="566ECC15">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0.982 (0.809~1.191)</w:t>
            </w:r>
          </w:p>
        </w:tc>
        <w:tc>
          <w:tcPr>
            <w:tcW w:w="203" w:type="pct"/>
            <w:tcBorders>
              <w:tl2br w:val="nil"/>
              <w:tr2bl w:val="nil"/>
            </w:tcBorders>
            <w:shd w:val="clear" w:color="auto" w:fill="auto"/>
            <w:noWrap/>
            <w:vAlign w:val="center"/>
          </w:tcPr>
          <w:p w14:paraId="4FDC4D19">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0.734</w:t>
            </w:r>
          </w:p>
        </w:tc>
        <w:tc>
          <w:tcPr>
            <w:tcW w:w="570" w:type="pct"/>
            <w:tcBorders>
              <w:tl2br w:val="nil"/>
              <w:tr2bl w:val="nil"/>
            </w:tcBorders>
            <w:shd w:val="clear" w:color="auto" w:fill="auto"/>
            <w:noWrap/>
            <w:vAlign w:val="center"/>
          </w:tcPr>
          <w:p w14:paraId="00CA598E">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0.900 (0.492~1.649)</w:t>
            </w:r>
          </w:p>
        </w:tc>
        <w:tc>
          <w:tcPr>
            <w:tcW w:w="77" w:type="pct"/>
            <w:tcBorders>
              <w:tl2br w:val="nil"/>
              <w:tr2bl w:val="nil"/>
            </w:tcBorders>
            <w:shd w:val="clear" w:color="auto" w:fill="auto"/>
            <w:noWrap/>
            <w:vAlign w:val="center"/>
          </w:tcPr>
          <w:p w14:paraId="6F4BB67A">
            <w:pPr>
              <w:jc w:val="left"/>
              <w:rPr>
                <w:rFonts w:hint="default" w:ascii="Times New Roman" w:hAnsi="Times New Roman" w:eastAsia="宋体" w:cs="Times New Roman"/>
                <w:b w:val="0"/>
                <w:bCs w:val="0"/>
                <w:i w:val="0"/>
                <w:iCs w:val="0"/>
                <w:color w:val="auto"/>
                <w:sz w:val="18"/>
                <w:szCs w:val="18"/>
                <w:u w:val="none"/>
              </w:rPr>
            </w:pPr>
          </w:p>
        </w:tc>
        <w:tc>
          <w:tcPr>
            <w:tcW w:w="203" w:type="pct"/>
            <w:tcBorders>
              <w:tl2br w:val="nil"/>
              <w:tr2bl w:val="nil"/>
            </w:tcBorders>
            <w:shd w:val="clear" w:color="auto" w:fill="auto"/>
            <w:noWrap/>
            <w:vAlign w:val="center"/>
          </w:tcPr>
          <w:p w14:paraId="7D95C02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0.320</w:t>
            </w:r>
          </w:p>
        </w:tc>
        <w:tc>
          <w:tcPr>
            <w:tcW w:w="542" w:type="pct"/>
            <w:tcBorders>
              <w:tl2br w:val="nil"/>
              <w:tr2bl w:val="nil"/>
            </w:tcBorders>
            <w:shd w:val="clear" w:color="auto" w:fill="auto"/>
            <w:noWrap/>
            <w:vAlign w:val="center"/>
          </w:tcPr>
          <w:p w14:paraId="2B7A2680">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0.913 (0.764~1.092)</w:t>
            </w:r>
          </w:p>
        </w:tc>
        <w:tc>
          <w:tcPr>
            <w:tcW w:w="203" w:type="pct"/>
            <w:tcBorders>
              <w:tl2br w:val="nil"/>
              <w:tr2bl w:val="nil"/>
            </w:tcBorders>
            <w:shd w:val="clear" w:color="auto" w:fill="auto"/>
            <w:noWrap/>
            <w:vAlign w:val="center"/>
          </w:tcPr>
          <w:p w14:paraId="71B69A24">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0.689</w:t>
            </w:r>
          </w:p>
        </w:tc>
        <w:tc>
          <w:tcPr>
            <w:tcW w:w="542" w:type="pct"/>
            <w:tcBorders>
              <w:tl2br w:val="nil"/>
              <w:tr2bl w:val="nil"/>
            </w:tcBorders>
            <w:shd w:val="clear" w:color="auto" w:fill="auto"/>
            <w:noWrap/>
            <w:vAlign w:val="center"/>
          </w:tcPr>
          <w:p w14:paraId="474E90FD">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0.943 (0.707~1.258)</w:t>
            </w:r>
          </w:p>
        </w:tc>
        <w:tc>
          <w:tcPr>
            <w:tcW w:w="203" w:type="pct"/>
            <w:tcBorders>
              <w:tl2br w:val="nil"/>
              <w:tr2bl w:val="nil"/>
            </w:tcBorders>
            <w:shd w:val="clear" w:color="auto" w:fill="auto"/>
            <w:noWrap/>
            <w:vAlign w:val="center"/>
          </w:tcPr>
          <w:p w14:paraId="367D70EB">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0.041</w:t>
            </w:r>
          </w:p>
        </w:tc>
        <w:tc>
          <w:tcPr>
            <w:tcW w:w="542" w:type="pct"/>
            <w:tcBorders>
              <w:tl2br w:val="nil"/>
              <w:tr2bl w:val="nil"/>
            </w:tcBorders>
            <w:shd w:val="clear" w:color="auto" w:fill="auto"/>
            <w:noWrap/>
            <w:vAlign w:val="center"/>
          </w:tcPr>
          <w:p w14:paraId="39615132">
            <w:pPr>
              <w:keepNext w:val="0"/>
              <w:keepLines w:val="0"/>
              <w:widowControl/>
              <w:suppressLineNumbers w:val="0"/>
              <w:jc w:val="left"/>
              <w:textAlignment w:val="center"/>
              <w:rPr>
                <w:rFonts w:hint="default" w:ascii="Times New Roman" w:hAnsi="Times New Roman" w:eastAsia="宋体" w:cs="Times New Roman"/>
                <w:b w:val="0"/>
                <w:bCs w:val="0"/>
                <w:i w:val="0"/>
                <w:iCs w:val="0"/>
                <w:color w:val="auto"/>
                <w:sz w:val="18"/>
                <w:szCs w:val="18"/>
                <w:u w:val="none"/>
              </w:rPr>
            </w:pPr>
            <w:r>
              <w:rPr>
                <w:rFonts w:hint="default" w:ascii="Times New Roman" w:hAnsi="Times New Roman" w:eastAsia="宋体" w:cs="Times New Roman"/>
                <w:b w:val="0"/>
                <w:bCs w:val="0"/>
                <w:i w:val="0"/>
                <w:iCs w:val="0"/>
                <w:color w:val="auto"/>
                <w:kern w:val="0"/>
                <w:sz w:val="18"/>
                <w:szCs w:val="18"/>
                <w:u w:val="none"/>
                <w:lang w:val="en-US" w:eastAsia="zh-CN" w:bidi="ar"/>
              </w:rPr>
              <w:t>1.189 (1.007~1.402)</w:t>
            </w:r>
          </w:p>
        </w:tc>
      </w:tr>
    </w:tbl>
    <w:p w14:paraId="211BFAD4">
      <w:pPr>
        <w:numPr>
          <w:ilvl w:val="0"/>
          <w:numId w:val="0"/>
        </w:numPr>
        <w:ind w:leftChars="0"/>
        <w:rPr>
          <w:rFonts w:hint="eastAsia" w:ascii="Times New Roman" w:hAnsi="Times New Roman" w:eastAsia="宋体" w:cs="Times New Roman"/>
          <w:i w:val="0"/>
          <w:iCs w:val="0"/>
          <w:color w:val="auto"/>
          <w:kern w:val="0"/>
          <w:sz w:val="22"/>
          <w:szCs w:val="22"/>
          <w:u w:val="none"/>
          <w:vertAlign w:val="baseline"/>
          <w:lang w:val="en-US" w:eastAsia="zh-CN" w:bidi="ar"/>
        </w:rPr>
      </w:pPr>
      <w:r>
        <w:rPr>
          <w:rFonts w:hint="eastAsia" w:ascii="Times New Roman" w:hAnsi="Times New Roman" w:eastAsia="宋体" w:cs="Times New Roman"/>
          <w:i w:val="0"/>
          <w:iCs w:val="0"/>
          <w:color w:val="auto"/>
          <w:kern w:val="0"/>
          <w:sz w:val="22"/>
          <w:szCs w:val="22"/>
          <w:u w:val="none"/>
          <w:vertAlign w:val="baseline"/>
          <w:lang w:val="en-US" w:eastAsia="zh-CN" w:bidi="ar"/>
        </w:rPr>
        <w:t>Note: LAP = lipid accumulation product; VAI = visceral adiposity index; CVAI = Chinese visceral adiposity index; WTI = waist triglyceride index; CMI = cardiometabolic index; GC = gastric cancer; OR = odds ratio; CI = confidence interval. For exploratory stratified analysis without univariate variable screening in advance, multinomial logistic regression model was adjusted for gender, age (continuous), residence, marital status, educational level, household size, annual average household income, smoking, alcohol drinking, tea drinking, adequate intake of vegetables and fruits, livestock meat and products, pickled food, irregular diet, deep-fried food, leftover food, moldy food, fast eating speed, high-salt diet, spicy food, physical activity frequency, family history of cancer, family history of chronic diseases, Hp infection, history of gastric diseases, and medication history.</w:t>
      </w:r>
    </w:p>
    <w:p w14:paraId="0596882C">
      <w:pPr>
        <w:spacing w:line="240" w:lineRule="auto"/>
        <w:rPr>
          <w:rFonts w:hint="default" w:ascii="Times New Roman" w:hAnsi="Times New Roman" w:cs="Times New Roman"/>
          <w:color w:val="auto"/>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p>
    <w:p w14:paraId="72C69C3D">
      <w:pPr>
        <w:spacing w:line="240" w:lineRule="auto"/>
        <w:rPr>
          <w:rFonts w:hint="default" w:ascii="Times New Roman" w:hAnsi="Times New Roman" w:cs="Times New Roman"/>
          <w:color w:val="auto"/>
          <w:lang w:val="en-US" w:eastAsia="zh-CN"/>
        </w:rPr>
      </w:pPr>
    </w:p>
    <w:p w14:paraId="03A4583E">
      <w:pPr>
        <w:rPr>
          <w:rFonts w:hint="default" w:ascii="Times New Roman" w:hAnsi="Times New Roman" w:cs="Times New Roman"/>
          <w:b/>
          <w:bCs/>
          <w:color w:val="auto"/>
        </w:rPr>
      </w:pPr>
    </w:p>
    <w:p w14:paraId="50A9DB49">
      <w:pPr>
        <w:rPr>
          <w:rFonts w:hint="default" w:ascii="Times New Roman" w:hAnsi="Times New Roman" w:cs="Times New Roman"/>
          <w:b/>
          <w:bCs/>
          <w:color w:val="auto"/>
        </w:rPr>
      </w:pPr>
      <w:r>
        <w:rPr>
          <w:rFonts w:hint="default" w:ascii="Times New Roman" w:hAnsi="Times New Roman" w:cs="Times New Roman"/>
          <w:b/>
          <w:bCs/>
          <w:color w:val="auto"/>
        </w:rPr>
        <w:t>3 讨 论</w:t>
      </w:r>
    </w:p>
    <w:p w14:paraId="1A51390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 w:val="0"/>
          <w:bCs w:val="0"/>
          <w:color w:val="auto"/>
          <w:lang w:val="en-US" w:eastAsia="zh-CN"/>
        </w:rPr>
      </w:pPr>
      <w:r>
        <w:rPr>
          <w:rFonts w:hint="default" w:ascii="Times New Roman" w:hAnsi="Times New Roman" w:cs="Times New Roman"/>
          <w:color w:val="auto"/>
          <w:lang w:val="en-US" w:eastAsia="zh-CN"/>
        </w:rPr>
        <w:t>本研究发现，LAP、VAI、CVAI和CMI水平的</w:t>
      </w:r>
      <w:r>
        <w:rPr>
          <w:rFonts w:hint="eastAsia" w:ascii="Times New Roman" w:hAnsi="Times New Roman" w:cs="Times New Roman"/>
          <w:color w:val="auto"/>
          <w:lang w:val="en-US" w:eastAsia="zh-CN"/>
        </w:rPr>
        <w:t>升高</w:t>
      </w:r>
      <w:r>
        <w:rPr>
          <w:rFonts w:hint="default" w:ascii="Times New Roman" w:hAnsi="Times New Roman" w:cs="Times New Roman"/>
          <w:color w:val="auto"/>
          <w:lang w:val="en-US" w:eastAsia="zh-CN"/>
        </w:rPr>
        <w:t>会显著</w:t>
      </w:r>
      <w:r>
        <w:rPr>
          <w:rFonts w:hint="eastAsia" w:ascii="Times New Roman" w:hAnsi="Times New Roman" w:cs="Times New Roman"/>
          <w:color w:val="auto"/>
          <w:lang w:val="en-US" w:eastAsia="zh-CN"/>
        </w:rPr>
        <w:t>降低</w:t>
      </w:r>
      <w:r>
        <w:rPr>
          <w:rFonts w:hint="default" w:ascii="Times New Roman" w:hAnsi="Times New Roman" w:cs="Times New Roman"/>
          <w:color w:val="auto"/>
          <w:lang w:val="en-US" w:eastAsia="zh-CN"/>
        </w:rPr>
        <w:t>癌前疾病的风险。</w:t>
      </w:r>
      <w:r>
        <w:rPr>
          <w:rFonts w:hint="default" w:ascii="Times New Roman" w:hAnsi="Times New Roman" w:cs="Times New Roman"/>
          <w:b w:val="0"/>
          <w:bCs w:val="0"/>
          <w:color w:val="auto"/>
          <w:lang w:val="en-US" w:eastAsia="zh-CN"/>
        </w:rPr>
        <w:t>当前有关癌前疾病与肥胖相关指标关联的研究结果尚不统一</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KYMRREF{8F215C65-BADE-4FD0-B26F-6DF5A5DBD711}1175,{8F215C65-BADE-4FD0-B26F-6DF5A5DBD711}1176,{8F215C65-BADE-4FD0-B26F-6DF5A5DBD711}1177,{8F215C65-BADE-4FD0-B26F-6DF5A5DBD711}1178</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[26-29]</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一项纳入</w:t>
      </w:r>
      <w:r>
        <w:rPr>
          <w:rFonts w:hint="default" w:ascii="Times New Roman" w:hAnsi="Times New Roman" w:cs="Times New Roman"/>
          <w:b w:val="0"/>
          <w:bCs w:val="0"/>
          <w:color w:val="auto"/>
          <w:lang w:val="en-US" w:eastAsia="zh-CN"/>
        </w:rPr>
        <w:t>142832名韩国成年人的回顾性队列</w:t>
      </w:r>
      <w:r>
        <w:rPr>
          <w:rFonts w:hint="eastAsia" w:ascii="Times New Roman" w:hAnsi="Times New Roman" w:cs="Times New Roman"/>
          <w:b w:val="0"/>
          <w:bCs w:val="0"/>
          <w:color w:val="auto"/>
          <w:lang w:val="en-US" w:eastAsia="zh-CN"/>
        </w:rPr>
        <w:t>研究</w:t>
      </w:r>
      <w:r>
        <w:rPr>
          <w:rFonts w:hint="default" w:ascii="Times New Roman" w:hAnsi="Times New Roman" w:cs="Times New Roman"/>
          <w:b w:val="0"/>
          <w:bCs w:val="0"/>
          <w:color w:val="auto"/>
          <w:lang w:val="en-US" w:eastAsia="zh-CN"/>
        </w:rPr>
        <w:t>显示，肥胖与萎缩性胃炎和</w:t>
      </w:r>
      <w:r>
        <w:rPr>
          <w:rFonts w:hint="eastAsia" w:ascii="Times New Roman" w:hAnsi="Times New Roman" w:cs="Times New Roman"/>
          <w:b w:val="0"/>
          <w:bCs w:val="0"/>
          <w:color w:val="auto"/>
          <w:lang w:val="en-US" w:eastAsia="zh-CN"/>
        </w:rPr>
        <w:t>肠上皮化生</w:t>
      </w:r>
      <w:r>
        <w:rPr>
          <w:rFonts w:hint="default" w:ascii="Times New Roman" w:hAnsi="Times New Roman" w:cs="Times New Roman"/>
          <w:b w:val="0"/>
          <w:bCs w:val="0"/>
          <w:color w:val="auto"/>
          <w:lang w:val="en-US" w:eastAsia="zh-CN"/>
        </w:rPr>
        <w:t>的发病率增加独立相关</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KYMRREF{8F215C65-BADE-4FD0-B26F-6DF5A5DBD711}1175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[26]</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。另一项针对癌前病变</w:t>
      </w:r>
      <w:r>
        <w:rPr>
          <w:rFonts w:hint="eastAsia" w:ascii="Times New Roman" w:hAnsi="Times New Roman" w:cs="Times New Roman"/>
          <w:b w:val="0"/>
          <w:bCs w:val="0"/>
          <w:color w:val="auto"/>
          <w:lang w:val="en-US" w:eastAsia="zh-CN"/>
        </w:rPr>
        <w:t>构建</w:t>
      </w:r>
      <w:r>
        <w:rPr>
          <w:rFonts w:hint="default" w:ascii="Times New Roman" w:hAnsi="Times New Roman" w:cs="Times New Roman"/>
          <w:b w:val="0"/>
          <w:bCs w:val="0"/>
          <w:color w:val="auto"/>
          <w:lang w:val="en-US" w:eastAsia="zh-CN"/>
        </w:rPr>
        <w:t>和验证预测模型的研究显示，BMI是癌前病变的独立预测因子之一</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KYMRREF{8F215C65-BADE-4FD0-B26F-6DF5A5DBD711}1176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[27]</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。相反，日本的一项研究显示，BMI与萎缩性胃炎存在负相关</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KYMRREF{8F215C65-BADE-4FD0-B26F-6DF5A5DBD711}1177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[28]</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eastAsia="宋体" w:cs="Times New Roman"/>
          <w:b w:val="0"/>
          <w:bCs w:val="0"/>
          <w:i w:val="0"/>
          <w:color w:val="auto"/>
          <w:sz w:val="21"/>
          <w:u w:val="none"/>
          <w:lang w:val="en-US" w:eastAsia="zh-CN"/>
        </w:rPr>
        <w:t>，与本研究结果一致</w:t>
      </w:r>
      <w:r>
        <w:rPr>
          <w:rFonts w:hint="default" w:ascii="Times New Roman" w:hAnsi="Times New Roman" w:cs="Times New Roman"/>
          <w:b w:val="0"/>
          <w:bCs w:val="0"/>
          <w:color w:val="auto"/>
          <w:lang w:val="en-US" w:eastAsia="zh-CN"/>
        </w:rPr>
        <w:t>。在耶路撒冷的一项横断面研究中，</w:t>
      </w:r>
      <w:r>
        <w:rPr>
          <w:rFonts w:hint="eastAsia" w:ascii="Times New Roman" w:hAnsi="Times New Roman" w:cs="Times New Roman"/>
          <w:b w:val="0"/>
          <w:bCs w:val="0"/>
          <w:color w:val="auto"/>
          <w:lang w:val="en-US" w:eastAsia="zh-CN"/>
        </w:rPr>
        <w:t>则</w:t>
      </w:r>
      <w:r>
        <w:rPr>
          <w:rFonts w:hint="default" w:ascii="Times New Roman" w:hAnsi="Times New Roman" w:cs="Times New Roman"/>
          <w:b w:val="0"/>
          <w:bCs w:val="0"/>
          <w:color w:val="auto"/>
          <w:lang w:val="en-US" w:eastAsia="zh-CN"/>
        </w:rPr>
        <w:t>未发现肥胖与萎缩性胃炎存在显著关联</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KYMRREF{8F215C65-BADE-4FD0-B26F-6DF5A5DBD711}1178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[29]</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分析NORI产生保护效应可能的原因如下：</w:t>
      </w:r>
      <w:r>
        <w:rPr>
          <w:rFonts w:hint="default" w:ascii="Times New Roman" w:hAnsi="Times New Roman" w:cs="Times New Roman"/>
          <w:b w:val="0"/>
          <w:bCs w:val="0"/>
          <w:color w:val="auto"/>
          <w:lang w:val="en-US" w:eastAsia="zh-CN"/>
        </w:rPr>
        <w:t>一方面，</w:t>
      </w:r>
      <w:r>
        <w:rPr>
          <w:rFonts w:hint="eastAsia" w:ascii="Times New Roman" w:hAnsi="Times New Roman" w:cs="Times New Roman"/>
          <w:b w:val="0"/>
          <w:bCs w:val="0"/>
          <w:color w:val="auto"/>
          <w:lang w:val="en-US" w:eastAsia="zh-CN"/>
        </w:rPr>
        <w:t>这可能与肥胖人群的营养状况相关。</w:t>
      </w:r>
      <w:r>
        <w:rPr>
          <w:rFonts w:hint="default" w:ascii="Times New Roman" w:hAnsi="Times New Roman" w:cs="Times New Roman"/>
          <w:b w:val="0"/>
          <w:bCs w:val="0"/>
          <w:color w:val="auto"/>
          <w:lang w:val="en-US" w:eastAsia="zh-CN"/>
        </w:rPr>
        <w:t>脂肪组织能够</w:t>
      </w:r>
      <w:r>
        <w:rPr>
          <w:rFonts w:hint="eastAsia" w:ascii="Times New Roman" w:hAnsi="Times New Roman" w:cs="Times New Roman"/>
          <w:b w:val="0"/>
          <w:bCs w:val="0"/>
          <w:color w:val="auto"/>
          <w:lang w:val="en-US" w:eastAsia="zh-CN"/>
        </w:rPr>
        <w:t>储存并释放</w:t>
      </w:r>
      <w:r>
        <w:rPr>
          <w:rFonts w:hint="default" w:ascii="Times New Roman" w:hAnsi="Times New Roman" w:cs="Times New Roman"/>
          <w:b w:val="0"/>
          <w:bCs w:val="0"/>
          <w:color w:val="auto"/>
          <w:lang w:val="en-US" w:eastAsia="zh-CN"/>
        </w:rPr>
        <w:t>参与胃</w:t>
      </w:r>
      <w:r>
        <w:rPr>
          <w:rFonts w:hint="eastAsia" w:ascii="Times New Roman" w:hAnsi="Times New Roman" w:cs="Times New Roman"/>
          <w:b w:val="0"/>
          <w:bCs w:val="0"/>
          <w:color w:val="auto"/>
          <w:lang w:val="en-US" w:eastAsia="zh-CN"/>
        </w:rPr>
        <w:t>黏膜</w:t>
      </w:r>
      <w:r>
        <w:rPr>
          <w:rFonts w:hint="default" w:ascii="Times New Roman" w:hAnsi="Times New Roman" w:cs="Times New Roman"/>
          <w:b w:val="0"/>
          <w:bCs w:val="0"/>
          <w:color w:val="auto"/>
          <w:lang w:val="en-US" w:eastAsia="zh-CN"/>
        </w:rPr>
        <w:t>修复的脂溶性维生素E和D（具有较好的抗氧化和抗炎效果）</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KYMRREF{8F215C65-BADE-4FD0-B26F-6DF5A5DBD711}1179,{8F215C65-BADE-4FD0-B26F-6DF5A5DBD711}1180</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[30, 31]</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同时，</w:t>
      </w:r>
      <w:r>
        <w:rPr>
          <w:rFonts w:hint="default" w:ascii="Times New Roman" w:hAnsi="Times New Roman" w:cs="Times New Roman"/>
          <w:b w:val="0"/>
          <w:bCs w:val="0"/>
          <w:color w:val="auto"/>
          <w:lang w:val="en-US" w:eastAsia="zh-CN"/>
        </w:rPr>
        <w:t>低</w:t>
      </w:r>
      <w:r>
        <w:rPr>
          <w:rFonts w:hint="eastAsia" w:ascii="Times New Roman" w:hAnsi="Times New Roman" w:cs="Times New Roman"/>
          <w:b w:val="0"/>
          <w:bCs w:val="0"/>
          <w:color w:val="auto"/>
          <w:lang w:val="en-US" w:eastAsia="zh-CN"/>
        </w:rPr>
        <w:t>体脂</w:t>
      </w:r>
      <w:r>
        <w:rPr>
          <w:rFonts w:hint="default" w:ascii="Times New Roman" w:hAnsi="Times New Roman" w:cs="Times New Roman"/>
          <w:b w:val="0"/>
          <w:bCs w:val="0"/>
          <w:color w:val="auto"/>
          <w:lang w:val="en-US" w:eastAsia="zh-CN"/>
        </w:rPr>
        <w:t>人群更可能处于营养不良状态</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导致胡萝卜素、维生素C等有利于胃部健康的</w:t>
      </w:r>
      <w:r>
        <w:rPr>
          <w:rFonts w:hint="eastAsia" w:ascii="Times New Roman" w:hAnsi="Times New Roman" w:cs="Times New Roman"/>
          <w:b w:val="0"/>
          <w:bCs w:val="0"/>
          <w:color w:val="auto"/>
          <w:lang w:val="en-US" w:eastAsia="zh-CN"/>
        </w:rPr>
        <w:t>抗氧化营养素</w:t>
      </w:r>
      <w:r>
        <w:rPr>
          <w:rFonts w:hint="default" w:ascii="Times New Roman" w:hAnsi="Times New Roman" w:cs="Times New Roman"/>
          <w:b w:val="0"/>
          <w:bCs w:val="0"/>
          <w:color w:val="auto"/>
          <w:lang w:val="en-US" w:eastAsia="zh-CN"/>
        </w:rPr>
        <w:t>摄入不足</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KYMRREF{8F215C65-BADE-4FD0-B26F-6DF5A5DBD711}1181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[32]</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。另一方面，</w:t>
      </w:r>
      <w:r>
        <w:rPr>
          <w:rFonts w:hint="eastAsia" w:ascii="Times New Roman" w:hAnsi="Times New Roman" w:cs="Times New Roman"/>
          <w:b w:val="0"/>
          <w:bCs w:val="0"/>
          <w:color w:val="auto"/>
          <w:lang w:val="en-US" w:eastAsia="zh-CN"/>
        </w:rPr>
        <w:t>这还可能与反向因果偏倚相关。</w:t>
      </w:r>
      <w:r>
        <w:rPr>
          <w:rFonts w:hint="default" w:ascii="Times New Roman" w:hAnsi="Times New Roman" w:cs="Times New Roman"/>
          <w:b w:val="0"/>
          <w:bCs w:val="0"/>
          <w:color w:val="auto"/>
          <w:lang w:val="en-US" w:eastAsia="zh-CN"/>
        </w:rPr>
        <w:t>饥饿素是调节食物摄入的</w:t>
      </w:r>
      <w:r>
        <w:rPr>
          <w:rFonts w:hint="eastAsia" w:ascii="Times New Roman" w:hAnsi="Times New Roman" w:cs="Times New Roman"/>
          <w:b w:val="0"/>
          <w:bCs w:val="0"/>
          <w:color w:val="auto"/>
          <w:lang w:val="en-US" w:eastAsia="zh-CN"/>
        </w:rPr>
        <w:t>关键</w:t>
      </w:r>
      <w:r>
        <w:rPr>
          <w:rFonts w:hint="default" w:ascii="Times New Roman" w:hAnsi="Times New Roman" w:cs="Times New Roman"/>
          <w:b w:val="0"/>
          <w:bCs w:val="0"/>
          <w:color w:val="auto"/>
          <w:lang w:val="en-US" w:eastAsia="zh-CN"/>
        </w:rPr>
        <w:t>激素</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KYMRREF{8F215C65-BADE-4FD0-B26F-6DF5A5DBD711}1182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[33]</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。癌前疾病患者肥胖程度</w:t>
      </w:r>
      <w:r>
        <w:rPr>
          <w:rFonts w:hint="eastAsia" w:ascii="Times New Roman" w:hAnsi="Times New Roman" w:cs="Times New Roman"/>
          <w:b w:val="0"/>
          <w:bCs w:val="0"/>
          <w:color w:val="auto"/>
          <w:lang w:val="en-US" w:eastAsia="zh-CN"/>
        </w:rPr>
        <w:t>较轻</w:t>
      </w:r>
      <w:r>
        <w:rPr>
          <w:rFonts w:hint="default" w:ascii="Times New Roman" w:hAnsi="Times New Roman" w:cs="Times New Roman"/>
          <w:b w:val="0"/>
          <w:bCs w:val="0"/>
          <w:color w:val="auto"/>
          <w:lang w:val="en-US" w:eastAsia="zh-CN"/>
        </w:rPr>
        <w:t>可能是胃萎缩导致饥饿素生成减少从而</w:t>
      </w:r>
      <w:r>
        <w:rPr>
          <w:rFonts w:hint="eastAsia" w:ascii="Times New Roman" w:hAnsi="Times New Roman" w:cs="Times New Roman"/>
          <w:b w:val="0"/>
          <w:bCs w:val="0"/>
          <w:color w:val="auto"/>
          <w:lang w:val="en-US" w:eastAsia="zh-CN"/>
        </w:rPr>
        <w:t>进食量下降</w:t>
      </w:r>
      <w:r>
        <w:rPr>
          <w:rFonts w:hint="default" w:ascii="Times New Roman" w:hAnsi="Times New Roman" w:cs="Times New Roman"/>
          <w:b w:val="0"/>
          <w:bCs w:val="0"/>
          <w:color w:val="auto"/>
          <w:lang w:val="en-US" w:eastAsia="zh-CN"/>
        </w:rPr>
        <w:t>的结果</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KYMRREF{8F215C65-BADE-4FD0-B26F-6DF5A5DBD711}1183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[34]</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此外，</w:t>
      </w:r>
      <w:r>
        <w:rPr>
          <w:rFonts w:hint="default" w:ascii="Times New Roman" w:hAnsi="Times New Roman" w:cs="Times New Roman"/>
          <w:b w:val="0"/>
          <w:bCs w:val="0"/>
          <w:color w:val="auto"/>
          <w:lang w:val="en-US" w:eastAsia="zh-CN"/>
        </w:rPr>
        <w:t>萎缩性胃炎还会通过胃酸分泌减少</w:t>
      </w:r>
      <w:r>
        <w:rPr>
          <w:rFonts w:hint="eastAsia" w:ascii="Times New Roman" w:hAnsi="Times New Roman" w:cs="Times New Roman"/>
          <w:b w:val="0"/>
          <w:bCs w:val="0"/>
          <w:color w:val="auto"/>
          <w:lang w:val="en-US" w:eastAsia="zh-CN"/>
        </w:rPr>
        <w:t>、消化吸收功能下降</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KYMRREF{8F215C65-BADE-4FD0-B26F-6DF5A5DBD711}1185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[35]</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不良</w:t>
      </w:r>
      <w:r>
        <w:rPr>
          <w:rFonts w:hint="default" w:ascii="Times New Roman" w:hAnsi="Times New Roman" w:cs="Times New Roman"/>
          <w:b w:val="0"/>
          <w:bCs w:val="0"/>
          <w:color w:val="auto"/>
          <w:lang w:val="en-US" w:eastAsia="zh-CN"/>
        </w:rPr>
        <w:t>心理</w:t>
      </w:r>
      <w:r>
        <w:rPr>
          <w:rFonts w:hint="eastAsia" w:ascii="Times New Roman" w:hAnsi="Times New Roman" w:cs="Times New Roman"/>
          <w:b w:val="0"/>
          <w:bCs w:val="0"/>
          <w:color w:val="auto"/>
          <w:lang w:val="en-US" w:eastAsia="zh-CN"/>
        </w:rPr>
        <w:t>状态</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KYMRREF{8F215C65-BADE-4FD0-B26F-6DF5A5DBD711}1186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[36]</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等</w:t>
      </w:r>
      <w:r>
        <w:rPr>
          <w:rFonts w:hint="eastAsia" w:ascii="Times New Roman" w:hAnsi="Times New Roman" w:cs="Times New Roman"/>
          <w:b w:val="0"/>
          <w:bCs w:val="0"/>
          <w:color w:val="auto"/>
          <w:lang w:val="en-US" w:eastAsia="zh-CN"/>
        </w:rPr>
        <w:t>途径</w:t>
      </w:r>
      <w:r>
        <w:rPr>
          <w:rFonts w:hint="default" w:ascii="Times New Roman" w:hAnsi="Times New Roman" w:cs="Times New Roman"/>
          <w:b w:val="0"/>
          <w:bCs w:val="0"/>
          <w:color w:val="auto"/>
          <w:lang w:val="en-US" w:eastAsia="zh-CN"/>
        </w:rPr>
        <w:t>导致体重减轻。</w:t>
      </w:r>
    </w:p>
    <w:p w14:paraId="4FB1A73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Times New Roman" w:hAnsi="Times New Roman" w:cs="Times New Roman"/>
          <w:b w:val="0"/>
          <w:bCs w:val="0"/>
          <w:color w:val="auto"/>
          <w:lang w:val="en-US" w:eastAsia="zh-CN"/>
        </w:rPr>
      </w:pPr>
      <w:r>
        <w:rPr>
          <w:rFonts w:hint="default" w:ascii="Times New Roman" w:hAnsi="Times New Roman" w:cs="Times New Roman"/>
          <w:b w:val="0"/>
          <w:bCs w:val="0"/>
          <w:color w:val="auto"/>
          <w:lang w:val="en-US" w:eastAsia="zh-CN"/>
        </w:rPr>
        <w:t>与既往研究结果一致</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KYMRREF{96D92876-0348-451D-8565-038C0D43D940}1162</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[17]</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eastAsia="宋体" w:cs="Times New Roman"/>
          <w:b w:val="0"/>
          <w:bCs w:val="0"/>
          <w:i w:val="0"/>
          <w:color w:val="auto"/>
          <w:sz w:val="21"/>
          <w:u w:val="none"/>
          <w:lang w:val="en-US" w:eastAsia="zh-CN"/>
        </w:rPr>
        <w:t>，</w:t>
      </w:r>
      <w:r>
        <w:rPr>
          <w:rFonts w:hint="default" w:ascii="Times New Roman" w:hAnsi="Times New Roman" w:cs="Times New Roman"/>
          <w:b w:val="0"/>
          <w:bCs w:val="0"/>
          <w:color w:val="auto"/>
          <w:lang w:val="en-US" w:eastAsia="zh-CN"/>
        </w:rPr>
        <w:t>本研究发现</w:t>
      </w:r>
      <w:r>
        <w:rPr>
          <w:rFonts w:hint="eastAsia" w:ascii="Times New Roman" w:hAnsi="Times New Roman" w:cs="Times New Roman"/>
          <w:b w:val="0"/>
          <w:bCs w:val="0"/>
          <w:color w:val="auto"/>
          <w:lang w:val="en-US" w:eastAsia="zh-CN"/>
        </w:rPr>
        <w:t>VAI和CVAI</w:t>
      </w:r>
      <w:r>
        <w:rPr>
          <w:rFonts w:hint="default" w:ascii="Times New Roman" w:hAnsi="Times New Roman" w:cs="Times New Roman"/>
          <w:b w:val="0"/>
          <w:bCs w:val="0"/>
          <w:color w:val="auto"/>
          <w:lang w:val="en-US" w:eastAsia="zh-CN"/>
        </w:rPr>
        <w:t>对癌前疾病的保护作用</w:t>
      </w:r>
      <w:r>
        <w:rPr>
          <w:rFonts w:hint="eastAsia" w:ascii="Times New Roman" w:hAnsi="Times New Roman" w:cs="Times New Roman"/>
          <w:b w:val="0"/>
          <w:bCs w:val="0"/>
          <w:color w:val="auto"/>
          <w:lang w:val="en-US" w:eastAsia="zh-CN"/>
        </w:rPr>
        <w:t>多</w:t>
      </w:r>
      <w:r>
        <w:rPr>
          <w:rFonts w:hint="default" w:ascii="Times New Roman" w:hAnsi="Times New Roman" w:cs="Times New Roman"/>
          <w:b w:val="0"/>
          <w:bCs w:val="0"/>
          <w:color w:val="auto"/>
          <w:lang w:val="en-US" w:eastAsia="zh-CN"/>
        </w:rPr>
        <w:t>局限于非贲门部位，在贲门部位未观察到显著关联。</w:t>
      </w:r>
      <w:r>
        <w:rPr>
          <w:rFonts w:hint="eastAsia" w:ascii="Times New Roman" w:hAnsi="Times New Roman" w:cs="Times New Roman"/>
          <w:b w:val="0"/>
          <w:bCs w:val="0"/>
          <w:color w:val="auto"/>
          <w:lang w:val="en-US" w:eastAsia="zh-CN"/>
        </w:rPr>
        <w:t>与既往研究</w:t>
      </w:r>
      <w:r>
        <w:rPr>
          <w:rFonts w:hint="default" w:ascii="Times New Roman" w:hAnsi="Times New Roman" w:cs="Times New Roman"/>
          <w:b w:val="0"/>
          <w:bCs w:val="0"/>
          <w:color w:val="auto"/>
          <w:lang w:val="en-US" w:eastAsia="zh-CN"/>
        </w:rPr>
        <w:t>不同的是，本研究明确该保护效应仅作用于癌前疾病，并未对</w:t>
      </w:r>
      <w:r>
        <w:rPr>
          <w:rFonts w:hint="eastAsia" w:ascii="Times New Roman" w:hAnsi="Times New Roman" w:cs="Times New Roman"/>
          <w:b w:val="0"/>
          <w:bCs w:val="0"/>
          <w:color w:val="auto"/>
          <w:lang w:val="en-US" w:eastAsia="zh-CN"/>
        </w:rPr>
        <w:t>GC</w:t>
      </w:r>
      <w:r>
        <w:rPr>
          <w:rFonts w:hint="default" w:ascii="Times New Roman" w:hAnsi="Times New Roman" w:cs="Times New Roman"/>
          <w:b w:val="0"/>
          <w:bCs w:val="0"/>
          <w:color w:val="auto"/>
          <w:lang w:val="en-US" w:eastAsia="zh-CN"/>
        </w:rPr>
        <w:t>及癌前病变</w:t>
      </w:r>
      <w:r>
        <w:rPr>
          <w:rFonts w:hint="eastAsia" w:ascii="Times New Roman" w:hAnsi="Times New Roman" w:cs="Times New Roman"/>
          <w:b w:val="0"/>
          <w:bCs w:val="0"/>
          <w:color w:val="auto"/>
          <w:lang w:val="en-US" w:eastAsia="zh-CN"/>
        </w:rPr>
        <w:t>表现出</w:t>
      </w:r>
      <w:r>
        <w:rPr>
          <w:rFonts w:hint="default" w:ascii="Times New Roman" w:hAnsi="Times New Roman" w:cs="Times New Roman"/>
          <w:b w:val="0"/>
          <w:bCs w:val="0"/>
          <w:color w:val="auto"/>
          <w:lang w:val="en-US" w:eastAsia="zh-CN"/>
        </w:rPr>
        <w:t>保护效应。此外，本研究还发现，CMI的Q4水平是</w:t>
      </w:r>
      <w:r>
        <w:rPr>
          <w:rFonts w:hint="eastAsia" w:ascii="Times New Roman" w:hAnsi="Times New Roman" w:cs="Times New Roman"/>
          <w:b w:val="0"/>
          <w:bCs w:val="0"/>
          <w:color w:val="auto"/>
          <w:lang w:val="en-US" w:eastAsia="zh-CN"/>
        </w:rPr>
        <w:t>GC</w:t>
      </w:r>
      <w:r>
        <w:rPr>
          <w:rFonts w:hint="default" w:ascii="Times New Roman" w:hAnsi="Times New Roman" w:cs="Times New Roman"/>
          <w:b w:val="0"/>
          <w:bCs w:val="0"/>
          <w:color w:val="auto"/>
          <w:lang w:val="en-US" w:eastAsia="zh-CN"/>
        </w:rPr>
        <w:t>的风险因素，且该风险效应主要集中于贲门部位，与既往研究结果一致</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KYMRREF{8F215C65-BADE-4FD0-B26F-6DF5A5DBD711}1161,{8F215C65-BADE-4FD0-B26F-6DF5A5DBD711}1162,{8F215C65-BADE-4FD0-B26F-6DF5A5DBD711}1163</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[14-16]</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。CMI是基于腰高比和脂质代谢指标（TG和HDL-C）构建的指标，可</w:t>
      </w:r>
      <w:r>
        <w:rPr>
          <w:rFonts w:hint="eastAsia" w:ascii="Times New Roman" w:hAnsi="Times New Roman" w:cs="Times New Roman"/>
          <w:b w:val="0"/>
          <w:bCs w:val="0"/>
          <w:color w:val="auto"/>
          <w:lang w:val="en-US" w:eastAsia="zh-CN"/>
        </w:rPr>
        <w:t>综合</w:t>
      </w:r>
      <w:r>
        <w:rPr>
          <w:rFonts w:hint="default" w:ascii="Times New Roman" w:hAnsi="Times New Roman" w:cs="Times New Roman"/>
          <w:b w:val="0"/>
          <w:bCs w:val="0"/>
          <w:color w:val="auto"/>
          <w:lang w:val="en-US" w:eastAsia="zh-CN"/>
        </w:rPr>
        <w:t>反映内脏脂肪</w:t>
      </w:r>
      <w:r>
        <w:rPr>
          <w:rFonts w:hint="eastAsia" w:ascii="Times New Roman" w:hAnsi="Times New Roman" w:cs="Times New Roman"/>
          <w:b w:val="0"/>
          <w:bCs w:val="0"/>
          <w:color w:val="auto"/>
          <w:lang w:val="en-US" w:eastAsia="zh-CN"/>
        </w:rPr>
        <w:t>蓄积</w:t>
      </w:r>
      <w:r>
        <w:rPr>
          <w:rFonts w:hint="default" w:ascii="Times New Roman" w:hAnsi="Times New Roman" w:cs="Times New Roman"/>
          <w:b w:val="0"/>
          <w:bCs w:val="0"/>
          <w:color w:val="auto"/>
          <w:lang w:val="en-US" w:eastAsia="zh-CN"/>
        </w:rPr>
        <w:t>和脂质代谢异常的</w:t>
      </w:r>
      <w:r>
        <w:rPr>
          <w:rFonts w:hint="eastAsia" w:ascii="Times New Roman" w:hAnsi="Times New Roman" w:cs="Times New Roman"/>
          <w:b w:val="0"/>
          <w:bCs w:val="0"/>
          <w:color w:val="auto"/>
          <w:lang w:val="en-US" w:eastAsia="zh-CN"/>
        </w:rPr>
        <w:t>双重</w:t>
      </w:r>
      <w:r>
        <w:rPr>
          <w:rFonts w:hint="default" w:ascii="Times New Roman" w:hAnsi="Times New Roman" w:cs="Times New Roman"/>
          <w:b w:val="0"/>
          <w:bCs w:val="0"/>
          <w:color w:val="auto"/>
          <w:lang w:val="en-US" w:eastAsia="zh-CN"/>
        </w:rPr>
        <w:t>影响。</w:t>
      </w:r>
      <w:r>
        <w:rPr>
          <w:rFonts w:hint="eastAsia" w:ascii="Times New Roman" w:hAnsi="Times New Roman" w:cs="Times New Roman"/>
          <w:b w:val="0"/>
          <w:bCs w:val="0"/>
          <w:color w:val="auto"/>
          <w:lang w:val="en-US" w:eastAsia="zh-CN"/>
        </w:rPr>
        <w:t>现有研究证实，</w:t>
      </w:r>
      <w:r>
        <w:rPr>
          <w:rFonts w:hint="default" w:ascii="Times New Roman" w:hAnsi="Times New Roman" w:cs="Times New Roman"/>
          <w:b w:val="0"/>
          <w:bCs w:val="0"/>
          <w:color w:val="auto"/>
          <w:lang w:val="en-US" w:eastAsia="zh-CN"/>
        </w:rPr>
        <w:t>CMI与代谢综合征</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KYMRREF{8F215C65-BADE-4FD0-B26F-6DF5A5DBD711}1187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[37]</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、心血管风险因素</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KYMRREF{8F215C65-BADE-4FD0-B26F-6DF5A5DBD711}1170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[22]</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、动脉粥样硬化</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KYMRREF{8F215C65-BADE-4FD0-B26F-6DF5A5DBD711}1188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[38]</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等密切相关。贲门癌作为</w:t>
      </w:r>
      <w:r>
        <w:rPr>
          <w:rFonts w:hint="eastAsia" w:ascii="Times New Roman" w:hAnsi="Times New Roman" w:cs="Times New Roman"/>
          <w:b w:val="0"/>
          <w:bCs w:val="0"/>
          <w:color w:val="auto"/>
          <w:lang w:val="en-US" w:eastAsia="zh-CN"/>
        </w:rPr>
        <w:t>GC</w:t>
      </w:r>
      <w:r>
        <w:rPr>
          <w:rFonts w:hint="default" w:ascii="Times New Roman" w:hAnsi="Times New Roman" w:cs="Times New Roman"/>
          <w:b w:val="0"/>
          <w:bCs w:val="0"/>
          <w:color w:val="auto"/>
          <w:lang w:val="en-US" w:eastAsia="zh-CN"/>
        </w:rPr>
        <w:t>的重要亚型</w:t>
      </w:r>
      <w:r>
        <w:rPr>
          <w:rFonts w:hint="eastAsia" w:ascii="Times New Roman" w:hAnsi="Times New Roman" w:cs="Times New Roman"/>
          <w:b w:val="0"/>
          <w:bCs w:val="0"/>
          <w:color w:val="auto"/>
          <w:lang w:val="en-US" w:eastAsia="zh-CN"/>
        </w:rPr>
        <w:t>，</w:t>
      </w:r>
      <w:r>
        <w:rPr>
          <w:rFonts w:hint="default" w:ascii="Times New Roman" w:hAnsi="Times New Roman" w:cs="Times New Roman"/>
          <w:b w:val="0"/>
          <w:bCs w:val="0"/>
          <w:color w:val="auto"/>
          <w:lang w:val="en-US" w:eastAsia="zh-CN"/>
        </w:rPr>
        <w:t>CMI升高可能通过多种机制增加贲门癌发生风险。一方面，较高的CMI水平常伴随更严重的内脏肥胖，可加重胃食管反流病的发生与进展，进而间接升高贲门癌风险</w:t>
      </w:r>
      <w:r>
        <w:rPr>
          <w:rFonts w:hint="eastAsia" w:ascii="宋体" w:hAnsi="宋体" w:eastAsia="宋体" w:cs="宋体"/>
          <w:b w:val="0"/>
          <w:bCs w:val="0"/>
          <w:i w:val="0"/>
          <w:color w:val="auto"/>
          <w:sz w:val="21"/>
          <w:u w:val="none"/>
          <w:lang w:val="en-US" w:eastAsia="zh-CN"/>
        </w:rPr>
        <w:fldChar w:fldCharType="begin"/>
      </w:r>
      <w:r>
        <w:rPr>
          <w:rFonts w:hint="eastAsia" w:ascii="宋体" w:hAnsi="宋体" w:eastAsia="宋体" w:cs="宋体"/>
          <w:b w:val="0"/>
          <w:bCs w:val="0"/>
          <w:i w:val="0"/>
          <w:color w:val="auto"/>
          <w:sz w:val="21"/>
          <w:u w:val="none"/>
          <w:lang w:val="en-US" w:eastAsia="zh-CN"/>
        </w:rPr>
        <w:instrText xml:space="preserve"> ADDIN KYMRREF{8F215C65-BADE-4FD0-B26F-6DF5A5DBD711}1162</w:instrText>
      </w:r>
      <w:r>
        <w:rPr>
          <w:rFonts w:hint="eastAsia" w:ascii="宋体" w:hAnsi="宋体" w:eastAsia="宋体" w:cs="宋体"/>
          <w:b w:val="0"/>
          <w:bCs w:val="0"/>
          <w:i w:val="0"/>
          <w:color w:val="auto"/>
          <w:sz w:val="21"/>
          <w:u w:val="none"/>
          <w:lang w:val="en-US" w:eastAsia="zh-CN"/>
        </w:rPr>
        <w:fldChar w:fldCharType="separate"/>
      </w:r>
      <w:r>
        <w:rPr>
          <w:rFonts w:hint="eastAsia" w:ascii="Times New Roman" w:hAnsi="宋体" w:eastAsia="宋体" w:cs="宋体"/>
          <w:b w:val="0"/>
          <w:bCs w:val="0"/>
          <w:i w:val="0"/>
          <w:color w:val="auto"/>
          <w:sz w:val="21"/>
          <w:u w:val="none"/>
          <w:vertAlign w:val="superscript"/>
          <w:lang w:val="en-US" w:eastAsia="zh-CN"/>
        </w:rPr>
        <w:t>[15]</w:t>
      </w:r>
      <w:r>
        <w:rPr>
          <w:rFonts w:hint="eastAsia" w:ascii="宋体" w:hAnsi="宋体" w:eastAsia="宋体" w:cs="宋体"/>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另一方面</w:t>
      </w:r>
      <w:r>
        <w:rPr>
          <w:rFonts w:hint="default" w:ascii="Times New Roman" w:hAnsi="Times New Roman" w:cs="Times New Roman"/>
          <w:b w:val="0"/>
          <w:bCs w:val="0"/>
          <w:color w:val="auto"/>
          <w:lang w:val="en-US" w:eastAsia="zh-CN"/>
        </w:rPr>
        <w:t>，内脏肥胖还与脂联素</w:t>
      </w:r>
      <w:r>
        <w:rPr>
          <w:rFonts w:hint="eastAsia" w:ascii="Times New Roman" w:hAnsi="Times New Roman" w:cs="Times New Roman"/>
          <w:b w:val="0"/>
          <w:bCs w:val="0"/>
          <w:color w:val="auto"/>
          <w:lang w:val="en-US" w:eastAsia="zh-CN"/>
        </w:rPr>
        <w:t>分泌减少</w:t>
      </w:r>
      <w:r>
        <w:rPr>
          <w:rFonts w:hint="default" w:ascii="Times New Roman" w:hAnsi="Times New Roman" w:cs="Times New Roman"/>
          <w:b w:val="0"/>
          <w:bCs w:val="0"/>
          <w:color w:val="auto"/>
          <w:lang w:val="en-US" w:eastAsia="zh-CN"/>
        </w:rPr>
        <w:t>、瘦素</w:t>
      </w:r>
      <w:r>
        <w:rPr>
          <w:rFonts w:hint="eastAsia" w:ascii="Times New Roman" w:hAnsi="Times New Roman" w:cs="Times New Roman"/>
          <w:b w:val="0"/>
          <w:bCs w:val="0"/>
          <w:color w:val="auto"/>
          <w:lang w:val="en-US" w:eastAsia="zh-CN"/>
        </w:rPr>
        <w:t>表达上升</w:t>
      </w:r>
      <w:r>
        <w:rPr>
          <w:rFonts w:hint="default" w:ascii="Times New Roman" w:hAnsi="Times New Roman" w:cs="Times New Roman"/>
          <w:b w:val="0"/>
          <w:bCs w:val="0"/>
          <w:color w:val="auto"/>
          <w:lang w:val="en-US" w:eastAsia="zh-CN"/>
        </w:rPr>
        <w:t>、胰岛素抵抗</w:t>
      </w:r>
      <w:r>
        <w:rPr>
          <w:rFonts w:hint="eastAsia" w:ascii="Times New Roman" w:hAnsi="Times New Roman" w:cs="Times New Roman"/>
          <w:b w:val="0"/>
          <w:bCs w:val="0"/>
          <w:color w:val="auto"/>
          <w:lang w:val="en-US" w:eastAsia="zh-CN"/>
        </w:rPr>
        <w:t>加剧</w:t>
      </w:r>
      <w:r>
        <w:rPr>
          <w:rFonts w:hint="default" w:ascii="Times New Roman" w:hAnsi="Times New Roman" w:cs="Times New Roman"/>
          <w:b w:val="0"/>
          <w:bCs w:val="0"/>
          <w:color w:val="auto"/>
          <w:lang w:val="en-US" w:eastAsia="zh-CN"/>
        </w:rPr>
        <w:t>以及诱导机体处于慢性低度炎症状态相关，</w:t>
      </w:r>
      <w:r>
        <w:rPr>
          <w:rFonts w:hint="eastAsia" w:ascii="Times New Roman" w:hAnsi="Times New Roman" w:cs="Times New Roman"/>
          <w:b w:val="0"/>
          <w:bCs w:val="0"/>
          <w:color w:val="auto"/>
          <w:lang w:val="en-US" w:eastAsia="zh-CN"/>
        </w:rPr>
        <w:t>上述因素可</w:t>
      </w:r>
      <w:r>
        <w:rPr>
          <w:rFonts w:hint="default" w:ascii="Times New Roman" w:hAnsi="Times New Roman" w:cs="Times New Roman"/>
          <w:b w:val="0"/>
          <w:bCs w:val="0"/>
          <w:color w:val="auto"/>
          <w:lang w:val="en-US" w:eastAsia="zh-CN"/>
        </w:rPr>
        <w:t>协同</w:t>
      </w:r>
      <w:r>
        <w:rPr>
          <w:rFonts w:hint="eastAsia" w:ascii="Times New Roman" w:hAnsi="Times New Roman" w:cs="Times New Roman"/>
          <w:b w:val="0"/>
          <w:bCs w:val="0"/>
          <w:color w:val="auto"/>
          <w:lang w:val="en-US" w:eastAsia="zh-CN"/>
        </w:rPr>
        <w:t>发挥</w:t>
      </w:r>
      <w:r>
        <w:rPr>
          <w:rFonts w:hint="default" w:ascii="Times New Roman" w:hAnsi="Times New Roman" w:cs="Times New Roman"/>
          <w:b w:val="0"/>
          <w:bCs w:val="0"/>
          <w:color w:val="auto"/>
          <w:lang w:val="en-US" w:eastAsia="zh-CN"/>
        </w:rPr>
        <w:t>促癌</w:t>
      </w:r>
      <w:r>
        <w:rPr>
          <w:rFonts w:hint="eastAsia" w:ascii="Times New Roman" w:hAnsi="Times New Roman" w:cs="Times New Roman"/>
          <w:b w:val="0"/>
          <w:bCs w:val="0"/>
          <w:color w:val="auto"/>
          <w:lang w:val="en-US" w:eastAsia="zh-CN"/>
        </w:rPr>
        <w:t>作用</w:t>
      </w:r>
      <w:r>
        <w:rPr>
          <w:rFonts w:hint="default" w:ascii="Times New Roman" w:hAnsi="Times New Roman" w:eastAsia="宋体" w:cs="Times New Roman"/>
          <w:b w:val="0"/>
          <w:bCs w:val="0"/>
          <w:i w:val="0"/>
          <w:color w:val="auto"/>
          <w:sz w:val="21"/>
          <w:u w:val="none"/>
          <w:lang w:val="en-US" w:eastAsia="zh-CN"/>
        </w:rPr>
        <w:fldChar w:fldCharType="begin"/>
      </w:r>
      <w:r>
        <w:rPr>
          <w:rFonts w:hint="default" w:ascii="Times New Roman" w:hAnsi="Times New Roman" w:eastAsia="宋体" w:cs="Times New Roman"/>
          <w:b w:val="0"/>
          <w:bCs w:val="0"/>
          <w:i w:val="0"/>
          <w:color w:val="auto"/>
          <w:sz w:val="21"/>
          <w:u w:val="none"/>
          <w:lang w:val="en-US" w:eastAsia="zh-CN"/>
        </w:rPr>
        <w:instrText xml:space="preserve"> ADDIN  ADDIN KYMRREF{8F215C65-BADE-4FD0-B26F-6DF5A5DBD711}1189 </w:instrText>
      </w:r>
      <w:r>
        <w:rPr>
          <w:rFonts w:hint="default" w:ascii="Times New Roman" w:hAnsi="Times New Roman" w:eastAsia="宋体" w:cs="Times New Roman"/>
          <w:b w:val="0"/>
          <w:bCs w:val="0"/>
          <w:i w:val="0"/>
          <w:color w:val="auto"/>
          <w:sz w:val="21"/>
          <w:u w:val="none"/>
          <w:lang w:val="en-US" w:eastAsia="zh-CN"/>
        </w:rPr>
        <w:fldChar w:fldCharType="separate"/>
      </w:r>
      <w:r>
        <w:rPr>
          <w:rFonts w:hint="eastAsia" w:ascii="Times New Roman" w:hAnsi="Times New Roman" w:eastAsia="宋体" w:cs="Times New Roman"/>
          <w:b w:val="0"/>
          <w:bCs w:val="0"/>
          <w:i w:val="0"/>
          <w:color w:val="auto"/>
          <w:sz w:val="21"/>
          <w:u w:val="none"/>
          <w:vertAlign w:val="superscript"/>
          <w:lang w:val="en-US" w:eastAsia="zh-CN"/>
        </w:rPr>
        <w:t>[39]</w:t>
      </w:r>
      <w:r>
        <w:rPr>
          <w:rFonts w:hint="default" w:ascii="Times New Roman" w:hAnsi="Times New Roman" w:eastAsia="宋体" w:cs="Times New Roman"/>
          <w:b w:val="0"/>
          <w:bCs w:val="0"/>
          <w:i w:val="0"/>
          <w:color w:val="auto"/>
          <w:sz w:val="21"/>
          <w:u w:val="none"/>
          <w:lang w:val="en-US" w:eastAsia="zh-CN"/>
        </w:rPr>
        <w:fldChar w:fldCharType="end"/>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此外，本研究显示，CMI作为连续变量时与癌前疾病风险呈负相关（OR=0.951,95%CI: 0.906~0.998）。但进一步按四分位数分析发现，CMI处于最高水平（Q4）时则成为GC的危险因素，提示CMI与胃部病变可能存在非线性关联。</w:t>
      </w:r>
    </w:p>
    <w:p w14:paraId="31B6A81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b w:val="0"/>
          <w:bCs w:val="0"/>
          <w:color w:val="auto"/>
          <w:lang w:val="en-US" w:eastAsia="zh-CN"/>
        </w:rPr>
        <w:t>本研究利用筛查大数据，</w:t>
      </w:r>
      <w:r>
        <w:rPr>
          <w:rFonts w:hint="eastAsia" w:ascii="Times New Roman" w:hAnsi="Times New Roman" w:cs="Times New Roman"/>
          <w:b w:val="0"/>
          <w:bCs w:val="0"/>
          <w:color w:val="auto"/>
          <w:lang w:val="en-US" w:eastAsia="zh-CN"/>
        </w:rPr>
        <w:t>系统</w:t>
      </w:r>
      <w:r>
        <w:rPr>
          <w:rFonts w:hint="default" w:ascii="Times New Roman" w:hAnsi="Times New Roman" w:cs="Times New Roman"/>
          <w:b w:val="0"/>
          <w:bCs w:val="0"/>
          <w:color w:val="auto"/>
          <w:lang w:val="en-US" w:eastAsia="zh-CN"/>
        </w:rPr>
        <w:t>探索</w:t>
      </w:r>
      <w:r>
        <w:rPr>
          <w:rFonts w:hint="eastAsia" w:ascii="Times New Roman" w:hAnsi="Times New Roman" w:cs="Times New Roman"/>
          <w:b w:val="0"/>
          <w:bCs w:val="0"/>
          <w:color w:val="auto"/>
          <w:lang w:val="en-US" w:eastAsia="zh-CN"/>
        </w:rPr>
        <w:t>了N</w:t>
      </w:r>
      <w:r>
        <w:rPr>
          <w:rFonts w:hint="default" w:ascii="Times New Roman" w:hAnsi="Times New Roman" w:cs="Times New Roman"/>
          <w:b w:val="0"/>
          <w:bCs w:val="0"/>
          <w:color w:val="auto"/>
          <w:lang w:val="en-US" w:eastAsia="zh-CN"/>
        </w:rPr>
        <w:t>ORI与胃部疾病的关联，并分析了</w:t>
      </w:r>
      <w:r>
        <w:rPr>
          <w:rFonts w:hint="eastAsia" w:ascii="Times New Roman" w:hAnsi="Times New Roman" w:cs="Times New Roman"/>
          <w:b w:val="0"/>
          <w:bCs w:val="0"/>
          <w:color w:val="auto"/>
          <w:lang w:val="en-US" w:eastAsia="zh-CN"/>
        </w:rPr>
        <w:t>关联在不同</w:t>
      </w:r>
      <w:r>
        <w:rPr>
          <w:rFonts w:hint="default" w:ascii="Times New Roman" w:hAnsi="Times New Roman" w:cs="Times New Roman"/>
          <w:b w:val="0"/>
          <w:bCs w:val="0"/>
          <w:color w:val="auto"/>
          <w:lang w:val="en-US" w:eastAsia="zh-CN"/>
        </w:rPr>
        <w:t>疾病部位的异质性。所有数据均严格依照既定的技术方案执行，确保了数据</w:t>
      </w:r>
      <w:r>
        <w:rPr>
          <w:rFonts w:hint="eastAsia" w:ascii="Times New Roman" w:hAnsi="Times New Roman" w:cs="Times New Roman"/>
          <w:b w:val="0"/>
          <w:bCs w:val="0"/>
          <w:color w:val="auto"/>
          <w:lang w:val="en-US" w:eastAsia="zh-CN"/>
        </w:rPr>
        <w:t>质量</w:t>
      </w:r>
      <w:r>
        <w:rPr>
          <w:rFonts w:hint="default" w:ascii="Times New Roman" w:hAnsi="Times New Roman" w:cs="Times New Roman"/>
          <w:b w:val="0"/>
          <w:bCs w:val="0"/>
          <w:color w:val="auto"/>
          <w:lang w:val="en-US" w:eastAsia="zh-CN"/>
        </w:rPr>
        <w:t>。</w:t>
      </w:r>
      <w:r>
        <w:rPr>
          <w:rFonts w:hint="eastAsia" w:ascii="Times New Roman" w:hAnsi="Times New Roman" w:cs="Times New Roman"/>
          <w:b w:val="0"/>
          <w:bCs w:val="0"/>
          <w:color w:val="auto"/>
          <w:lang w:val="en-US" w:eastAsia="zh-CN"/>
        </w:rPr>
        <w:t>然而，本研究仍存在一定局限性：首先，本研究为横断面研究，无法明确各NORI与胃部疾病的时序关联，亦不能确立二者因果关联，未来需通过前瞻性队列研究进一步验证本研究结论；其次，本研究仍存在部分未测量的混杂因素，无法完全排除其对研究结果的潜在干扰；最后，本研究中GC样本量较少，可能导致统计效能不足，特别是在分层分析时，部分潜在关联可能未被检出，结论的稳定性需更大样本量研究进行验证。</w:t>
      </w:r>
    </w:p>
    <w:p w14:paraId="03084EF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eastAsiaTheme="minorEastAsia"/>
          <w:color w:val="auto"/>
          <w:lang w:eastAsia="zh-CN"/>
        </w:rPr>
      </w:pPr>
      <w:r>
        <w:rPr>
          <w:rFonts w:hint="eastAsia" w:ascii="Times New Roman" w:hAnsi="Times New Roman" w:cs="Times New Roman"/>
          <w:b w:val="0"/>
          <w:bCs w:val="0"/>
          <w:color w:val="auto"/>
          <w:lang w:val="en-US" w:eastAsia="zh-CN"/>
        </w:rPr>
        <w:t>综上所述，</w:t>
      </w:r>
      <w:r>
        <w:rPr>
          <w:rFonts w:hint="eastAsia" w:ascii="Times New Roman" w:hAnsi="Times New Roman" w:eastAsia="宋体" w:cs="Times New Roman"/>
          <w:i w:val="0"/>
          <w:iCs w:val="0"/>
          <w:color w:val="auto"/>
          <w:kern w:val="0"/>
          <w:sz w:val="22"/>
          <w:szCs w:val="22"/>
          <w:u w:val="none"/>
          <w:lang w:val="en-US" w:eastAsia="zh-CN" w:bidi="ar"/>
        </w:rPr>
        <w:t>LAP、VAI、CVAI及CMI是癌前疾病的独立保护因素，其中VAI和CVAI的保护效应在非贲门部位尤为显著。然而，高水平CMI会增加GC的患病风险，且这一风险效应主要体现在贲门部位。</w:t>
      </w:r>
    </w:p>
    <w:p w14:paraId="7E99850B">
      <w:pPr>
        <w:widowControl w:val="0"/>
        <w:spacing w:line="240" w:lineRule="auto"/>
        <w:jc w:val="both"/>
        <w:rPr>
          <w:rFonts w:hint="default" w:ascii="Times New Roman" w:hAnsi="Times New Roman" w:cs="Times New Roman"/>
          <w:color w:val="auto"/>
          <w:lang w:val="en-US" w:eastAsia="zh-CN"/>
        </w:rPr>
      </w:pPr>
    </w:p>
    <w:p w14:paraId="681EEB5E">
      <w:pPr>
        <w:widowControl w:val="0"/>
        <w:spacing w:line="240" w:lineRule="auto"/>
        <w:jc w:val="both"/>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参考文献</w:t>
      </w:r>
    </w:p>
    <w:p w14:paraId="0D72E4D0">
      <w:pPr>
        <w:numPr>
          <w:ilvl w:val="0"/>
          <w:numId w:val="0"/>
        </w:numPr>
        <w:ind w:leftChars="0"/>
        <w:rPr>
          <w:rFonts w:hint="default" w:ascii="Times New Roman" w:hAnsi="Times New Roman" w:eastAsia="宋体" w:cs="Times New Roman"/>
          <w:i w:val="0"/>
          <w:iCs w:val="0"/>
          <w:color w:val="auto"/>
          <w:kern w:val="0"/>
          <w:sz w:val="22"/>
          <w:szCs w:val="22"/>
          <w:u w:val="none"/>
          <w:vertAlign w:val="baseline"/>
          <w:lang w:val="en-US" w:eastAsia="zh-CN" w:bidi="ar"/>
        </w:rPr>
      </w:pPr>
    </w:p>
    <w:p w14:paraId="1AB9E9D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BRAY F, LAVERSANNE M, SUNG H, et al. Global cancer statistics 2022: GLOBOCAN estimates of incidence and mortality worldwide for 36 cancers in 185 countries[J]. CA Cancer J Clin, 2024, 74(3): 229-263.</w:t>
      </w:r>
    </w:p>
    <w:p w14:paraId="017B14AD">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张希, 杨雷, 刘硕,等. 2022年全球恶性肿瘤统计报告解读[J]. 中华肿瘤杂志, 2024, (7): 710-721.</w:t>
      </w:r>
    </w:p>
    <w:p w14:paraId="2E29DDA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default"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ZHANG X, YANG L, LIU S, et al. Interpretation on the report of global cancer statistics 2022[J]. Chinese Journal of Oncology, 2024, (7): 710-721.</w:t>
      </w:r>
    </w:p>
    <w:p w14:paraId="5AA6EFCA">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余炜燕, 李雪, 朱娟,等. 中国及全球胃癌流行特征分析[J]. 中华肿瘤杂志, 2025, (6): 468-476.</w:t>
      </w:r>
    </w:p>
    <w:p w14:paraId="64E25A1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default"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YU W Y, LI X, ZHU J, et al. Epidemiological characteristics of gastric cancer in China and worldwide[J]. Chinese Journal of Oncology, 2025, (6): 468-476.</w:t>
      </w:r>
    </w:p>
    <w:p w14:paraId="409C5341">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[4]</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国家消化系疾病临床医学研究中心(上海), 国家消化道早癌防治中心联盟, 中华医学会消化病学分会幽门螺杆菌学组,等. 中国胃黏膜癌前状态和癌前病变的处理策略专家共识(2020年)[J]. 中华消化杂志, 2020, (11): 731-741.</w:t>
      </w:r>
    </w:p>
    <w:p w14:paraId="5A926E3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National Clinical Research Center for Digestive Diseases (Shanghai), National Alliance for Early Gastrointestinal Cancer Prevention and Treatment, Helicobacter Pylori Study Group of Digestive Disease Branch, Chinese Medical Association, et al. Chinese consensus on management of gastric epithelial precancerous conditions and lesions (2020)[J]. Chinese Journal of Digestion, 2020, (11): 731-741.</w:t>
      </w:r>
    </w:p>
    <w:p w14:paraId="68D9896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[5]</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赫捷, 陈万青, 李兆申,等. 中国胃癌筛查与早诊早治指南(2022,北京)[J]. 中国肿瘤, 2022, (7): 40.</w:t>
      </w:r>
    </w:p>
    <w:p w14:paraId="2D20215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 xml:space="preserve">HE J, CHEN W Q, LI Z S, et al. China guideline for the screening, </w:t>
      </w:r>
      <w:bookmarkStart w:id="0" w:name="_GoBack"/>
      <w:bookmarkEnd w:id="0"/>
      <w:r>
        <w:rPr>
          <w:rFonts w:hint="eastAsia" w:ascii="Times New Roman" w:hAnsi="Times New Roman" w:cs="Times New Roman"/>
          <w:b w:val="0"/>
          <w:i w:val="0"/>
          <w:color w:val="auto"/>
          <w:sz w:val="18"/>
          <w:u w:val="none"/>
          <w:lang w:val="en-US" w:eastAsia="zh-CN"/>
        </w:rPr>
        <w:t>early detection and early treatment of gastric cancer(2022,Beijing)[J]. China Cancer, 2022, (7): 40.</w:t>
      </w:r>
    </w:p>
    <w:p w14:paraId="6B3747DD">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[6]</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Yang Z, Tang H, Lu S, et al. Relationship between serum lipid level and colorectal cancer: a systemic review and meta-analysis[J]. BMJ Open, 2022, 12(6): e052373.</w:t>
      </w:r>
    </w:p>
    <w:p w14:paraId="470048F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[7]</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Zhang Z, Xu S, Song M, et al. Association between blood lipid levels and the risk of liver cancer: a systematic review and meta-analysis[J]. Cancer Causes Control, 2024, 35(6): 943-953.</w:t>
      </w:r>
    </w:p>
    <w:p w14:paraId="63E3293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[8]</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Chen R, He L, Huang Z, et al. Causal relationship between the plasma lipidome and urological cancers: A two-sample Mendelian randomization study[J]. Medicine (Baltimore), 2025, 104(23): e42577.</w:t>
      </w:r>
    </w:p>
    <w:p w14:paraId="7BD77322">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[9]</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Zhang F, de Bock GH, Landman GW, et al. Longitudinal changes in metabolism-related metrics and breast cancer risk: a general population study[J]. Breast Cancer Res, 2025, 27(1): 155.</w:t>
      </w:r>
    </w:p>
    <w:p w14:paraId="096ED880">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[10]</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张婷, 崔戈, 冯文明,等. 胃癌患者糖脂代谢指标与临床病理学特征的相关性分析[J]. 中华医学杂志, 2016, (32): 2545-2547.</w:t>
      </w:r>
    </w:p>
    <w:p w14:paraId="2818C7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ZHANG T, CUI G, FENG W M, et al. Correlation analysis between glycolipids metabolism and clinicopathologic features in patients with gastric cancer[J]. National Medical Journal of China, 2016, (32): 2545-2547.</w:t>
      </w:r>
    </w:p>
    <w:p w14:paraId="213BF81A">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[11]</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WU T, ZHANG L, TIAN J, et al. Correlation between dyslipidaemia and gastric cancer: pathogenesis to prevention and treatment strategies[J]. Lipids Health Dis, 2025, 24(1): 204.</w:t>
      </w:r>
    </w:p>
    <w:p w14:paraId="06C2657D">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[12]</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XU S, FAN Y, TAN Y, et al. Association between blood lipid levels and risk of gastric cancer: A systematic review and meta-analysis[J]. PLOS One, 2023, 18(7): e0288111.</w:t>
      </w:r>
    </w:p>
    <w:p w14:paraId="3C8EA0D5">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[13]</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FENG X, ZHU J, HUA Z, et al. Prevalence and determinants of obesity and its association with upper gastrointestinal diseases in people aged 40-69 years in Yangzhong, southeast China[J]. Sci Rep, 2024, 14(1): 21153.</w:t>
      </w:r>
    </w:p>
    <w:p w14:paraId="641150FE">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[14]</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PASTORINO R, PIRES MARAFON D, VALZ GRIS A, et al. Body mass index and gastric cancer risk: results from the Stomach Cancer Pooling Project Consortium[J]. Int J Epidemiol, 2025, 54(5): dyaf160.</w:t>
      </w:r>
    </w:p>
    <w:p w14:paraId="40DD1FF6">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[15]</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DU X, HIDAYAT K, SHI BM. Abdominal obesity and gastroesophageal cancer risk: systematic review and meta-analysis of prospective studies[J]. Biosci Rep, 2017, 37(3): BSR20160474.</w:t>
      </w:r>
    </w:p>
    <w:p w14:paraId="28700572">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[16]</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STEFFEN A, HUERTA JM, WEIDERPASS E, et al. General and abdominal obesity and risk of esophageal and gastric adenocarcinoma in the European prospective investigation into cancer and nutrition[J]. Int J Cancer, 2015, 137(3): 646-657.</w:t>
      </w:r>
    </w:p>
    <w:p w14:paraId="75B55CC2">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[17]</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印红军, 冯祥, 华召来,等. 扬中市40～69岁居民人体测量指标与胃癌及癌前病变的关联分析[J]. 现代预防医学, 2024, 51(16): 3022-3028+3061.</w:t>
      </w:r>
    </w:p>
    <w:p w14:paraId="3F5852D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YIN H J, FENG X, HUA Z L, et al. Analysis of the association between anthropometric indicators and gastric cancer and precancerous lesions in residents aged 40-69 years,Yangzhong City[J]. Modern Preventive Medicine, 2024, 51(16): 3022-3028+3061.</w:t>
      </w:r>
    </w:p>
    <w:p w14:paraId="4876F59C">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[18]</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崔树青, 马超, 李佳兴,等. 中国内脏脂肪指数联合高敏C反应蛋白与消化系统恶性肿瘤发病风险的关联性分析[J]. 临床肝胆病杂志, 2025, 41(07): 1380-1387.</w:t>
      </w:r>
    </w:p>
    <w:p w14:paraId="7F90D0A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535" w:leftChars="255" w:firstLine="0" w:firstLineChars="0"/>
        <w:jc w:val="both"/>
        <w:textAlignment w:val="auto"/>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CUI S Q, MA C, LI J X, et al. Association of Chinese visceral adiposity index and high-sensitivity C-reactive protein with the risk of digestive malignancies[J]. Journal of Clinical Hepatology, 2025, 41(07): 1380-1387.</w:t>
      </w:r>
    </w:p>
    <w:p w14:paraId="251F08B1">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[19]</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GUO R, WEI W. Association between lipid accumulation product and the risk of colon cancer in adults: A population-based study[J]. PLOS One, 2025, 20(1): e0317462.</w:t>
      </w:r>
    </w:p>
    <w:p w14:paraId="40ED420E">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[20]</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CHEN R, MA S, GUAN C, et al. The national cohort of esophageal cancer-prospective cohort study of esophageal cancer and precancerous lesions based on high-risk population in China (NCEC-HRP): study protocol[J]. BMJ Open, 2019, 9(4): e027360.</w:t>
      </w:r>
    </w:p>
    <w:p w14:paraId="48C466ED">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[21]</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FENG X, HUA ZL, ZHOU Q, et al. Prevalence and coprevalence of modifiable risk factors for upper digestive tract cancer among residents aged 40-69 years in Yangzhong city, China: a cross-sectional study[J]. BMJ Open, 2021, 11(4): e042006.</w:t>
      </w:r>
    </w:p>
    <w:p w14:paraId="1C56410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[22]</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FENG X, ZHU J, HUA Z, et al. Comparison of obesity indicators for predicting cardiovascular risk factors and multimorbidity among the Chinese population based on ROC analysis[J]. Sci Rep, 2024, 14(1): 20942.</w:t>
      </w:r>
    </w:p>
    <w:p w14:paraId="09D77CE0">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[23]</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SUN X, SONG J, YAN R, et al. The association between lipid-related obesity indicators and severe headache or migraine: a nationwide cross sectional study from NHANES 1999 to 2004[J]. Lipids Health Dis, 2025, 24(1): 10.</w:t>
      </w:r>
    </w:p>
    <w:p w14:paraId="50D54083">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[24]</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FENG X, ZHU J, HUA Z, et al. Association of anthropometric indicators with oesophageal squamous carcinoma and precancerous lesions in people aged 40-69 years from high-risk setting in China: a population-based study[J]. BMJ Open, 2025, 15(7): e087639.</w:t>
      </w:r>
    </w:p>
    <w:p w14:paraId="74CBCEF5">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[25]</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FENG X, ZHU J, DAI C, et al. Coprevalence of modifiable gastric cancer risk factors and gastric health among Chinese high-risk groups[J]. Sci Rep, 2025, 15(1): 34533.</w:t>
      </w:r>
    </w:p>
    <w:p w14:paraId="2A093F8E">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[26]</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KIM K, CHANG Y, AHN J, et al. Body mass index and risk of intestinal metaplasia: A cohort study[J]. Cancer Epidemiol Biomarkers Prev, 2019, 28(4): 789-797.</w:t>
      </w:r>
    </w:p>
    <w:p w14:paraId="30890AE4">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[27]</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SHI C, TAO R, WANG W, et al. Development and validation of a nomogram for obesity and related factors to detect gastric precancerous lesions in the Chinese population: a retrospective cohort study[J]. Front Oncol, 2024, 14: 1419845.</w:t>
      </w:r>
    </w:p>
    <w:p w14:paraId="5CC1F888">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[28]</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WATABE H, MITSUSHIMA T, DERAKHSHAN MH, et al. Study of association between atrophic gastritis and body mass index: a cross-sectional study in 10,197 Japanese subjects[J]. Dig Dis Sci, 2009, 54(5): 988-995.</w:t>
      </w:r>
    </w:p>
    <w:p w14:paraId="0935A1B4">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[29]</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MUHSEN K, SINNREICH R, MEROM D, et al. Prevalence and determinants of serological evidence of atrophic gastritis among Arab and Jewish residents of Jerusalem: a cross-sectional study[J]. BMJ Open, 2019, 9(1): e024689.</w:t>
      </w:r>
    </w:p>
    <w:p w14:paraId="24FD668E">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[30]</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XIE X, ZHAO S, FANG R, et al. Vitamin E inhibits oxidative stress and inflammation in stress-induced gastritis via modulating Nrf2 and NF-κB signalling pathways[J]. J Cell Mol Med, 2025, 29(10): e70463.</w:t>
      </w:r>
    </w:p>
    <w:p w14:paraId="29C35E7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[31]</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EL-SAYED SF, MAHMOUD SM, SAMY W, et al. Vitamin D3 mitigates aspirin-induced gastric injury by modulating gastrokines, E-cadherin, and inhibiting NLRP3 and NF-κB/MMP-9 signaling pathway[J]. Tissue Cell, 2025, 93: 102724.</w:t>
      </w:r>
    </w:p>
    <w:p w14:paraId="3867DE9B">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[32]</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魏锣沛, 李霓, 王刚,等. 基线体质指数与男性胃癌发病关系的前瞻性队列研究[J]. 中华流行病学杂志, 2019, 40(12): 1522-1526.</w:t>
      </w:r>
    </w:p>
    <w:p w14:paraId="3A96FD62">
      <w:pPr>
        <w:numPr>
          <w:ilvl w:val="0"/>
          <w:numId w:val="0"/>
        </w:numPr>
        <w:spacing w:line="240" w:lineRule="auto"/>
        <w:ind w:left="535" w:leftChars="255" w:firstLine="0" w:firstLineChars="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WEI L P, NI N, WANG G, et al. Body mass index and the risk of gastric cancer in males: a prospective cohort study[J]. Chinese Journal of Epidemiology, 2019, 40(12): 1522-1526.</w:t>
      </w:r>
    </w:p>
    <w:p w14:paraId="01B12B55">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[33]</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WIMER LA, KANESHIRO KR, RAMIREZ J, et al. Glycation-lowering compounds inhibit ghrelin signaling to reduce food intake, lower insulin resistance, and extend lifespan[J]. Cell Rep, 2025, 44(10): 116422.</w:t>
      </w:r>
    </w:p>
    <w:p w14:paraId="7C6EA184">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[34]</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PANARESE A, ROMITI A, IACOVAZZI PA, et al. Relationship between atrophic gastritis, serum ghrelin and body mass index[J]. Eur J Gastroenterol Hepatol, 2020, 32(10): 1335-1340.</w:t>
      </w:r>
    </w:p>
    <w:p w14:paraId="7639F3F9">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[35]</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LI H, HU Y, HUANG Y, et al. The mutual interactions among Helicobacter pylori, chronic gastritis, and the gut microbiota: a population-based study in Jinjiang, Fujian[J]. Front Microbiol, 2024, 15: 1365043.</w:t>
      </w:r>
    </w:p>
    <w:p w14:paraId="3230CFEF">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[36]</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ZHAO X, WU M, ZHANG D, et al. The relationship of interpersonal sensitivity and depression among patients with chronic atrophic gastritis: The mediating role of coping styles[J]. J Clin Nurs, 2018, 27(5-6): e984-e991.</w:t>
      </w:r>
    </w:p>
    <w:p w14:paraId="1A1FFA8E">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[37]</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BAZYAR H, SADEGHI R, MASOUDI MR, et al. Establishing optimal cut-offs of cardio-metabolic indices for diagnosing metabolic syndrome in type 2 diabetes[J]. BMC Endocr Disord, 2025, 25(1): 241.</w:t>
      </w:r>
    </w:p>
    <w:p w14:paraId="6DF62555">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[38]</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SUN Y, BAI C, YIN S, et al. Assessment of the association between cardiac metabolic markers and carotid atherosclerosis, and the role of insulin resistance[J]. Diabetes Metab Syndr Obes, 2025, 18: 2899-2911.</w:t>
      </w:r>
    </w:p>
    <w:p w14:paraId="07241A78">
      <w:pPr>
        <w:numPr>
          <w:ilvl w:val="0"/>
          <w:numId w:val="0"/>
        </w:numPr>
        <w:spacing w:line="240" w:lineRule="auto"/>
        <w:ind w:left="540" w:leftChars="0" w:hanging="540" w:hangingChars="300"/>
        <w:jc w:val="both"/>
        <w:rPr>
          <w:rFonts w:hint="eastAsia" w:ascii="Times New Roman" w:hAnsi="Times New Roman" w:cs="Times New Roman"/>
          <w:b w:val="0"/>
          <w:i w:val="0"/>
          <w:color w:val="auto"/>
          <w:sz w:val="18"/>
          <w:u w:val="none"/>
          <w:lang w:val="en-US" w:eastAsia="zh-CN"/>
        </w:rPr>
      </w:pPr>
      <w:r>
        <w:rPr>
          <w:rFonts w:hint="eastAsia" w:ascii="Times New Roman" w:hAnsi="Times New Roman" w:cs="Times New Roman"/>
          <w:b w:val="0"/>
          <w:i w:val="0"/>
          <w:color w:val="auto"/>
          <w:sz w:val="18"/>
          <w:u w:val="none"/>
          <w:lang w:val="en-US" w:eastAsia="zh-CN"/>
        </w:rPr>
        <w:t>[39]</w:t>
      </w:r>
      <w:r>
        <w:rPr>
          <w:rFonts w:hint="eastAsia" w:ascii="Times New Roman" w:hAnsi="Times New Roman" w:cs="Times New Roman"/>
          <w:b w:val="0"/>
          <w:i w:val="0"/>
          <w:color w:val="auto"/>
          <w:sz w:val="18"/>
          <w:u w:val="none"/>
          <w:lang w:val="en-US" w:eastAsia="zh-CN"/>
        </w:rPr>
        <w:tab/>
      </w:r>
      <w:r>
        <w:rPr>
          <w:rFonts w:hint="eastAsia" w:ascii="Times New Roman" w:hAnsi="Times New Roman" w:cs="Times New Roman"/>
          <w:b w:val="0"/>
          <w:i w:val="0"/>
          <w:color w:val="auto"/>
          <w:sz w:val="18"/>
          <w:u w:val="none"/>
          <w:lang w:val="en-US" w:eastAsia="zh-CN"/>
        </w:rPr>
        <w:t>LEE F, MOORE J, MARKOULI M, et al. The oncogenic burden of obesity: Mechanistic links between adiposity and gastrointestinal cancers-a comprehensive narrative review[J]. Biomedicines, 2025, 13(7): 1571.</w:t>
      </w:r>
    </w:p>
    <w:p w14:paraId="67E30C20">
      <w:pPr>
        <w:numPr>
          <w:ilvl w:val="0"/>
          <w:numId w:val="0"/>
        </w:numPr>
        <w:spacing w:line="240" w:lineRule="auto"/>
        <w:ind w:left="630" w:leftChars="0" w:hanging="630" w:hangingChars="300"/>
        <w:jc w:val="both"/>
        <w:rPr>
          <w:rFonts w:hint="default" w:ascii="Times New Roman" w:hAnsi="Times New Roman" w:cs="Times New Roman"/>
          <w:color w:val="auto"/>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光中楷_CNKI">
    <w:panose1 w:val="02000500000000000000"/>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D525887">
      <w:pPr>
        <w:keepNext w:val="0"/>
        <w:keepLines w:val="0"/>
        <w:widowControl/>
        <w:suppressLineNumbers w:val="0"/>
        <w:jc w:val="left"/>
        <w:rPr>
          <w:rFonts w:hint="eastAsia" w:ascii="Times New Roman" w:hAnsi="Times New Roman" w:cs="Times New Roman"/>
          <w:color w:val="auto"/>
          <w:kern w:val="2"/>
          <w:sz w:val="21"/>
          <w:szCs w:val="21"/>
          <w:lang w:val="en-US" w:eastAsia="zh-CN" w:bidi="ar-SA"/>
        </w:rPr>
      </w:pPr>
      <w:r>
        <w:rPr>
          <w:rStyle w:val="6"/>
          <w:rFonts w:hint="default" w:ascii="Times New Roman" w:hAnsi="Times New Roman" w:cs="Times New Roman"/>
          <w:color w:val="auto"/>
          <w:sz w:val="21"/>
          <w:szCs w:val="21"/>
        </w:rPr>
        <w:sym w:font="Symbol" w:char="F020"/>
      </w:r>
      <w:r>
        <w:rPr>
          <w:rFonts w:hint="default" w:ascii="Times New Roman" w:hAnsi="Times New Roman" w:eastAsia="黑体" w:cs="Times New Roman"/>
          <w:color w:val="auto"/>
          <w:sz w:val="21"/>
          <w:szCs w:val="21"/>
        </w:rPr>
        <w:t>基金项目：</w:t>
      </w:r>
      <w:r>
        <w:rPr>
          <w:rFonts w:hint="default" w:ascii="Times New Roman" w:hAnsi="Times New Roman" w:eastAsia="宋体" w:cs="Times New Roman"/>
          <w:color w:val="auto"/>
          <w:kern w:val="2"/>
          <w:sz w:val="21"/>
          <w:szCs w:val="21"/>
          <w:lang w:val="en-US" w:eastAsia="zh-CN" w:bidi="ar-SA"/>
        </w:rPr>
        <w:t>江苏省预防医学</w:t>
      </w:r>
      <w:r>
        <w:rPr>
          <w:rFonts w:hint="eastAsia" w:ascii="Times New Roman" w:hAnsi="Times New Roman" w:eastAsia="宋体" w:cs="Times New Roman"/>
          <w:color w:val="auto"/>
          <w:kern w:val="2"/>
          <w:sz w:val="21"/>
          <w:szCs w:val="21"/>
          <w:lang w:val="en-US" w:eastAsia="zh-CN" w:bidi="ar-SA"/>
        </w:rPr>
        <w:t>课题</w:t>
      </w:r>
      <w:r>
        <w:rPr>
          <w:rFonts w:hint="default" w:ascii="Times New Roman" w:hAnsi="Times New Roman" w:eastAsia="宋体" w:cs="Times New Roman"/>
          <w:color w:val="auto"/>
          <w:kern w:val="2"/>
          <w:sz w:val="21"/>
          <w:szCs w:val="21"/>
          <w:lang w:val="en-US" w:eastAsia="zh-CN" w:bidi="ar-SA"/>
        </w:rPr>
        <w:t>面上项目</w:t>
      </w:r>
      <w:r>
        <w:rPr>
          <w:rFonts w:hint="eastAsia" w:ascii="Times New Roman" w:hAnsi="Times New Roman" w:cs="Times New Roman"/>
          <w:color w:val="auto"/>
          <w:kern w:val="2"/>
          <w:sz w:val="21"/>
          <w:szCs w:val="21"/>
          <w:lang w:val="en-US" w:eastAsia="zh-CN" w:bidi="ar-SA"/>
        </w:rPr>
        <w:t xml:space="preserve"> (YM2023031)</w:t>
      </w:r>
    </w:p>
    <w:p w14:paraId="57FE60AC">
      <w:pPr>
        <w:pStyle w:val="2"/>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黑体" w:cs="Times New Roman"/>
          <w:color w:val="auto"/>
          <w:sz w:val="21"/>
          <w:szCs w:val="21"/>
        </w:rPr>
        <w:t>通讯作者：</w:t>
      </w:r>
      <w:r>
        <w:rPr>
          <w:rFonts w:hint="eastAsia" w:ascii="Times New Roman" w:hAnsi="Times New Roman" w:eastAsia="宋体" w:cs="Times New Roman"/>
          <w:color w:val="auto"/>
          <w:kern w:val="2"/>
          <w:sz w:val="21"/>
          <w:szCs w:val="21"/>
          <w:lang w:val="en-US" w:eastAsia="zh-CN" w:bidi="ar-SA"/>
        </w:rPr>
        <w:t>朱进华</w:t>
      </w:r>
      <w:r>
        <w:rPr>
          <w:rFonts w:hint="default" w:ascii="Times New Roman" w:hAnsi="Times New Roman" w:eastAsia="宋体" w:cs="Times New Roman"/>
          <w:color w:val="auto"/>
          <w:kern w:val="2"/>
          <w:sz w:val="21"/>
          <w:szCs w:val="21"/>
          <w:lang w:val="en-US" w:eastAsia="zh-CN" w:bidi="ar-SA"/>
        </w:rPr>
        <w:t>，Email：</w:t>
      </w:r>
      <w:r>
        <w:rPr>
          <w:rFonts w:hint="eastAsia" w:ascii="Times New Roman" w:hAnsi="Times New Roman" w:eastAsia="宋体" w:cs="Times New Roman"/>
          <w:color w:val="auto"/>
          <w:kern w:val="2"/>
          <w:sz w:val="21"/>
          <w:szCs w:val="21"/>
          <w:lang w:val="en-US" w:eastAsia="zh-CN" w:bidi="ar-SA"/>
        </w:rPr>
        <w:t>zhujinhuavip</w:t>
      </w:r>
      <w:r>
        <w:rPr>
          <w:rFonts w:hint="default" w:ascii="Times New Roman" w:hAnsi="Times New Roman" w:eastAsia="宋体" w:cs="Times New Roman"/>
          <w:color w:val="auto"/>
          <w:kern w:val="2"/>
          <w:sz w:val="21"/>
          <w:szCs w:val="21"/>
          <w:lang w:val="en-US" w:eastAsia="zh-CN" w:bidi="ar-SA"/>
        </w:rPr>
        <w:t>@</w:t>
      </w:r>
      <w:r>
        <w:rPr>
          <w:rFonts w:hint="eastAsia" w:ascii="Times New Roman" w:hAnsi="Times New Roman" w:eastAsia="宋体" w:cs="Times New Roman"/>
          <w:color w:val="auto"/>
          <w:kern w:val="2"/>
          <w:sz w:val="21"/>
          <w:szCs w:val="21"/>
          <w:lang w:val="en-US" w:eastAsia="zh-CN" w:bidi="ar-SA"/>
        </w:rPr>
        <w:t>sina</w:t>
      </w:r>
      <w:r>
        <w:rPr>
          <w:rFonts w:hint="default" w:ascii="Times New Roman" w:hAnsi="Times New Roman" w:eastAsia="宋体" w:cs="Times New Roman"/>
          <w:color w:val="auto"/>
          <w:kern w:val="2"/>
          <w:sz w:val="21"/>
          <w:szCs w:val="21"/>
          <w:lang w:val="en-US" w:eastAsia="zh-CN" w:bidi="ar-SA"/>
        </w:rPr>
        <w:t>.com</w:t>
      </w:r>
    </w:p>
    <w:p w14:paraId="3D8C0F97">
      <w:pPr>
        <w:pStyle w:val="2"/>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8A3917"/>
    <w:multiLevelType w:val="singleLevel"/>
    <w:tmpl w:val="978A391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Y.MR.DATA{4148E1CE-DE09-4549-8A63-95C952E2B967}1170" w:val="&lt;KyMRNote dbid=&quot;{4148E1CE-DE09-4549-8A63-95C952E2B967}&quot; recid=&quot;1170&quot;&gt;&lt;Data&gt;&lt;Field id=&quot;AccessNum&quot;&gt;39869579&lt;/Field&gt;&lt;Field id=&quot;Author&quot; FirstData=&quot;0&quot; FirstStyle=&quot;786432&quot; OtherStyle=&quot;0&quot;&gt;Guo R;Wei W;&lt;/Field&gt;&lt;Field id=&quot;AuthorTrans&quot;&gt;&lt;/Field&gt;&lt;Field id=&quot;DOI&quot;&gt;10.1371/journal.pone.0317462&lt;/Field&gt;&lt;Field id=&quot;Editor&quot;&gt;&lt;/Field&gt;&lt;Field id=&quot;FmtTitle&quot;&gt;&lt;/Field&gt;&lt;Field id=&quot;FullAuthor&quot;&gt;Guo, Renjie;Wei, Weiming;&lt;/Field&gt;&lt;Field id=&quot;ISSN&quot;&gt;1932-6203&lt;/Field&gt;&lt;Field id=&quot;Issue&quot;&gt;1&lt;/Field&gt;&lt;Field id=&quot;LIID&quot;&gt;1170&lt;/Field&gt;&lt;Field id=&quot;Magazine&quot;&gt;PloS one&lt;/Field&gt;&lt;Field id=&quot;MagazineAB&quot;&gt;PLoS One&lt;/Field&gt;&lt;Field id=&quot;MagazineTrans&quot;&gt;&lt;/Field&gt;&lt;Field id=&quot;PageNum&quot;&gt;e0317462&lt;/Field&gt;&lt;Field id=&quot;PubDate&quot;&gt;&lt;/Field&gt;&lt;Field id=&quot;PubPlace&quot;&gt;United States&lt;/Field&gt;&lt;Field id=&quot;PubPlaceTrans&quot;&gt;&lt;/Field&gt;&lt;Field id=&quot;PubYear&quot;&gt;2025&lt;/Field&gt;&lt;Field id=&quot;Publisher&quot;&gt;Public Library of Science&lt;/Field&gt;&lt;Field id=&quot;PublisherTrans&quot;&gt;&lt;/Field&gt;&lt;Field id=&quot;TITrans&quot;&gt;&lt;/Field&gt;&lt;Field id=&quot;Title&quot;&gt;Association between lipid accumulation product and the risk of colon cancer in adults: A population-based study&lt;/Field&gt;&lt;Field id=&quot;Translator&quot;&gt;&lt;/Field&gt;&lt;Field id=&quot;Type&quot;&gt;{041D4F77-279E-4405-0002-4388361B9CFF}&lt;/Field&gt;&lt;Field id=&quot;Version&quot;&gt;&lt;/Field&gt;&lt;Field id=&quot;Vol&quot;&gt;20&lt;/Field&gt;&lt;Field id=&quot;Factor&quot;&gt;2.9&lt;/Field&gt;&lt;Field id=&quot;Author2&quot;&gt;Guo,Renjie;Wei,Weiming;&lt;/Field&gt;&lt;/Data&gt;&lt;Ref&gt;&lt;Display&gt;&lt;Text StringText=&quot;「RefIndex」&quot; StringTextOri=&quot;「RefIndex」&quot; SuperScript=&quot;true&quot;/&gt;&lt;/Display&gt;&lt;/Ref&gt;&lt;Doc&gt;&lt;Display&gt;&lt;Text StringText=&quot;Guo, Renjie, Wei, Weiming&quot; StringGroup=&quot;Author&quot;/&gt;_x000d__x000a_   &lt;Text StringText=&quot;. &quot; StringGroup=&quot;Author&quot;/&gt;_x000d__x000a_   &lt;Text StringText=&quot;Association between lipid accumulation product and the risk of colon cancer in adults: A population-based study&quot; StringGroup=&quot;Title&quot;/&gt;_x000d__x000a_   &lt;Text StringText=&quot;[J]. &quot; StringGroup=&quot;Title&quot;/&gt;_x000d__x000a_   &lt;Text StringText=&quot;PLoS One&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20&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e0317462&quot; StringGroup=&quot;PageNum&quot;/&gt;_x000d__x000a_   &lt;Text StringText=&quot;.&quot; StringGroup=&quot;none&quot;/&gt;_x000d__x000a_  &lt;/Display&gt;&lt;/Doc&gt;&lt;/KyMRNote&gt;"/>
    <w:docVar w:name="KY.MR.DATA{8F215C65-BADE-4FD0-B26F-6DF5A5DBD711}1160" w:val="&lt;KyMRNote dbid=&quot;{8F215C65-BADE-4FD0-B26F-6DF5A5DBD711}&quot; recid=&quot;1160&quot;&gt;&lt;Data&gt;&lt;Field id=&quot;AccessNum&quot;&gt;39256541&lt;/Field&gt;&lt;Field id=&quot;Author&quot; FirstData=&quot;0&quot; FirstStyle=&quot;786432&quot; OtherStyle=&quot;0&quot;&gt;Feng X;Zhu J;Hua Z;Yao S;Yin H;Shi Q;Zhou J;&lt;/Field&gt;&lt;Field id=&quot;AuthorTrans&quot;&gt;&lt;/Field&gt;&lt;Field id=&quot;DOI&quot;&gt;10.1038/s41598-024-72313-2&lt;/Field&gt;&lt;Field id=&quot;Editor&quot;&gt;&lt;/Field&gt;&lt;Field id=&quot;FmtTitle&quot;&gt;&lt;/Field&gt;&lt;Field id=&quot;FullAuthor&quot;&gt;Feng, Xiang;Zhu, Jinhua;Hua, Zhaolai;Yao, Shenghua;Yin, Hongjun;Shi, Qiuping;Zhou, Jinyi;&lt;/Field&gt;&lt;Field id=&quot;ISSN&quot;&gt;2045-2322&lt;/Field&gt;&lt;Field id=&quot;Issue&quot;&gt;1&lt;/Field&gt;&lt;Field id=&quot;LIID&quot;&gt;1160&lt;/Field&gt;&lt;Field id=&quot;Magazine&quot;&gt;Scientific reports&lt;/Field&gt;&lt;Field id=&quot;MagazineAB&quot;&gt;Sci Rep&lt;/Field&gt;&lt;Field id=&quot;MagazineTrans&quot;&gt;&lt;/Field&gt;&lt;Field id=&quot;PageNum&quot;&gt;21153&lt;/Field&gt;&lt;Field id=&quot;PubDate&quot;&gt;Sep 10&lt;/Field&gt;&lt;Field id=&quot;PubPlace&quot;&gt;England&lt;/Field&gt;&lt;Field id=&quot;PubPlaceTrans&quot;&gt;&lt;/Field&gt;&lt;Field id=&quot;PubYear&quot;&gt;2024&lt;/Field&gt;&lt;Field id=&quot;Publisher&quot;&gt;Springer Nature&lt;/Field&gt;&lt;Field id=&quot;PublisherTrans&quot;&gt;&lt;/Field&gt;&lt;Field id=&quot;TITrans&quot;&gt;&lt;/Field&gt;&lt;Field id=&quot;Title&quot;&gt;Prevalence and determinants of obesity and its association with upper gastrointestinal diseases in people aged 40-69 years in Yangzhong, southeast China&lt;/Field&gt;&lt;Field id=&quot;Translator&quot;&gt;&lt;/Field&gt;&lt;Field id=&quot;Type&quot;&gt;{041D4F77-279E-4405-0002-4388361B9CFF}&lt;/Field&gt;&lt;Field id=&quot;Version&quot;&gt;&lt;/Field&gt;&lt;Field id=&quot;Vol&quot;&gt;14&lt;/Field&gt;&lt;Field id=&quot;Factor&quot;&gt;4.6&lt;/Field&gt;&lt;Field id=&quot;Author2&quot;&gt;Feng,Xiang;Zhu,Jinhua;Hua,Zhaolai;&lt;/Field&gt;&lt;/Data&gt;&lt;Ref&gt;&lt;Display&gt;&lt;Text StringText=&quot;「RefIndex」&quot; StringTextOri=&quot;「RefIndex」&quot; SuperScript=&quot;true&quot;/&gt;&lt;/Display&gt;&lt;/Ref&gt;&lt;Doc&gt;&lt;Display&gt;&lt;Text StringText=&quot;Feng, Xiang, Zhu, Jinhua, Hua, Zhaolai, et al&quot; StringGroup=&quot;Author&quot;/&gt;_x000d__x000a_   &lt;Text StringText=&quot;. &quot; StringGroup=&quot;Author&quot;/&gt;_x000d__x000a_   &lt;Text StringText=&quot;Prevalence and determinants of obesity and its association with upper gastrointestinal diseases in people aged 40-69 years in Yangzhong, southeast China&quot; StringGroup=&quot;Title&quot;/&gt;_x000d__x000a_   &lt;Text StringText=&quot;[J]. &quot; StringGroup=&quot;Title&quot;/&gt;_x000d__x000a_   &lt;Text StringText=&quot;Sci Rep&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14&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21153&quot; StringGroup=&quot;PageNum&quot;/&gt;_x000d__x000a_   &lt;Text StringText=&quot;.&quot; StringGroup=&quot;none&quot;/&gt;_x000d__x000a_  &lt;/Display&gt;&lt;/Doc&gt;&lt;/KyMRNote&gt;"/>
    <w:docVar w:name="KY.MR.DATA{8F215C65-BADE-4FD0-B26F-6DF5A5DBD711}1161" w:val="&lt;KyMRNote dbid=&quot;{8F215C65-BADE-4FD0-B26F-6DF5A5DBD711}&quot; recid=&quot;1161&quot;&gt;&lt;Data&gt;&lt;Field id=&quot;AccessNum&quot;&gt;41016748&lt;/Field&gt;&lt;Field id=&quot;Author&quot; FirstData=&quot;0&quot; FirstStyle=&quot;1245184&quot; OtherStyle=&quot;0&quot;&gt;Pastorino R;Pires Marafon D;Valz Gris A;Lentini N;Cristiano A;Aragonés N;Martín V;Zaridze D;Maximovich D;Vioque J;Gonzalez-Palacios S;Malekzadeh R;Pourfarzi F;Muscat J;Ward MH;Rabkin CS;Negri E;Bonzi R;Pelucchi C;Boffetta P;Camargo MC;Curado MP;Lunet N;Zhang ZF;La Vecchia C;Boccia S;&lt;/Field&gt;&lt;Field id=&quot;AuthorTrans&quot;&gt;&lt;/Field&gt;&lt;Field id=&quot;DOI&quot;&gt;10.1093/ije/dyaf160&lt;/Field&gt;&lt;Field id=&quot;Editor&quot;&gt;&lt;/Field&gt;&lt;Field id=&quot;FmtTitle&quot;&gt;&lt;/Field&gt;&lt;Field id=&quot;FullAuthor&quot;&gt;Pastorino, Roberta;Pires Marafon, Denise;Valz Gris, Angelica;Lentini, Nicolò;Cristiano, Antonio;Aragonés, Nuria;Martín, Vicente;Zaridze, David;Maximovich, Dmistry;Vioque, Jesus;Gonzalez-Palacios, Sandra;Malekzadeh, Reza;Pourfarzi, Farhad;Muscat, Joshua;Ward, Mary H;Rabkin, Charles S;Negri, Eva;Bonzi, Rossella;Pelucchi, Carlo;Boffetta, Paolo;Camargo, Maria Costanza;Curado, Maria Paola;Lunet, Nuno;Zhang, Zuo-Feng;La Vecchia, Carlo;Boccia, Stefania;&lt;/Field&gt;&lt;Field id=&quot;ISSN&quot;&gt;0300-5771&lt;/Field&gt;&lt;Field id=&quot;Issue&quot;&gt;5&lt;/Field&gt;&lt;Field id=&quot;LIID&quot;&gt;1161&lt;/Field&gt;&lt;Field id=&quot;Magazine&quot;&gt;International journal of epidemiology&lt;/Field&gt;&lt;Field id=&quot;MagazineAB&quot;&gt;Int J Epidemiol&lt;/Field&gt;&lt;Field id=&quot;MagazineTrans&quot;&gt;&lt;/Field&gt;&lt;Field id=&quot;PageNum&quot;&gt;dyaf160&lt;/Field&gt;&lt;Field id=&quot;PubDate&quot;&gt;Aug 18&lt;/Field&gt;&lt;Field id=&quot;PubPlace&quot;&gt;England&lt;/Field&gt;&lt;Field id=&quot;PubPlaceTrans&quot;&gt;&lt;/Field&gt;&lt;Field id=&quot;PubYear&quot;&gt;2025&lt;/Field&gt;&lt;Field id=&quot;Publisher&quot;&gt;Oxford University Press&lt;/Field&gt;&lt;Field id=&quot;PublisherTrans&quot;&gt;&lt;/Field&gt;&lt;Field id=&quot;TITrans&quot;&gt;&lt;/Field&gt;&lt;Field id=&quot;Title&quot;&gt;Body mass index and gastric cancer risk: results from the Stomach Cancer Pooling Project Consortium&lt;/Field&gt;&lt;Field id=&quot;Translator&quot;&gt;&lt;/Field&gt;&lt;Field id=&quot;Type&quot;&gt;{041D4F77-279E-4405-0002-4388361B9CFF}&lt;/Field&gt;&lt;Field id=&quot;Version&quot;&gt;&lt;/Field&gt;&lt;Field id=&quot;Vol&quot;&gt;54&lt;/Field&gt;&lt;Field id=&quot;Factor&quot;&gt;7.7&lt;/Field&gt;&lt;Field id=&quot;Author2&quot;&gt;Pastorino,Roberta;Pires Marafon,Denise;Valz Gris,Angelica;&lt;/Field&gt;&lt;/Data&gt;&lt;Ref&gt;&lt;Display&gt;&lt;Text StringText=&quot;「RefIndex」&quot; StringTextOri=&quot;「RefIndex」&quot; SuperScript=&quot;true&quot;/&gt;&lt;/Display&gt;&lt;/Ref&gt;&lt;Doc&gt;&lt;Display&gt;&lt;Text StringText=&quot;Pastorino, Roberta, Pires Marafon, Denise, Valz Gris, Angelica, et al&quot; StringGroup=&quot;Author&quot;/&gt;_x000d__x000a_   &lt;Text StringText=&quot;. &quot; StringGroup=&quot;Author&quot;/&gt;_x000d__x000a_   &lt;Text StringText=&quot;Body mass index and gastric cancer risk: results from the Stomach Cancer Pooling Project Consortium&quot; StringGroup=&quot;Title&quot;/&gt;_x000d__x000a_   &lt;Text StringText=&quot;[J]. &quot; StringGroup=&quot;Title&quot;/&gt;_x000d__x000a_   &lt;Text StringText=&quot;Int J Epidemiol&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54&quot; StringGroup=&quot;Vol&quot;/&gt;_x000d__x000a_   &lt;Text StringText=&quot;(&quot; StringGroup=&quot;Issue&quot;/&gt;_x000d__x000a_   &lt;Text StringText=&quot;5&quot; StringGroup=&quot;Issue&quot;/&gt;_x000d__x000a_   &lt;Text StringText=&quot;)&quot; StringGroup=&quot;Issue&quot;/&gt;_x000d__x000a_   &lt;Text StringText=&quot;:&quot; StringGroup=&quot;PageNum&quot;/&gt;_x000d__x000a_   &lt;Text StringText=&quot;dyaf160&quot; StringGroup=&quot;PageNum&quot;/&gt;_x000d__x000a_   &lt;Text StringText=&quot;.&quot; StringGroup=&quot;none&quot;/&gt;_x000d__x000a_  &lt;/Display&gt;&lt;/Doc&gt;&lt;/KyMRNote&gt;"/>
    <w:docVar w:name="KY.MR.DATA{8F215C65-BADE-4FD0-B26F-6DF5A5DBD711}1162" w:val="&lt;KyMRNote dbid=&quot;{8F215C65-BADE-4FD0-B26F-6DF5A5DBD711}&quot; recid=&quot;1162&quot;&gt;&lt;Data&gt;&lt;Field id=&quot;AccessNum&quot;&gt;28336766&lt;/Field&gt;&lt;Field id=&quot;Author&quot; FirstData=&quot;0&quot; FirstStyle=&quot;589824&quot; OtherStyle=&quot;0&quot;&gt;Du X;Hidayat K;Shi BM;&lt;/Field&gt;&lt;Field id=&quot;AuthorTrans&quot;&gt;&lt;/Field&gt;&lt;Field id=&quot;DOI&quot;&gt;10.1042/BSR20160474&lt;/Field&gt;&lt;Field id=&quot;Editor&quot;&gt;&lt;/Field&gt;&lt;Field id=&quot;FmtTitle&quot;&gt;&lt;/Field&gt;&lt;Field id=&quot;FullAuthor&quot;&gt;Du, Xuan;Hidayat, Khemayanto;Shi, Bi-Min;&lt;/Field&gt;&lt;Field id=&quot;ISSN&quot;&gt;0144-8463&lt;/Field&gt;&lt;Field id=&quot;Issue&quot;&gt;3&lt;/Field&gt;&lt;Field id=&quot;LIID&quot;&gt;1162&lt;/Field&gt;&lt;Field id=&quot;Magazine&quot;&gt;Bioscience reports&lt;/Field&gt;&lt;Field id=&quot;MagazineAB&quot;&gt;Biosci Rep&lt;/Field&gt;&lt;Field id=&quot;MagazineTrans&quot;&gt;&lt;/Field&gt;&lt;Field id=&quot;PageNum&quot;&gt;BSR20160474 [pii]&lt;/Field&gt;&lt;Field id=&quot;PubDate&quot;&gt;Jun 30&lt;/Field&gt;&lt;Field id=&quot;PubPlace&quot;&gt;England&lt;/Field&gt;&lt;Field id=&quot;PubPlaceTrans&quot;&gt;&lt;/Field&gt;&lt;Field id=&quot;PubYear&quot;&gt;2017&lt;/Field&gt;&lt;Field id=&quot;Publisher&quot;&gt;Portland Press Ltd.&lt;/Field&gt;&lt;Field id=&quot;PublisherTrans&quot;&gt;&lt;/Field&gt;&lt;Field id=&quot;TITrans&quot;&gt;&lt;/Field&gt;&lt;Field id=&quot;Title&quot;&gt;Abdominal obesity and gastroesophageal cancer risk: systematic review and meta-analysis of prospective studies&lt;/Field&gt;&lt;Field id=&quot;Translator&quot;&gt;&lt;/Field&gt;&lt;Field id=&quot;Type&quot;&gt;{041D4F77-279E-4405-0002-4388361B9CFF}&lt;/Field&gt;&lt;Field id=&quot;Version&quot;&gt;&lt;/Field&gt;&lt;Field id=&quot;Vol&quot;&gt;37&lt;/Field&gt;&lt;Field id=&quot;Factor&quot;&gt;4.0&lt;/Field&gt;&lt;Field id=&quot;Author2&quot;&gt;Du,Xuan;Hidayat,Khemayanto;Shi,Bi-Min;&lt;/Field&gt;&lt;/Data&gt;&lt;Ref&gt;&lt;Display&gt;&lt;Text StringText=&quot;「RefIndex」&quot; StringTextOri=&quot;「RefIndex」&quot; SuperScript=&quot;true&quot;/&gt;&lt;/Display&gt;&lt;/Ref&gt;&lt;Doc&gt;&lt;Display&gt;&lt;Text StringText=&quot;Du, Xuan, Hidayat, Khemayanto, Shi, Bi-Min&quot; StringGroup=&quot;Author&quot;/&gt;_x000d__x000a_   &lt;Text StringText=&quot;. &quot; StringGroup=&quot;Author&quot;/&gt;_x000d__x000a_   &lt;Text StringText=&quot;Abdominal obesity and gastroesophageal cancer risk: systematic review and meta-analysis of prospective studies&quot; StringGroup=&quot;Title&quot;/&gt;_x000d__x000a_   &lt;Text StringText=&quot;[J]. &quot; StringGroup=&quot;Title&quot;/&gt;_x000d__x000a_   &lt;Text StringText=&quot;Biosci Rep&quot; StringGroup=&quot;Magazine&quot;/&gt;_x000d__x000a_   &lt;Text StringText=&quot;, &quot; StringGroup=&quot;Magazine&quot;/&gt;_x000d__x000a_   &lt;Text StringText=&quot;2017&quot; StringGroup=&quot;PubYear&quot;/&gt;_x000d__x000a_   &lt;Text StringText=&quot;,&quot; StringGroup=&quot;PubYear&quot;/&gt;_x000d__x000a_   &lt;Text StringText=&quot;37&quot; StringGroup=&quot;Vol&quot;/&gt;_x000d__x000a_   &lt;Text StringText=&quot;(&quot; StringGroup=&quot;Issue&quot;/&gt;_x000d__x000a_   &lt;Text StringText=&quot;3&quot; StringGroup=&quot;Issue&quot;/&gt;_x000d__x000a_   &lt;Text StringText=&quot;)&quot; StringGroup=&quot;Issue&quot;/&gt;_x000d__x000a_   &lt;Text StringText=&quot;:&quot; StringGroup=&quot;PageNum&quot;/&gt;_x000d__x000a_   &lt;Text StringText=&quot;BSR20160474 [pii]&quot; StringGroup=&quot;PageNum&quot;/&gt;_x000d__x000a_   &lt;Text StringText=&quot;.&quot; StringGroup=&quot;none&quot;/&gt;_x000d__x000a_  &lt;/Display&gt;&lt;/Doc&gt;&lt;/KyMRNote&gt;"/>
    <w:docVar w:name="KY.MR.DATA{8F215C65-BADE-4FD0-B26F-6DF5A5DBD711}1163" w:val="&lt;KyMRNote dbid=&quot;{8F215C65-BADE-4FD0-B26F-6DF5A5DBD711}&quot; recid=&quot;1163&quot;&gt;&lt;Data&gt;&lt;Field id=&quot;AccessNum&quot;&gt;25598323&lt;/Field&gt;&lt;Field id=&quot;Author&quot; FirstData=&quot;0&quot; FirstStyle=&quot;1048576&quot; OtherStyle=&quot;0&quot;&gt;Steffen A;Huerta JM;Weiderpass E;Bueno-de-Mesquita HB;May AM;Siersema PD;Kaaks R;Neamat-Allah J;Pala V;Panico S;Saieva C;Tumino R;Naccarati A;Dorronsoro M;Sánchez-Cantalejo E;Ardanaz E;Quirós JR;Ohlsson B;Johansson M;Wallner B;Overvad K;Halkjaer J;Tjønneland A;Fagherazzi G;Racine A;Clavel-Chapelon F;Key TJ;Khaw KT;Wareham N;Lagiou P;Bamia C;Trichopoulou A;Ferrari P;Freisling H;Lu Y;Riboli E;Cross AJ;Gonzalez CA;Boeing H;&lt;/Field&gt;&lt;Field id=&quot;AuthorTrans&quot;&gt;&lt;/Field&gt;&lt;Field id=&quot;DOI&quot;&gt;10.1002/ijc.29432&lt;/Field&gt;&lt;Field id=&quot;Editor&quot;&gt;&lt;/Field&gt;&lt;Field id=&quot;FmtTitle&quot;&gt;&lt;/Field&gt;&lt;Field id=&quot;FullAuthor&quot;&gt;Steffen, Annika;Huerta, José-Maria;Weiderpass, Elisabete;Bueno-de-Mesquita, H B As;May, Anne M;Siersema, Peter D;Kaaks, Rudolf;Neamat-Allah, Jasmine;Pala, Valeria;Panico, Salvatore;Saieva, Calogero;Tumino, Rosario;Naccarati, Alessio;Dorronsoro, Miren;Sánchez-Cantalejo, Emilio;Ardanaz, Eva;Quirós, J Ramón;Ohlsson, Bodil;Johansson, Mattias;Wallner, Bengt;Overvad, Kim;Halkjaer, Jytte;Tjønneland, Anne;Fagherazzi, Guy;Racine, Antoine;Clavel-Chapelon, Françoise;Key, Tim J;Khaw, Kay-Tee;Wareham, Nick;Lagiou, Pagona;Bamia, Christina;Trichopoulou, Antonia;Ferrari, Pietro;Freisling, Heinz;Lu, Yunxia;Riboli, Elio;Cross, Amanda J;Gonzalez, Carlos A;Boeing, Heiner;&lt;/Field&gt;&lt;Field id=&quot;ISSN&quot;&gt;0020-7136&lt;/Field&gt;&lt;Field id=&quot;Issue&quot;&gt;3&lt;/Field&gt;&lt;Field id=&quot;LIID&quot;&gt;1163&lt;/Field&gt;&lt;Field id=&quot;Magazine&quot;&gt;International journal of cancer&lt;/Field&gt;&lt;Field id=&quot;MagazineAB&quot;&gt;Int J Cancer&lt;/Field&gt;&lt;Field id=&quot;MagazineTrans&quot;&gt;&lt;/Field&gt;&lt;Field id=&quot;PageNum&quot;&gt;646-57&lt;/Field&gt;&lt;Field id=&quot;PubDate&quot;&gt;Aug 1&lt;/Field&gt;&lt;Field id=&quot;PubPlace&quot;&gt;United States&lt;/Field&gt;&lt;Field id=&quot;PubPlaceTrans&quot;&gt;&lt;/Field&gt;&lt;Field id=&quot;PubYear&quot;&gt;2015&lt;/Field&gt;&lt;Field id=&quot;Publisher&quot;&gt;Wiley-Liss Inc.&lt;/Field&gt;&lt;Field id=&quot;PublisherTrans&quot;&gt;&lt;/Field&gt;&lt;Field id=&quot;TITrans&quot;&gt;&lt;/Field&gt;&lt;Field id=&quot;Title&quot;&gt;General and abdominal obesity and risk of esophageal and gastric adenocarcinoma in the European Prospective Investigation into Cancer and Nutrition&lt;/Field&gt;&lt;Field id=&quot;Translator&quot;&gt;&lt;/Field&gt;&lt;Field id=&quot;Type&quot;&gt;{041D4F77-279E-4405-0002-4388361B9CFF}&lt;/Field&gt;&lt;Field id=&quot;Version&quot;&gt;&lt;/Field&gt;&lt;Field id=&quot;Vol&quot;&gt;137&lt;/Field&gt;&lt;Field id=&quot;Factor&quot;&gt;6.4&lt;/Field&gt;&lt;Field id=&quot;Author2&quot;&gt;Steffen,Annika;Huerta,José-Maria;Weiderpass,Elisabete;&lt;/Field&gt;&lt;/Data&gt;&lt;Ref&gt;&lt;Display&gt;&lt;Text StringText=&quot;「RefIndex」&quot; StringTextOri=&quot;「RefIndex」&quot; SuperScript=&quot;true&quot;/&gt;&lt;/Display&gt;&lt;/Ref&gt;&lt;Doc&gt;&lt;Display&gt;&lt;Text StringText=&quot;Steffen, Annika, Huerta, José-Maria, Weiderpass, Elisabete, et al&quot; StringGroup=&quot;Author&quot;/&gt;_x000d__x000a_   &lt;Text StringText=&quot;. &quot; StringGroup=&quot;Author&quot;/&gt;_x000d__x000a_   &lt;Text StringText=&quot;General and abdominal obesity and risk of esophageal and gastric adenocarcinoma in the European Prospective Investigation into Cancer and Nutrition&quot; StringGroup=&quot;Title&quot;/&gt;_x000d__x000a_   &lt;Text StringText=&quot;[J]. &quot; StringGroup=&quot;Title&quot;/&gt;_x000d__x000a_   &lt;Text StringText=&quot;Int J Cancer&quot; StringGroup=&quot;Magazine&quot;/&gt;_x000d__x000a_   &lt;Text StringText=&quot;, &quot; StringGroup=&quot;Magazine&quot;/&gt;_x000d__x000a_   &lt;Text StringText=&quot;2015&quot; StringGroup=&quot;PubYear&quot;/&gt;_x000d__x000a_   &lt;Text StringText=&quot;,&quot; StringGroup=&quot;PubYear&quot;/&gt;_x000d__x000a_   &lt;Text StringText=&quot;137&quot; StringGroup=&quot;Vol&quot;/&gt;_x000d__x000a_   &lt;Text StringText=&quot;(&quot; StringGroup=&quot;Issue&quot;/&gt;_x000d__x000a_   &lt;Text StringText=&quot;3&quot; StringGroup=&quot;Issue&quot;/&gt;_x000d__x000a_   &lt;Text StringText=&quot;)&quot; StringGroup=&quot;Issue&quot;/&gt;_x000d__x000a_   &lt;Text StringText=&quot;:&quot; StringGroup=&quot;PageNum&quot;/&gt;_x000d__x000a_   &lt;Text StringText=&quot;646-57&quot; StringGroup=&quot;PageNum&quot;/&gt;_x000d__x000a_   &lt;Text StringText=&quot;.&quot; StringGroup=&quot;none&quot;/&gt;_x000d__x000a_  &lt;/Display&gt;&lt;/Doc&gt;&lt;/KyMRNote&gt;"/>
    <w:docVar w:name="KY.MR.DATA{8F215C65-BADE-4FD0-B26F-6DF5A5DBD711}1164" w:val="&lt;KyMRNote dbid=&quot;{8F215C65-BADE-4FD0-B26F-6DF5A5DBD711}&quot; recid=&quot;1164&quot;&gt;&lt;Data&gt;&lt;Field id=&quot;AccessNum&quot;&gt;&lt;/Field&gt;&lt;Field id=&quot;Author&quot; FirstData=&quot;0&quot; FirstStyle=&quot;262144&quot; OtherStyle=&quot;0&quot;&gt;印红军;冯祥;华召来;陈梦星;仝海员;朱进华&lt;/Field&gt;&lt;Field id=&quot;AuthorTrans&quot;&gt;&lt;/Field&gt;&lt;Field id=&quot;DOI&quot;&gt;10.20043/j.cnki.MPM.202403524&lt;/Field&gt;&lt;Field id=&quot;Editor&quot;&gt;&lt;/Field&gt;&lt;Field id=&quot;FmtTitle&quot;&gt;&lt;/Field&gt;&lt;Field id=&quot;FullAuthor&quot;&gt;&lt;/Field&gt;&lt;Field id=&quot;ISSN&quot;&gt;1003-8507&lt;/Field&gt;&lt;Field id=&quot;Issue&quot;&gt;16&lt;/Field&gt;&lt;Field id=&quot;LIID&quot;&gt;1164&lt;/Field&gt;&lt;Field id=&quot;Magazine&quot;&gt;现代预防医学&lt;/Field&gt;&lt;Field id=&quot;MagazineAB&quot;&gt;&lt;/Field&gt;&lt;Field id=&quot;MagazineTrans&quot;&gt;&lt;/Field&gt;&lt;Field id=&quot;PageNum&quot;&gt;3022-3028+3061&lt;/Field&gt;&lt;Field id=&quot;PubDate&quot;&gt;&lt;/Field&gt;&lt;Field id=&quot;PubPlace&quot;&gt;四川省成都市&lt;/Field&gt;&lt;Field id=&quot;PubPlaceTrans&quot;&gt;&lt;/Field&gt;&lt;Field id=&quot;PubYear&quot;&gt;2024&lt;/Field&gt;&lt;Field id=&quot;Publisher&quot;&gt; 中华预防医学会中华预防医学会 四川大学华西公共卫生学院四川大学华西公共卫生学院&lt;/Field&gt;&lt;Field id=&quot;PublisherTrans&quot;&gt;&lt;/Field&gt;&lt;Field id=&quot;TITrans&quot;&gt;&lt;/Field&gt;&lt;Field id=&quot;Title&quot;&gt;扬中市40～69岁居民人体测量指标与胃癌及癌前病变的关联分析&lt;/Field&gt;&lt;Field id=&quot;Translator&quot;&gt;&lt;/Field&gt;&lt;Field id=&quot;Type&quot;&gt;{041D4F77-279E-4405-0002-4388361B9CFF}&lt;/Field&gt;&lt;Field id=&quot;Version&quot;&gt;&lt;/Field&gt;&lt;Field id=&quot;Vol&quot;&gt;51&lt;/Field&gt;&lt;Field id=&quot;Factor&quot;/&gt;&lt;Field id=&quot;Author2&quot;&gt;印红军,;冯祥,;华召来,;&lt;/Field&gt;&lt;/Data&gt;&lt;Ref&gt;&lt;Display&gt;&lt;Text StringText=&quot;「RefIndex」&quot; StringTextOri=&quot;「RefIndex」&quot; SuperScript=&quot;true&quot;/&gt;&lt;/Display&gt;&lt;/Ref&gt;&lt;Doc&gt;&lt;Display&gt;&lt;Text StringText=&quot;印红军, 冯祥, 华召来, 等.&quot; StringGroup=&quot;Author&quot;/&gt;_x000d__x000a_   &lt;Text StringText=&quot; &quot; StringGroup=&quot;Author&quot;/&gt;_x000d__x000a_   &lt;Text StringText=&quot;扬中市40～69岁居民人体测量指标与胃癌及癌前病变的关联分析&quot; StringGroup=&quot;Title&quot;/&gt;_x000d__x000a_   &lt;Text StringText=&quot;[J]. &quot; StringGroup=&quot;Title&quot;/&gt;_x000d__x000a_   &lt;Text StringText=&quot;现代预防医学&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51&quot; StringGroup=&quot;Vol&quot;/&gt;_x000d__x000a_   &lt;Text StringText=&quot;(&quot; StringGroup=&quot;Issue&quot;/&gt;_x000d__x000a_   &lt;Text StringText=&quot;16&quot; StringGroup=&quot;Issue&quot;/&gt;_x000d__x000a_   &lt;Text StringText=&quot;)&quot; StringGroup=&quot;Issue&quot;/&gt;_x000d__x000a_   &lt;Text StringText=&quot;:&quot; StringGroup=&quot;PageNum&quot;/&gt;_x000d__x000a_   &lt;Text StringText=&quot;3022-3028+3061&quot; StringGroup=&quot;PageNum&quot;/&gt;_x000d__x000a_   &lt;Text StringText=&quot;.&quot; StringGroup=&quot;none&quot;/&gt;_x000d__x000a_  &lt;/Display&gt;&lt;/Doc&gt;&lt;/KyMRNote&gt;"/>
    <w:docVar w:name="KY.MR.DATA{8F215C65-BADE-4FD0-B26F-6DF5A5DBD711}1165" w:val="&lt;KyMRNote dbid=&quot;{8F215C65-BADE-4FD0-B26F-6DF5A5DBD711}&quot; recid=&quot;1165&quot;&gt;&lt;Data&gt;&lt;Field id=&quot;AccessNum&quot;&gt;&lt;/Field&gt;&lt;Field id=&quot;Author&quot; FirstData=&quot;0&quot; FirstStyle=&quot;262144&quot; OtherStyle=&quot;0&quot;&gt;崔树青;马超;李佳兴;李云鹏;王泽;田菲;纪虹;葛新宇;吴寿岭;马向明&lt;/Field&gt;&lt;Field id=&quot;AuthorTrans&quot;&gt;&lt;/Field&gt;&lt;Field id=&quot;DOI&quot;&gt;&lt;/Field&gt;&lt;Field id=&quot;Editor&quot;&gt;&lt;/Field&gt;&lt;Field id=&quot;FmtTitle&quot;&gt;&lt;/Field&gt;&lt;Field id=&quot;FullAuthor&quot;&gt;&lt;/Field&gt;&lt;Field id=&quot;ISSN&quot;&gt;1001-5256&lt;/Field&gt;&lt;Field id=&quot;Issue&quot;&gt;07&lt;/Field&gt;&lt;Field id=&quot;LIID&quot;&gt;1165&lt;/Field&gt;&lt;Field id=&quot;Magazine&quot;&gt;临床肝胆病杂志&lt;/Field&gt;&lt;Field id=&quot;MagazineAB&quot;&gt;&lt;/Field&gt;&lt;Field id=&quot;MagazineTrans&quot;&gt;&lt;/Field&gt;&lt;Field id=&quot;PageNum&quot;&gt;1380-1387&lt;/Field&gt;&lt;Field id=&quot;PubDate&quot;&gt;&lt;/Field&gt;&lt;Field id=&quot;PubPlace&quot;&gt;吉林省长春市&lt;/Field&gt;&lt;Field id=&quot;PubPlaceTrans&quot;&gt;&lt;/Field&gt;&lt;Field id=&quot;PubYear&quot;&gt;2025&lt;/Field&gt;&lt;Field id=&quot;Publisher&quot;&gt; 吉林大学 &lt;/Field&gt;&lt;Field id=&quot;PublisherTrans&quot;&gt;&lt;/Field&gt;&lt;Field id=&quot;TITrans&quot;&gt;&lt;/Field&gt;&lt;Field id=&quot;Title&quot;&gt;中国内脏脂肪指数联合高敏C反应蛋白与消化系统恶性肿瘤发病风险的关联性分析&lt;/Field&gt;&lt;Field id=&quot;Translator&quot;&gt;&lt;/Field&gt;&lt;Field id=&quot;Type&quot;&gt;{041D4F77-279E-4405-0002-4388361B9CFF}&lt;/Field&gt;&lt;Field id=&quot;Version&quot;&gt;&lt;/Field&gt;&lt;Field id=&quot;Vol&quot;&gt;41&lt;/Field&gt;&lt;Field id=&quot;Factor&quot;/&gt;&lt;Field id=&quot;Author2&quot;&gt;崔树青,;马超,;李佳兴,;&lt;/Field&gt;&lt;/Data&gt;&lt;Ref&gt;&lt;Display&gt;&lt;Text StringText=&quot;「RefIndex」&quot; StringTextOri=&quot;「RefIndex」&quot; SuperScript=&quot;true&quot;/&gt;&lt;/Display&gt;&lt;/Ref&gt;&lt;Doc&gt;&lt;Display&gt;&lt;Text StringText=&quot;崔树青, 马超, 李佳兴, 等.&quot; StringGroup=&quot;Author&quot;/&gt;_x000d__x000a_   &lt;Text StringText=&quot; &quot; StringGroup=&quot;Author&quot;/&gt;_x000d__x000a_   &lt;Text StringText=&quot;中国内脏脂肪指数联合高敏C反应蛋白与消化系统恶性肿瘤发病风险的关联性分析&quot; StringGroup=&quot;Title&quot;/&gt;_x000d__x000a_   &lt;Text StringText=&quot;[J]. &quot; StringGroup=&quot;Title&quot;/&gt;_x000d__x000a_   &lt;Text StringText=&quot;临床肝胆病杂志&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41&quot; StringGroup=&quot;Vol&quot;/&gt;_x000d__x000a_   &lt;Text StringText=&quot;(&quot; StringGroup=&quot;Issue&quot;/&gt;_x000d__x000a_   &lt;Text StringText=&quot;07&quot; StringGroup=&quot;Issue&quot;/&gt;_x000d__x000a_   &lt;Text StringText=&quot;)&quot; StringGroup=&quot;Issue&quot;/&gt;_x000d__x000a_   &lt;Text StringText=&quot;:&quot; StringGroup=&quot;PageNum&quot;/&gt;_x000d__x000a_   &lt;Text StringText=&quot;1380-1387&quot; StringGroup=&quot;PageNum&quot;/&gt;_x000d__x000a_   &lt;Text StringText=&quot;.&quot; StringGroup=&quot;none&quot;/&gt;_x000d__x000a_  &lt;/Display&gt;&lt;/Doc&gt;&lt;/KyMRNote&gt;"/>
    <w:docVar w:name="KY.MR.DATA{8F215C65-BADE-4FD0-B26F-6DF5A5DBD711}1167" w:val="&lt;KyMRNote dbid=&quot;{8F215C65-BADE-4FD0-B26F-6DF5A5DBD711}&quot; recid=&quot;1167&quot;&gt;&lt;Data&gt;&lt;Field id=&quot;AccessNum&quot;&gt;30948615&lt;/Field&gt;&lt;Field id=&quot;Author&quot; FirstData=&quot;0&quot; FirstStyle=&quot;589824&quot; OtherStyle=&quot;0&quot;&gt;Chen R;Ma S;Guan C;Song G;Ma Q;Xie S;Wang M;Shao D;Li X;Wei W;&lt;/Field&gt;&lt;Field id=&quot;AuthorTrans&quot;&gt;&lt;/Field&gt;&lt;Field id=&quot;DOI&quot;&gt;10.1136/bmjopen-2018-027360&lt;/Field&gt;&lt;Field id=&quot;Editor&quot;&gt;&lt;/Field&gt;&lt;Field id=&quot;FmtTitle&quot;&gt;&lt;/Field&gt;&lt;Field id=&quot;FullAuthor&quot;&gt;Chen, Ru;Ma, Shanrui;Guan, Chentao;Song, Guohui;Ma, Qing;Xie, Shuanghua;Wang, Meng;Shao, Dantong;Li, Xinqing;Wei, Wenqiang;&lt;/Field&gt;&lt;Field id=&quot;ISSN&quot;&gt;2044-6055&lt;/Field&gt;&lt;Field id=&quot;Issue&quot;&gt;4&lt;/Field&gt;&lt;Field id=&quot;LIID&quot;&gt;1167&lt;/Field&gt;&lt;Field id=&quot;Magazine&quot;&gt;BMJ open&lt;/Field&gt;&lt;Field id=&quot;MagazineAB&quot;&gt;BMJ Open&lt;/Field&gt;&lt;Field id=&quot;MagazineTrans&quot;&gt;&lt;/Field&gt;&lt;Field id=&quot;PageNum&quot;&gt;e027360&lt;/Field&gt;&lt;Field id=&quot;PubDate&quot;&gt;Apr 3&lt;/Field&gt;&lt;Field id=&quot;PubPlace&quot;&gt;England&lt;/Field&gt;&lt;Field id=&quot;PubPlaceTrans&quot;&gt;&lt;/Field&gt;&lt;Field id=&quot;PubYear&quot;&gt;2019&lt;/Field&gt;&lt;Field id=&quot;Publisher&quot;&gt;BMJ Publishing Group&lt;/Field&gt;&lt;Field id=&quot;PublisherTrans&quot;&gt;&lt;/Field&gt;&lt;Field id=&quot;TITrans&quot;&gt;&lt;/Field&gt;&lt;Field id=&quot;Title&quot;&gt;The National Cohort of Esophageal Cancer-Prospective Cohort Study of Esophageal Cancer and Precancerous Lesions based on High-Risk Population in China (NCEC-HRP): study protocol&lt;/Field&gt;&lt;Field id=&quot;Translator&quot;&gt;&lt;/Field&gt;&lt;Field id=&quot;Type&quot;&gt;{041D4F77-279E-4405-0002-4388361B9CFF}&lt;/Field&gt;&lt;Field id=&quot;Version&quot;&gt;&lt;/Field&gt;&lt;Field id=&quot;Vol&quot;&gt;9&lt;/Field&gt;&lt;Field id=&quot;Factor&quot;&gt;2.9&lt;/Field&gt;&lt;Field id=&quot;Author2&quot;&gt;Chen,Ru;Ma,Shanrui;Guan,Chentao;&lt;/Field&gt;&lt;/Data&gt;&lt;Ref&gt;&lt;Display&gt;&lt;Text StringText=&quot;「RefIndex」&quot; StringTextOri=&quot;「RefIndex」&quot; SuperScript=&quot;true&quot;/&gt;&lt;/Display&gt;&lt;/Ref&gt;&lt;Doc&gt;&lt;Display&gt;&lt;Text StringText=&quot;Chen, Ru, Ma, Shanrui, Guan, Chentao, et al&quot; StringGroup=&quot;Author&quot;/&gt;_x000d__x000a_   &lt;Text StringText=&quot;. &quot; StringGroup=&quot;Author&quot;/&gt;_x000d__x000a_   &lt;Text StringText=&quot;The National Cohort of Esophageal Cancer-Prospective Cohort Study of Esophageal Cancer and Precancerous Lesions based on High-Risk Population in China (NCEC-HRP): study protocol&quot; StringGroup=&quot;Title&quot;/&gt;_x000d__x000a_   &lt;Text StringText=&quot;[J]. &quot; StringGroup=&quot;Title&quot;/&gt;_x000d__x000a_   &lt;Text StringText=&quot;BMJ Open&quot; StringGroup=&quot;Magazine&quot;/&gt;_x000d__x000a_   &lt;Text StringText=&quot;, &quot; StringGroup=&quot;Magazine&quot;/&gt;_x000d__x000a_   &lt;Text StringText=&quot;2019&quot; StringGroup=&quot;PubYear&quot;/&gt;_x000d__x000a_   &lt;Text StringText=&quot;,&quot; StringGroup=&quot;PubYear&quot;/&gt;_x000d__x000a_   &lt;Text StringText=&quot;9&quot; StringGroup=&quot;Vol&quot;/&gt;_x000d__x000a_   &lt;Text StringText=&quot;(&quot; StringGroup=&quot;Issue&quot;/&gt;_x000d__x000a_   &lt;Text StringText=&quot;4&quot; StringGroup=&quot;Issue&quot;/&gt;_x000d__x000a_   &lt;Text StringText=&quot;)&quot; StringGroup=&quot;Issue&quot;/&gt;_x000d__x000a_   &lt;Text StringText=&quot;:&quot; StringGroup=&quot;PageNum&quot;/&gt;_x000d__x000a_   &lt;Text StringText=&quot;e027360&quot; StringGroup=&quot;PageNum&quot;/&gt;_x000d__x000a_   &lt;Text StringText=&quot;.&quot; StringGroup=&quot;none&quot;/&gt;_x000d__x000a_  &lt;/Display&gt;&lt;/Doc&gt;&lt;/KyMRNote&gt;"/>
    <w:docVar w:name="KY.MR.DATA{8F215C65-BADE-4FD0-B26F-6DF5A5DBD711}1168" w:val="&lt;KyMRNote dbid=&quot;{8F215C65-BADE-4FD0-B26F-6DF5A5DBD711}&quot; recid=&quot;1168&quot;&gt;&lt;Data&gt;&lt;Field id=&quot;AccessNum&quot;&gt;33827830&lt;/Field&gt;&lt;Field id=&quot;Author&quot; FirstData=&quot;0&quot; FirstStyle=&quot;786432&quot; OtherStyle=&quot;0&quot;&gt;Feng X;Hua ZL;Zhou Q;Shi AW;Song TQ;Qian DF;Chen R;Wang GQ;Wei WQ;Zhou JY;Wang JJ;Shao G;Wang X;&lt;/Field&gt;&lt;Field id=&quot;AuthorTrans&quot;&gt;&lt;/Field&gt;&lt;Field id=&quot;DOI&quot;&gt;10.1136/bmjopen-2020-042006&lt;/Field&gt;&lt;Field id=&quot;Editor&quot;&gt;&lt;/Field&gt;&lt;Field id=&quot;FmtTitle&quot;&gt;&lt;/Field&gt;&lt;Field id=&quot;FullAuthor&quot;&gt;Feng, Xiang;Hua, Zhao-Lai;Zhou, Qin;Shi, Ai-Wu;Song, Tong-Qiu;Qian, Dong-Fu;Chen, Ru;Wang, Gui-Qi;Wei, Wen-Qiang;Zhou, Jin-Yi;Wang, Jie-Jun;Shao, Gang;Wang, Xi;&lt;/Field&gt;&lt;Field id=&quot;ISSN&quot;&gt;2044-6055&lt;/Field&gt;&lt;Field id=&quot;Issue&quot;&gt;4&lt;/Field&gt;&lt;Field id=&quot;LIID&quot;&gt;1168&lt;/Field&gt;&lt;Field id=&quot;Magazine&quot;&gt;BMJ open&lt;/Field&gt;&lt;Field id=&quot;MagazineAB&quot;&gt;BMJ Open&lt;/Field&gt;&lt;Field id=&quot;MagazineTrans&quot;&gt;&lt;/Field&gt;&lt;Field id=&quot;PageNum&quot;&gt;e042006&lt;/Field&gt;&lt;Field id=&quot;PubDate&quot;&gt;Apr 7&lt;/Field&gt;&lt;Field id=&quot;PubPlace&quot;&gt;England&lt;/Field&gt;&lt;Field id=&quot;PubPlaceTrans&quot;&gt;&lt;/Field&gt;&lt;Field id=&quot;PubYear&quot;&gt;2021&lt;/Field&gt;&lt;Field id=&quot;Publisher&quot;&gt;BMJ Publishing Group&lt;/Field&gt;&lt;Field id=&quot;PublisherTrans&quot;&gt;&lt;/Field&gt;&lt;Field id=&quot;TITrans&quot;&gt;&lt;/Field&gt;&lt;Field id=&quot;Title&quot;&gt;Prevalence and coprevalence of modifiable risk factors for upper digestive tract cancer among residents aged 40-69 years in Yangzhong city, China: a cross-sectional study&lt;/Field&gt;&lt;Field id=&quot;Translator&quot;&gt;&lt;/Field&gt;&lt;Field id=&quot;Type&quot;&gt;{041D4F77-279E-4405-0002-4388361B9CFF}&lt;/Field&gt;&lt;Field id=&quot;Version&quot;&gt;&lt;/Field&gt;&lt;Field id=&quot;Vol&quot;&gt;11&lt;/Field&gt;&lt;Field id=&quot;Factor&quot;&gt;2.9&lt;/Field&gt;&lt;Field id=&quot;Author2&quot;&gt;Feng,Xiang;Hua,Zhao-Lai;Zhou,Qin;&lt;/Field&gt;&lt;/Data&gt;&lt;Ref&gt;&lt;Display&gt;&lt;Text StringText=&quot;「RefIndex」&quot; StringTextOri=&quot;「RefIndex」&quot; SuperScript=&quot;true&quot;/&gt;&lt;/Display&gt;&lt;/Ref&gt;&lt;Doc&gt;&lt;Display&gt;&lt;Text StringText=&quot;Feng, Xiang, Hua, Zhao-Lai, Zhou, Qin, et al&quot; StringGroup=&quot;Author&quot;/&gt;_x000d__x000a_   &lt;Text StringText=&quot;. &quot; StringGroup=&quot;Author&quot;/&gt;_x000d__x000a_   &lt;Text StringText=&quot;Prevalence and coprevalence of modifiable risk factors for upper digestive tract cancer among residents aged 40-69 years in Yangzhong city, China: a cross-sectional study&quot; StringGroup=&quot;Title&quot;/&gt;_x000d__x000a_   &lt;Text StringText=&quot;[J]. &quot; StringGroup=&quot;Title&quot;/&gt;_x000d__x000a_   &lt;Text StringText=&quot;BMJ Open&quot; StringGroup=&quot;Magazine&quot;/&gt;_x000d__x000a_   &lt;Text StringText=&quot;, &quot; StringGroup=&quot;Magazine&quot;/&gt;_x000d__x000a_   &lt;Text StringText=&quot;2021&quot; StringGroup=&quot;PubYear&quot;/&gt;_x000d__x000a_   &lt;Text StringText=&quot;,&quot; StringGroup=&quot;PubYear&quot;/&gt;_x000d__x000a_   &lt;Text StringText=&quot;11&quot; StringGroup=&quot;Vol&quot;/&gt;_x000d__x000a_   &lt;Text StringText=&quot;(&quot; StringGroup=&quot;Issue&quot;/&gt;_x000d__x000a_   &lt;Text StringText=&quot;4&quot; StringGroup=&quot;Issue&quot;/&gt;_x000d__x000a_   &lt;Text StringText=&quot;)&quot; StringGroup=&quot;Issue&quot;/&gt;_x000d__x000a_   &lt;Text StringText=&quot;:&quot; StringGroup=&quot;PageNum&quot;/&gt;_x000d__x000a_   &lt;Text StringText=&quot;e042006&quot; StringGroup=&quot;PageNum&quot;/&gt;_x000d__x000a_   &lt;Text StringText=&quot;.&quot; StringGroup=&quot;none&quot;/&gt;_x000d__x000a_  &lt;/Display&gt;&lt;/Doc&gt;&lt;/KyMRNote&gt;"/>
    <w:docVar w:name="KY.MR.DATA{8F215C65-BADE-4FD0-B26F-6DF5A5DBD711}1169" w:val="&lt;KyMRNote dbid=&quot;{8F215C65-BADE-4FD0-B26F-6DF5A5DBD711}&quot; recid=&quot;1169&quot;&gt;&lt;Data&gt;&lt;Field id=&quot;AccessNum&quot;&gt;40730401&lt;/Field&gt;&lt;Field id=&quot;Author&quot; FirstData=&quot;0&quot; FirstStyle=&quot;786432&quot; OtherStyle=&quot;0&quot;&gt;Feng X;Zhu J;Hua Z;Dai C;Tong H;Yang B;&lt;/Field&gt;&lt;Field id=&quot;AuthorTrans&quot;&gt;&lt;/Field&gt;&lt;Field id=&quot;DOI&quot;&gt;10.1136/bmjopen-2024-087639&lt;/Field&gt;&lt;Field id=&quot;Editor&quot;&gt;&lt;/Field&gt;&lt;Field id=&quot;FmtTitle&quot;&gt;&lt;/Field&gt;&lt;Field id=&quot;FullAuthor&quot;&gt;Feng, Xiang;Zhu, Jinhua;Hua, Zhaolai;Dai, Chun;Tong, Haiyuan;Yang, Bin;&lt;/Field&gt;&lt;Field id=&quot;ISSN&quot;&gt;2044-6055&lt;/Field&gt;&lt;Field id=&quot;Issue&quot;&gt;7&lt;/Field&gt;&lt;Field id=&quot;LIID&quot;&gt;1169&lt;/Field&gt;&lt;Field id=&quot;Magazine&quot;&gt;BMJ open&lt;/Field&gt;&lt;Field id=&quot;MagazineAB&quot;&gt;BMJ Open&lt;/Field&gt;&lt;Field id=&quot;MagazineTrans&quot;&gt;&lt;/Field&gt;&lt;Field id=&quot;PageNum&quot;&gt;e087639&lt;/Field&gt;&lt;Field id=&quot;PubDate&quot;&gt;Jul 28&lt;/Field&gt;&lt;Field id=&quot;PubPlace&quot;&gt;England&lt;/Field&gt;&lt;Field id=&quot;PubPlaceTrans&quot;&gt;&lt;/Field&gt;&lt;Field id=&quot;PubYear&quot;&gt;2025&lt;/Field&gt;&lt;Field id=&quot;Publisher&quot;&gt;BMJ Publishing Group&lt;/Field&gt;&lt;Field id=&quot;PublisherTrans&quot;&gt;&lt;/Field&gt;&lt;Field id=&quot;TITrans&quot;&gt;中国高危人群 40-69 岁人群人体测量指标与食管鳞癌和癌前病变的关系:一项基于人群的研究&lt;/Field&gt;&lt;Field id=&quot;Title&quot;&gt;Association of anthropometric indicators with oesophageal squamous carcinoma and precancerous lesions in people aged 40-69 years from high-risk setting in China: a population-based study&lt;/Field&gt;&lt;Field id=&quot;Translator&quot;&gt;&lt;/Field&gt;&lt;Field id=&quot;Type&quot;&gt;{041D4F77-279E-4405-0002-4388361B9CFF}&lt;/Field&gt;&lt;Field id=&quot;Version&quot;&gt;&lt;/Field&gt;&lt;Field id=&quot;Vol&quot;&gt;15&lt;/Field&gt;&lt;Field id=&quot;Factor&quot;&gt;2.9&lt;/Field&gt;&lt;Field id=&quot;Author2&quot;&gt;Feng,Xiang;Zhu,Jinhua;Hua,Zhaolai;&lt;/Field&gt;&lt;/Data&gt;&lt;Ref&gt;&lt;Display&gt;&lt;Text StringText=&quot;「RefIndex」&quot; StringTextOri=&quot;「RefIndex」&quot; SuperScript=&quot;true&quot;/&gt;&lt;/Display&gt;&lt;/Ref&gt;&lt;Doc&gt;&lt;Display&gt;&lt;Text StringText=&quot;Feng, Xiang, Zhu, Jinhua, Hua, Zhaolai, et al&quot; StringGroup=&quot;Author&quot;/&gt;_x000d__x000a_   &lt;Text StringText=&quot;. &quot; StringGroup=&quot;Author&quot;/&gt;_x000d__x000a_   &lt;Text StringText=&quot;Association of anthropometric indicators with oesophageal squamous carcinoma and precancerous lesions in people aged 40-69 years from high-risk setting in China: a population-based study&quot; StringGroup=&quot;Title&quot;/&gt;_x000d__x000a_   &lt;Text StringText=&quot;[J]. &quot; StringGroup=&quot;Title&quot;/&gt;_x000d__x000a_   &lt;Text StringText=&quot;BMJ Open&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15&quot; StringGroup=&quot;Vol&quot;/&gt;_x000d__x000a_   &lt;Text StringText=&quot;(&quot; StringGroup=&quot;Issue&quot;/&gt;_x000d__x000a_   &lt;Text StringText=&quot;7&quot; StringGroup=&quot;Issue&quot;/&gt;_x000d__x000a_   &lt;Text StringText=&quot;)&quot; StringGroup=&quot;Issue&quot;/&gt;_x000d__x000a_   &lt;Text StringText=&quot;:&quot; StringGroup=&quot;PageNum&quot;/&gt;_x000d__x000a_   &lt;Text StringText=&quot;e087639&quot; StringGroup=&quot;PageNum&quot;/&gt;_x000d__x000a_   &lt;Text StringText=&quot;.&quot; StringGroup=&quot;none&quot;/&gt;_x000d__x000a_  &lt;/Display&gt;&lt;/Doc&gt;&lt;/KyMRNote&gt;"/>
    <w:docVar w:name="KY.MR.DATA{8F215C65-BADE-4FD0-B26F-6DF5A5DBD711}1170" w:val="&lt;KyMRNote dbid=&quot;{8F215C65-BADE-4FD0-B26F-6DF5A5DBD711}&quot; recid=&quot;1170&quot;&gt;&lt;Data&gt;&lt;Field id=&quot;AccessNum&quot;&gt;39251694&lt;/Field&gt;&lt;Field id=&quot;Author&quot; FirstData=&quot;0&quot; FirstStyle=&quot;786432&quot; OtherStyle=&quot;0&quot;&gt;Feng X;Zhu J;Hua Z;Yao S;Tong H;&lt;/Field&gt;&lt;Field id=&quot;AuthorTrans&quot;&gt;&lt;/Field&gt;&lt;Field id=&quot;DOI&quot;&gt;10.1038/s41598-024-71914-1&lt;/Field&gt;&lt;Field id=&quot;Editor&quot;&gt;&lt;/Field&gt;&lt;Field id=&quot;FmtTitle&quot;&gt;&lt;/Field&gt;&lt;Field id=&quot;FullAuthor&quot;&gt;Feng, Xiang;Zhu, Jinhua;Hua, Zhaolai;Yao, Shenghua;Tong, Haiyuan;&lt;/Field&gt;&lt;Field id=&quot;ISSN&quot;&gt;2045-2322&lt;/Field&gt;&lt;Field id=&quot;Issue&quot;&gt;1&lt;/Field&gt;&lt;Field id=&quot;LIID&quot;&gt;1170&lt;/Field&gt;&lt;Field id=&quot;Magazine&quot;&gt;Scientific reports&lt;/Field&gt;&lt;Field id=&quot;MagazineAB&quot;&gt;Sci Rep&lt;/Field&gt;&lt;Field id=&quot;MagazineTrans&quot;&gt;&lt;/Field&gt;&lt;Field id=&quot;PageNum&quot;&gt;20942&lt;/Field&gt;&lt;Field id=&quot;PubDate&quot;&gt;Sep 9&lt;/Field&gt;&lt;Field id=&quot;PubPlace&quot;&gt;England&lt;/Field&gt;&lt;Field id=&quot;PubPlaceTrans&quot;&gt;&lt;/Field&gt;&lt;Field id=&quot;PubYear&quot;&gt;2024&lt;/Field&gt;&lt;Field id=&quot;Publisher&quot;&gt;Springer Nature&lt;/Field&gt;&lt;Field id=&quot;PublisherTrans&quot;&gt;&lt;/Field&gt;&lt;Field id=&quot;TITrans&quot;&gt;&lt;/Field&gt;&lt;Field id=&quot;Title&quot;&gt;Comparison of obesity indicators for predicting cardiovascular risk factors and multimorbidity among the Chinese population based on ROC analysis&lt;/Field&gt;&lt;Field id=&quot;Translator&quot;&gt;&lt;/Field&gt;&lt;Field id=&quot;Type&quot;&gt;{041D4F77-279E-4405-0002-4388361B9CFF}&lt;/Field&gt;&lt;Field id=&quot;Version&quot;&gt;&lt;/Field&gt;&lt;Field id=&quot;Vol&quot;&gt;14&lt;/Field&gt;&lt;Field id=&quot;Factor&quot;&gt;4.6&lt;/Field&gt;&lt;Field id=&quot;Author2&quot;&gt;Feng,Xiang;Zhu,Jinhua;Hua,Zhaolai;&lt;/Field&gt;&lt;/Data&gt;&lt;Ref&gt;&lt;Display&gt;&lt;Text StringText=&quot;「RefIndex」&quot; StringTextOri=&quot;「RefIndex」&quot; SuperScript=&quot;true&quot;/&gt;&lt;/Display&gt;&lt;/Ref&gt;&lt;Doc&gt;&lt;Display&gt;&lt;Text StringText=&quot;Feng, Xiang, Zhu, Jinhua, Hua, Zhaolai, et al&quot; StringGroup=&quot;Author&quot;/&gt;_x000d__x000a_   &lt;Text StringText=&quot;. &quot; StringGroup=&quot;Author&quot;/&gt;_x000d__x000a_   &lt;Text StringText=&quot;Comparison of obesity indicators for predicting cardiovascular risk factors and multimorbidity among the Chinese population based on ROC analysis&quot; StringGroup=&quot;Title&quot;/&gt;_x000d__x000a_   &lt;Text StringText=&quot;[J]. &quot; StringGroup=&quot;Title&quot;/&gt;_x000d__x000a_   &lt;Text StringText=&quot;Sci Rep&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14&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20942&quot; StringGroup=&quot;PageNum&quot;/&gt;_x000d__x000a_   &lt;Text StringText=&quot;.&quot; StringGroup=&quot;none&quot;/&gt;_x000d__x000a_  &lt;/Display&gt;&lt;/Doc&gt;&lt;/KyMRNote&gt;"/>
    <w:docVar w:name="KY.MR.DATA{8F215C65-BADE-4FD0-B26F-6DF5A5DBD711}1173" w:val="&lt;KyMRNote dbid=&quot;{8F215C65-BADE-4FD0-B26F-6DF5A5DBD711}&quot; recid=&quot;1173&quot;&gt;&lt;Data&gt;&lt;Field id=&quot;AccessNum&quot;&gt;39799375&lt;/Field&gt;&lt;Field id=&quot;Author&quot; FirstData=&quot;0&quot; FirstStyle=&quot;524288&quot; OtherStyle=&quot;0&quot;&gt;Sun X;Song J;Yan R;Diao J;Liu Y;Zhu Z;Lu W;&lt;/Field&gt;&lt;Field id=&quot;AuthorTrans&quot;&gt;&lt;/Field&gt;&lt;Field id=&quot;DOI&quot;&gt;10.1186/s12944-025-02432-w&lt;/Field&gt;&lt;Field id=&quot;Editor&quot;&gt;&lt;/Field&gt;&lt;Field id=&quot;FmtTitle&quot;&gt;&lt;/Field&gt;&lt;Field id=&quot;FullAuthor&quot;&gt;Sun, Xu;Song, Jimei;Yan, Rixun;Diao, Jianwei;Liu, Yibo;Zhu, Zhangzhi;Lu, Weichi;&lt;/Field&gt;&lt;Field id=&quot;ISSN&quot;&gt;1476-511X&lt;/Field&gt;&lt;Field id=&quot;Issue&quot;&gt;1&lt;/Field&gt;&lt;Field id=&quot;LIID&quot;&gt;1173&lt;/Field&gt;&lt;Field id=&quot;Magazine&quot;&gt;Lipids in health and disease&lt;/Field&gt;&lt;Field id=&quot;MagazineAB&quot;&gt;Lipids Health Dis&lt;/Field&gt;&lt;Field id=&quot;MagazineTrans&quot;&gt;&lt;/Field&gt;&lt;Field id=&quot;PageNum&quot;&gt;10&lt;/Field&gt;&lt;Field id=&quot;PubDate&quot;&gt;Jan 11&lt;/Field&gt;&lt;Field id=&quot;PubPlace&quot;&gt;England&lt;/Field&gt;&lt;Field id=&quot;PubPlaceTrans&quot;&gt;&lt;/Field&gt;&lt;Field id=&quot;PubYear&quot;&gt;2025&lt;/Field&gt;&lt;Field id=&quot;Publisher&quot;&gt;BioMed Central&lt;/Field&gt;&lt;Field id=&quot;PublisherTrans&quot;&gt;&lt;/Field&gt;&lt;Field id=&quot;TITrans&quot;&gt;&lt;/Field&gt;&lt;Field id=&quot;Title&quot;&gt;The association between lipid-related obesity indicators and severe headache or migraine: a nationwide cross sectional study from NHANES 1999 to 2004&lt;/Field&gt;&lt;Field id=&quot;Translator&quot;&gt;&lt;/Field&gt;&lt;Field id=&quot;Type&quot;&gt;{041D4F77-279E-4405-0002-4388361B9CFF}&lt;/Field&gt;&lt;Field id=&quot;Version&quot;&gt;&lt;/Field&gt;&lt;Field id=&quot;Vol&quot;&gt;24&lt;/Field&gt;&lt;Field id=&quot;Factor&quot;&gt;4.5&lt;/Field&gt;&lt;Field id=&quot;Author2&quot;&gt;Sun,Xu;Song,Jimei;Yan,Rixun;&lt;/Field&gt;&lt;/Data&gt;&lt;Ref&gt;&lt;Display&gt;&lt;Text StringText=&quot;「RefIndex」&quot; StringTextOri=&quot;「RefIndex」&quot; SuperScript=&quot;true&quot;/&gt;&lt;/Display&gt;&lt;/Ref&gt;&lt;Doc&gt;&lt;Display&gt;&lt;Text StringText=&quot;Sun, Xu, Song, Jimei, Yan, Rixun, et al&quot; StringGroup=&quot;Author&quot;/&gt;_x000d__x000a_   &lt;Text StringText=&quot;. &quot; StringGroup=&quot;Author&quot;/&gt;_x000d__x000a_   &lt;Text StringText=&quot;The association between lipid-related obesity indicators and severe headache or migraine: a nationwide cross sectional study from NHANES 1999 to 2004&quot; StringGroup=&quot;Title&quot;/&gt;_x000d__x000a_   &lt;Text StringText=&quot;[J]. &quot; StringGroup=&quot;Title&quot;/&gt;_x000d__x000a_   &lt;Text StringText=&quot;Lipids Health Dis&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24&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10&quot; StringGroup=&quot;PageNum&quot;/&gt;_x000d__x000a_   &lt;Text StringText=&quot;.&quot; StringGroup=&quot;none&quot;/&gt;_x000d__x000a_  &lt;/Display&gt;&lt;/Doc&gt;&lt;/KyMRNote&gt;"/>
    <w:docVar w:name="KY.MR.DATA{8F215C65-BADE-4FD0-B26F-6DF5A5DBD711}1175" w:val="&lt;KyMRNote dbid=&quot;{8F215C65-BADE-4FD0-B26F-6DF5A5DBD711}&quot; recid=&quot;1175&quot;&gt;&lt;Data&gt;&lt;Field id=&quot;AccessNum&quot;&gt;30700447&lt;/Field&gt;&lt;Field id=&quot;Author&quot; FirstData=&quot;0&quot; FirstStyle=&quot;917504&quot; OtherStyle=&quot;0&quot;&gt;Kyungeun Kim;Yoosoo Chang;Jiin Ahn;Hyo-Joon Yang;Ju Young Jung;Seokkyun Kim;Chong Il Sohn;Seungho Ryu&lt;/Field&gt;&lt;Field id=&quot;AuthorTrans&quot;&gt;&lt;/Field&gt;&lt;Field id=&quot;DOI&quot;&gt;10.1158/1055-9965.EPI-18-0733&lt;/Field&gt;&lt;Field id=&quot;Editor&quot;&gt;&lt;/Field&gt;&lt;Field id=&quot;FmtTitle&quot;&gt;&lt;/Field&gt;&lt;Field id=&quot;FullAuthor&quot;&gt;&lt;/Field&gt;&lt;Field id=&quot;ISSN&quot;&gt;&lt;/Field&gt;&lt;Field id=&quot;Issue&quot;&gt;4&lt;/Field&gt;&lt;Field id=&quot;LIID&quot;&gt;1175&lt;/Field&gt;&lt;Field id=&quot;Magazine&quot;&gt;Cancer epidemiology, biomarkers &amp;amp; prevention : a publication of the American Association for Cancer Research, cosponsored by the American Society of Preventive Oncology&lt;/Field&gt;&lt;Field id=&quot;MagazineAB&quot;&gt;Cancer Epidemiol Biomarkers Prev&lt;/Field&gt;&lt;Field id=&quot;MagazineTrans&quot;&gt;&lt;/Field&gt;&lt;Field id=&quot;PageNum&quot;&gt;789-797&lt;/Field&gt;&lt;Field id=&quot;PubDate&quot;&gt;&lt;/Field&gt;&lt;Field id=&quot;PubPlace&quot;&gt;Philadelphia, PA &lt;/Field&gt;&lt;Field id=&quot;PubPlaceTrans&quot;&gt;&lt;/Field&gt;&lt;Field id=&quot;PubYear&quot;&gt;2019&lt;/Field&gt;&lt;Field id=&quot;Publisher&quot;&gt;American Association for Cancer Research Inc.&lt;/Field&gt;&lt;Field id=&quot;PublisherTrans&quot;&gt;&lt;/Field&gt;&lt;Field id=&quot;TITrans&quot;&gt;&lt;/Field&gt;&lt;Field id=&quot;Title&quot;&gt;Body Mass Index and Risk of Intestinal Metaplasia: A Cohort Study&lt;/Field&gt;&lt;Field id=&quot;Translator&quot;&gt;&lt;/Field&gt;&lt;Field id=&quot;Type&quot;&gt;{041D4F77-279E-4405-0002-4388361B9CFF}&lt;/Field&gt;&lt;Field id=&quot;Version&quot;&gt;&lt;/Field&gt;&lt;Field id=&quot;Vol&quot;&gt;28&lt;/Field&gt;&lt;Field id=&quot;Factor&quot;&gt;3.8&lt;/Field&gt;&lt;Field id=&quot;Author2&quot;&gt;Kim,Kyungeun;Chang,Yoosoo;Ahn,Jiin;&lt;/Field&gt;&lt;/Data&gt;&lt;Ref&gt;&lt;Display&gt;&lt;Text StringText=&quot;「RefIndex」&quot; StringTextOri=&quot;「RefIndex」&quot; SuperScript=&quot;true&quot;/&gt;&lt;/Display&gt;&lt;/Ref&gt;&lt;Doc&gt;&lt;Display&gt;&lt;Text StringText=&quot;Kim, Kyungeun, Chang, Yoosoo, Ahn, Jiin, et al&quot; StringGroup=&quot;Author&quot;/&gt;_x000d__x000a_   &lt;Text StringText=&quot;. &quot; StringGroup=&quot;Author&quot;/&gt;_x000d__x000a_   &lt;Text StringText=&quot;Body Mass Index and Risk of Intestinal Metaplasia: A Cohort Study&quot; StringGroup=&quot;Title&quot;/&gt;_x000d__x000a_   &lt;Text StringText=&quot;[J]. &quot; StringGroup=&quot;Title&quot;/&gt;_x000d__x000a_   &lt;Text StringText=&quot;Cancer Epidemiol Biomarkers Prev&quot; StringGroup=&quot;Magazine&quot;/&gt;_x000d__x000a_   &lt;Text StringText=&quot;, &quot; StringGroup=&quot;Magazine&quot;/&gt;_x000d__x000a_   &lt;Text StringText=&quot;2019&quot; StringGroup=&quot;PubYear&quot;/&gt;_x000d__x000a_   &lt;Text StringText=&quot;,&quot; StringGroup=&quot;PubYear&quot;/&gt;_x000d__x000a_   &lt;Text StringText=&quot;28&quot; StringGroup=&quot;Vol&quot;/&gt;_x000d__x000a_   &lt;Text StringText=&quot;(&quot; StringGroup=&quot;Issue&quot;/&gt;_x000d__x000a_   &lt;Text StringText=&quot;4&quot; StringGroup=&quot;Issue&quot;/&gt;_x000d__x000a_   &lt;Text StringText=&quot;)&quot; StringGroup=&quot;Issue&quot;/&gt;_x000d__x000a_   &lt;Text StringText=&quot;:&quot; StringGroup=&quot;PageNum&quot;/&gt;_x000d__x000a_   &lt;Text StringText=&quot;789-797&quot; StringGroup=&quot;PageNum&quot;/&gt;_x000d__x000a_   &lt;Text StringText=&quot;.&quot; StringGroup=&quot;none&quot;/&gt;_x000d__x000a_  &lt;/Display&gt;&lt;/Doc&gt;&lt;/KyMRNote&gt;"/>
    <w:docVar w:name="KY.MR.DATA{8F215C65-BADE-4FD0-B26F-6DF5A5DBD711}1176" w:val="&lt;KyMRNote dbid=&quot;{8F215C65-BADE-4FD0-B26F-6DF5A5DBD711}&quot; recid=&quot;1176&quot;&gt;&lt;Data&gt;&lt;Field id=&quot;AccessNum&quot;&gt;39634264&lt;/Field&gt;&lt;Field id=&quot;Author&quot; FirstData=&quot;0&quot; FirstStyle=&quot;851968&quot; OtherStyle=&quot;0&quot;&gt;Chang'e Shi;Rui Tao;Wensheng Wang;Jinzhi Tang;Zhengli Dou;Xiaoping Yuan;Guodong Xu;Huanzhong Liu;Xi Chen&lt;/Field&gt;&lt;Field id=&quot;AuthorTrans&quot;&gt;&lt;/Field&gt;&lt;Field id=&quot;DOI&quot;&gt;10.3389/fonc.2024.1419845&lt;/Field&gt;&lt;Field id=&quot;Editor&quot;&gt;&lt;/Field&gt;&lt;Field id=&quot;FmtTitle&quot;&gt;&lt;/Field&gt;&lt;Field id=&quot;FullAuthor&quot;&gt;&lt;/Field&gt;&lt;Field id=&quot;ISSN&quot;&gt;&lt;/Field&gt;&lt;Field id=&quot;Issue&quot;&gt;&lt;/Field&gt;&lt;Field id=&quot;LIID&quot;&gt;1176&lt;/Field&gt;&lt;Field id=&quot;Magazine&quot;&gt;Frontiers in oncology&lt;/Field&gt;&lt;Field id=&quot;MagazineAB&quot;&gt;Front Oncol&lt;/Field&gt;&lt;Field id=&quot;MagazineTrans&quot;&gt;&lt;/Field&gt;&lt;Field id=&quot;PageNum&quot;&gt;1419845&lt;/Field&gt;&lt;Field id=&quot;PubDate&quot;&gt;&lt;/Field&gt;&lt;Field id=&quot;PubPlace&quot;&gt;[Lausanne &lt;/Field&gt;&lt;Field id=&quot;PubPlaceTrans&quot;&gt;&lt;/Field&gt;&lt;Field id=&quot;PubYear&quot;&gt;2024&lt;/Field&gt;&lt;Field id=&quot;Publisher&quot;&gt;Frontiers Media S.A.&lt;/Field&gt;&lt;Field id=&quot;PublisherTrans&quot;&gt;&lt;/Field&gt;&lt;Field id=&quot;TITrans&quot;&gt;&lt;/Field&gt;&lt;Field id=&quot;Title&quot;&gt;Development and validation of a nomogram for obesity and related factors to detect gastric precancerous lesions in the Chinese population: a retrospective cohort study&lt;/Field&gt;&lt;Field id=&quot;Translator&quot;&gt;&lt;/Field&gt;&lt;Field id=&quot;Type&quot;&gt;{041D4F77-279E-4405-0002-4388361B9CFF}&lt;/Field&gt;&lt;Field id=&quot;Version&quot;&gt;&lt;/Field&gt;&lt;Field id=&quot;Vol&quot;&gt;14&lt;/Field&gt;&lt;Field id=&quot;Factor&quot;&gt;4.7&lt;/Field&gt;&lt;Field id=&quot;Author2&quot;&gt;Shi,Chang'e;Tao,Rui;Wang,Wensheng;&lt;/Field&gt;&lt;/Data&gt;&lt;Ref&gt;&lt;Display&gt;&lt;Text StringText=&quot;「RefIndex」&quot; StringTextOri=&quot;「RefIndex」&quot; SuperScript=&quot;true&quot;/&gt;&lt;/Display&gt;&lt;/Ref&gt;&lt;Doc&gt;&lt;Display&gt;&lt;Text StringText=&quot;Shi, Chang'e, Tao, Rui, Wang, Wensheng, et al&quot; StringGroup=&quot;Author&quot;/&gt;_x000d__x000a_   &lt;Text StringText=&quot;. &quot; StringGroup=&quot;Author&quot;/&gt;_x000d__x000a_   &lt;Text StringText=&quot;Development and validation of a nomogram for obesity and related factors to detect gastric precancerous lesions in the Chinese population: a retrospective cohort study&quot; StringGroup=&quot;Title&quot;/&gt;_x000d__x000a_   &lt;Text StringText=&quot;[J]. &quot; StringGroup=&quot;Title&quot;/&gt;_x000d__x000a_   &lt;Text StringText=&quot;Front Oncol&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14&quot; StringGroup=&quot;Vol&quot;/&gt;_x000d__x000a_   &lt;Text StringText=&quot;:&quot; StringGroup=&quot;PageNum&quot;/&gt;_x000d__x000a_   &lt;Text StringText=&quot;1419845&quot; StringGroup=&quot;PageNum&quot;/&gt;_x000d__x000a_   &lt;Text StringText=&quot;.&quot; StringGroup=&quot;none&quot;/&gt;_x000d__x000a_  &lt;/Display&gt;&lt;/Doc&gt;&lt;/KyMRNote&gt;"/>
    <w:docVar w:name="KY.MR.DATA{8F215C65-BADE-4FD0-B26F-6DF5A5DBD711}1177" w:val="&lt;KyMRNote dbid=&quot;{8F215C65-BADE-4FD0-B26F-6DF5A5DBD711}&quot; recid=&quot;1177&quot;&gt;&lt;Data&gt;&lt;Field id=&quot;AccessNum&quot;&gt;18787953&lt;/Field&gt;&lt;Field id=&quot;Author&quot; FirstData=&quot;0&quot; FirstStyle=&quot;1179648&quot; OtherStyle=&quot;0&quot;&gt;Watabe H;Mitsushima T;Derakhshan MH;Yamaji Y;Okamoto M;Kawabe T;Omata M;McColl KE;&lt;/Field&gt;&lt;Field id=&quot;AuthorTrans&quot;&gt;&lt;/Field&gt;&lt;Field id=&quot;DOI&quot;&gt;10.1007/s10620-008-0468-7&lt;/Field&gt;&lt;Field id=&quot;Editor&quot;&gt;&lt;/Field&gt;&lt;Field id=&quot;FmtTitle&quot;&gt;&lt;/Field&gt;&lt;Field id=&quot;FullAuthor&quot;&gt;Watabe, Hirotsugu;Mitsushima, Toru;Derakhshan, Mohammad H;Yamaji, Yutaka;Okamoto, Makoto;Kawabe, Takao;Omata, Masao;McColl, Kenneth E L;&lt;/Field&gt;&lt;Field id=&quot;ISSN&quot;&gt;0163-2116&lt;/Field&gt;&lt;Field id=&quot;Issue&quot;&gt;5&lt;/Field&gt;&lt;Field id=&quot;LIID&quot;&gt;1177&lt;/Field&gt;&lt;Field id=&quot;Magazine&quot;&gt;Digestive diseases and sciences&lt;/Field&gt;&lt;Field id=&quot;MagazineAB&quot;&gt;Dig Dis Sci&lt;/Field&gt;&lt;Field id=&quot;MagazineTrans&quot;&gt;&lt;/Field&gt;&lt;Field id=&quot;PageNum&quot;&gt;988-95&lt;/Field&gt;&lt;Field id=&quot;PubDate&quot;&gt;May&lt;/Field&gt;&lt;Field id=&quot;PubPlace&quot;&gt;United States&lt;/Field&gt;&lt;Field id=&quot;PubPlaceTrans&quot;&gt;&lt;/Field&gt;&lt;Field id=&quot;PubYear&quot;&gt;2009&lt;/Field&gt;&lt;Field id=&quot;Publisher&quot;&gt;Springer US&lt;/Field&gt;&lt;Field id=&quot;PublisherTrans&quot;&gt;&lt;/Field&gt;&lt;Field id=&quot;TITrans&quot;&gt;&lt;/Field&gt;&lt;Field id=&quot;Title&quot;&gt;Study of association between atrophic gastritis and body mass index: a cross-sectional study in 10,197 Japanese subjects&lt;/Field&gt;&lt;Field id=&quot;Translator&quot;&gt;&lt;/Field&gt;&lt;Field id=&quot;Type&quot;&gt;{041D4F77-279E-4405-0002-4388361B9CFF}&lt;/Field&gt;&lt;Field id=&quot;Version&quot;&gt;&lt;/Field&gt;&lt;Field id=&quot;Vol&quot;&gt;54&lt;/Field&gt;&lt;Field id=&quot;Factor&quot;&gt;3.1&lt;/Field&gt;&lt;Field id=&quot;Author2&quot;&gt;Watabe,Hirotsugu;Mitsushima,Toru;Derakhshan,Mohammad H;&lt;/Field&gt;&lt;/Data&gt;&lt;Ref&gt;&lt;Display&gt;&lt;Text StringText=&quot;「RefIndex」&quot; StringTextOri=&quot;「RefIndex」&quot; SuperScript=&quot;true&quot;/&gt;&lt;/Display&gt;&lt;/Ref&gt;&lt;Doc&gt;&lt;Display&gt;&lt;Text StringText=&quot;Watabe, Hirotsugu, Mitsushima, Toru, Derakhshan, Mohammad H, et al&quot; StringGroup=&quot;Author&quot;/&gt;_x000d__x000a_   &lt;Text StringText=&quot;. &quot; StringGroup=&quot;Author&quot;/&gt;_x000d__x000a_   &lt;Text StringText=&quot;Study of association between atrophic gastritis and body mass index: a cross-sectional study in 10,197 Japanese subjects&quot; StringGroup=&quot;Title&quot;/&gt;_x000d__x000a_   &lt;Text StringText=&quot;[J]. &quot; StringGroup=&quot;Title&quot;/&gt;_x000d__x000a_   &lt;Text StringText=&quot;Dig Dis Sci&quot; StringGroup=&quot;Magazine&quot;/&gt;_x000d__x000a_   &lt;Text StringText=&quot;, &quot; StringGroup=&quot;Magazine&quot;/&gt;_x000d__x000a_   &lt;Text StringText=&quot;2009&quot; StringGroup=&quot;PubYear&quot;/&gt;_x000d__x000a_   &lt;Text StringText=&quot;,&quot; StringGroup=&quot;PubYear&quot;/&gt;_x000d__x000a_   &lt;Text StringText=&quot;54&quot; StringGroup=&quot;Vol&quot;/&gt;_x000d__x000a_   &lt;Text StringText=&quot;(&quot; StringGroup=&quot;Issue&quot;/&gt;_x000d__x000a_   &lt;Text StringText=&quot;5&quot; StringGroup=&quot;Issue&quot;/&gt;_x000d__x000a_   &lt;Text StringText=&quot;)&quot; StringGroup=&quot;Issue&quot;/&gt;_x000d__x000a_   &lt;Text StringText=&quot;:&quot; StringGroup=&quot;PageNum&quot;/&gt;_x000d__x000a_   &lt;Text StringText=&quot;988-95&quot; StringGroup=&quot;PageNum&quot;/&gt;_x000d__x000a_   &lt;Text StringText=&quot;.&quot; StringGroup=&quot;none&quot;/&gt;_x000d__x000a_  &lt;/Display&gt;&lt;/Doc&gt;&lt;/KyMRNote&gt;"/>
    <w:docVar w:name="KY.MR.DATA{8F215C65-BADE-4FD0-B26F-6DF5A5DBD711}1178" w:val="&lt;KyMRNote dbid=&quot;{8F215C65-BADE-4FD0-B26F-6DF5A5DBD711}&quot; recid=&quot;1178&quot;&gt;&lt;Data&gt;&lt;Field id=&quot;AccessNum&quot;&gt;30700483&lt;/Field&gt;&lt;Field id=&quot;Author&quot; FirstData=&quot;0&quot; FirstStyle=&quot;983040&quot; OtherStyle=&quot;0&quot;&gt;Muhsen K;Sinnreich R;Merom D;Beer-Davidson G;Nassar H;Cohen D;Kark JD;&lt;/Field&gt;&lt;Field id=&quot;AuthorTrans&quot;&gt;&lt;/Field&gt;&lt;Field id=&quot;DOI&quot;&gt;10.1136/bmjopen-2018-024689&lt;/Field&gt;&lt;Field id=&quot;Editor&quot;&gt;&lt;/Field&gt;&lt;Field id=&quot;FmtTitle&quot;&gt;&lt;/Field&gt;&lt;Field id=&quot;FullAuthor&quot;&gt;Muhsen, Khitam;Sinnreich, Ronit;Merom, Dafna;Beer-Davidson, Gany;Nassar, Hisham;Cohen, Dani;Kark, Jeremy D;&lt;/Field&gt;&lt;Field id=&quot;ISSN&quot;&gt;2044-6055&lt;/Field&gt;&lt;Field id=&quot;Issue&quot;&gt;1&lt;/Field&gt;&lt;Field id=&quot;LIID&quot;&gt;1178&lt;/Field&gt;&lt;Field id=&quot;Magazine&quot;&gt;BMJ open&lt;/Field&gt;&lt;Field id=&quot;MagazineAB&quot;&gt;BMJ Open&lt;/Field&gt;&lt;Field id=&quot;MagazineTrans&quot;&gt;&lt;/Field&gt;&lt;Field id=&quot;PageNum&quot;&gt;e024689&lt;/Field&gt;&lt;Field id=&quot;PubDate&quot;&gt;Jan 29&lt;/Field&gt;&lt;Field id=&quot;PubPlace&quot;&gt;England&lt;/Field&gt;&lt;Field id=&quot;PubPlaceTrans&quot;&gt;&lt;/Field&gt;&lt;Field id=&quot;PubYear&quot;&gt;2019&lt;/Field&gt;&lt;Field id=&quot;Publisher&quot;&gt;BMJ Publishing Group&lt;/Field&gt;&lt;Field id=&quot;PublisherTrans&quot;&gt;&lt;/Field&gt;&lt;Field id=&quot;TITrans&quot;&gt;&lt;/Field&gt;&lt;Field id=&quot;Title&quot;&gt;Prevalence and determinants of serological evidence of atrophic gastritis among Arab and Jewish residents of Jerusalem: a cross-sectional study&lt;/Field&gt;&lt;Field id=&quot;Translator&quot;&gt;&lt;/Field&gt;&lt;Field id=&quot;Type&quot;&gt;{041D4F77-279E-4405-0002-4388361B9CFF}&lt;/Field&gt;&lt;Field id=&quot;Version&quot;&gt;&lt;/Field&gt;&lt;Field id=&quot;Vol&quot;&gt;9&lt;/Field&gt;&lt;Field id=&quot;Factor&quot;&gt;2.9&lt;/Field&gt;&lt;Field id=&quot;Author2&quot;&gt;Muhsen,Khitam;Sinnreich,Ronit;Merom,Dafna;&lt;/Field&gt;&lt;/Data&gt;&lt;Ref&gt;&lt;Display&gt;&lt;Text StringText=&quot;「RefIndex」&quot; StringTextOri=&quot;「RefIndex」&quot; SuperScript=&quot;true&quot;/&gt;&lt;/Display&gt;&lt;/Ref&gt;&lt;Doc&gt;&lt;Display&gt;&lt;Text StringText=&quot;Muhsen, Khitam, Sinnreich, Ronit, Merom, Dafna, et al&quot; StringGroup=&quot;Author&quot;/&gt;_x000d__x000a_   &lt;Text StringText=&quot;. &quot; StringGroup=&quot;Author&quot;/&gt;_x000d__x000a_   &lt;Text StringText=&quot;Prevalence and determinants of serological evidence of atrophic gastritis among Arab and Jewish residents of Jerusalem: a cross-sectional study&quot; StringGroup=&quot;Title&quot;/&gt;_x000d__x000a_   &lt;Text StringText=&quot;[J]. &quot; StringGroup=&quot;Title&quot;/&gt;_x000d__x000a_   &lt;Text StringText=&quot;BMJ Open&quot; StringGroup=&quot;Magazine&quot;/&gt;_x000d__x000a_   &lt;Text StringText=&quot;, &quot; StringGroup=&quot;Magazine&quot;/&gt;_x000d__x000a_   &lt;Text StringText=&quot;2019&quot; StringGroup=&quot;PubYear&quot;/&gt;_x000d__x000a_   &lt;Text StringText=&quot;,&quot; StringGroup=&quot;PubYear&quot;/&gt;_x000d__x000a_   &lt;Text StringText=&quot;9&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e024689&quot; StringGroup=&quot;PageNum&quot;/&gt;_x000d__x000a_   &lt;Text StringText=&quot;.&quot; StringGroup=&quot;none&quot;/&gt;_x000d__x000a_  &lt;/Display&gt;&lt;/Doc&gt;&lt;/KyMRNote&gt;"/>
    <w:docVar w:name="KY.MR.DATA{8F215C65-BADE-4FD0-B26F-6DF5A5DBD711}1179" w:val="&lt;KyMRNote dbid=&quot;{8F215C65-BADE-4FD0-B26F-6DF5A5DBD711}&quot; recid=&quot;1179&quot;&gt;&lt;Data&gt;&lt;Field id=&quot;AccessNum&quot;&gt;40418631&lt;/Field&gt;&lt;Field id=&quot;Author&quot; FirstData=&quot;0&quot; FirstStyle=&quot;851968&quot; OtherStyle=&quot;0&quot;&gt;Xie X;Zhao S;Fang R;Chen H;Zhang H;Wang X;Gao J;Liu Y;Cai Z;Zhang M;Xu B;Zhuge Y;&lt;/Field&gt;&lt;Field id=&quot;AuthorTrans&quot;&gt;&lt;/Field&gt;&lt;Field id=&quot;DOI&quot;&gt;10.1111/jcmm.70463&lt;/Field&gt;&lt;Field id=&quot;Editor&quot;&gt;&lt;/Field&gt;&lt;Field id=&quot;FmtTitle&quot;&gt;&lt;/Field&gt;&lt;Field id=&quot;FullAuthor&quot;&gt;Xie, Xiaolin;Zhao, Si;Fang, Rui;Chen, Huan;Zhang, Han;Wang, Xue;Gao, Jun;Liu, Yan;Cai, Zihao;Zhang, Ming;Xu, Bing;Zhuge, Yuzheng;&lt;/Field&gt;&lt;Field id=&quot;ISSN&quot;&gt;1582-1838&lt;/Field&gt;&lt;Field id=&quot;Issue&quot;&gt;10&lt;/Field&gt;&lt;Field id=&quot;LIID&quot;&gt;1179&lt;/Field&gt;&lt;Field id=&quot;Magazine&quot;&gt;Journal of cellular and molecular medicine&lt;/Field&gt;&lt;Field id=&quot;MagazineAB&quot;&gt;J Cell Mol Med&lt;/Field&gt;&lt;Field id=&quot;MagazineTrans&quot;&gt;&lt;/Field&gt;&lt;Field id=&quot;PageNum&quot;&gt;e70463&lt;/Field&gt;&lt;Field id=&quot;PubDate&quot;&gt;May&lt;/Field&gt;&lt;Field id=&quot;PubPlace&quot;&gt;England&lt;/Field&gt;&lt;Field id=&quot;PubPlaceTrans&quot;&gt;&lt;/Field&gt;&lt;Field id=&quot;PubYear&quot;&gt;2025&lt;/Field&gt;&lt;Field id=&quot;Publisher&quot;&gt;WILEY, 111 RIVER ST, HOBOKEN, USA, NJ, 07030-5774&lt;/Field&gt;&lt;Field id=&quot;PublisherTrans&quot;&gt;&lt;/Field&gt;&lt;Field id=&quot;TITrans&quot;&gt;&lt;/Field&gt;&lt;Field id=&quot;Title&quot;&gt;Vitamin E Inhibits Oxidative Stress and Inflammation in Stress-Induced Gastritis via Modulating Nrf2 and NF-κB Signalling Pathways&lt;/Field&gt;&lt;Field id=&quot;Translator&quot;&gt;&lt;/Field&gt;&lt;Field id=&quot;Type&quot;&gt;{041D4F77-279E-4405-0002-4388361B9CFF}&lt;/Field&gt;&lt;Field id=&quot;Version&quot;&gt;&lt;/Field&gt;&lt;Field id=&quot;Vol&quot;&gt;29&lt;/Field&gt;&lt;Field id=&quot;Factor&quot;&gt;5.3&lt;/Field&gt;&lt;Field id=&quot;Author2&quot;&gt;Xie,Xiaolin;Zhao,Si;Fang,Rui;&lt;/Field&gt;&lt;/Data&gt;&lt;Ref&gt;&lt;Display&gt;&lt;Text StringText=&quot;「RefIndex」&quot; StringTextOri=&quot;「RefIndex」&quot; SuperScript=&quot;true&quot;/&gt;&lt;/Display&gt;&lt;/Ref&gt;&lt;Doc&gt;&lt;Display&gt;&lt;Text StringText=&quot;Xie, Xiaolin, Zhao, Si, Fang, Rui, et al&quot; StringGroup=&quot;Author&quot;/&gt;_x000d__x000a_   &lt;Text StringText=&quot;. &quot; StringGroup=&quot;Author&quot;/&gt;_x000d__x000a_   &lt;Text StringText=&quot;Vitamin E Inhibits Oxidative Stress and Inflammation in Stress-Induced Gastritis via Modulating Nrf2 and NF-κB Signalling Pathways&quot; StringGroup=&quot;Title&quot;/&gt;_x000d__x000a_   &lt;Text StringText=&quot;[J]. &quot; StringGroup=&quot;Title&quot;/&gt;_x000d__x000a_   &lt;Text StringText=&quot;J Cell Mol Med&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29&quot; StringGroup=&quot;Vol&quot;/&gt;_x000d__x000a_   &lt;Text StringText=&quot;(&quot; StringGroup=&quot;Issue&quot;/&gt;_x000d__x000a_   &lt;Text StringText=&quot;10&quot; StringGroup=&quot;Issue&quot;/&gt;_x000d__x000a_   &lt;Text StringText=&quot;)&quot; StringGroup=&quot;Issue&quot;/&gt;_x000d__x000a_   &lt;Text StringText=&quot;:&quot; StringGroup=&quot;PageNum&quot;/&gt;_x000d__x000a_   &lt;Text StringText=&quot;e70463&quot; StringGroup=&quot;PageNum&quot;/&gt;_x000d__x000a_   &lt;Text StringText=&quot;.&quot; StringGroup=&quot;none&quot;/&gt;_x000d__x000a_  &lt;/Display&gt;&lt;/Doc&gt;&lt;/KyMRNote&gt;"/>
    <w:docVar w:name="KY.MR.DATA{8F215C65-BADE-4FD0-B26F-6DF5A5DBD711}1180" w:val="&lt;KyMRNote dbid=&quot;{8F215C65-BADE-4FD0-B26F-6DF5A5DBD711}&quot; recid=&quot;1180&quot;&gt;&lt;Data&gt;&lt;Field id=&quot;AccessNum&quot;&gt;39823708&lt;/Field&gt;&lt;Field id=&quot;Author&quot; FirstData=&quot;0&quot; FirstStyle=&quot;1310720&quot; OtherStyle=&quot;0&quot;&gt;El-Sayed SF;Mahmoud SM;Samy W;Wahid RM;Talaat A;Seada SG;&lt;/Field&gt;&lt;Field id=&quot;AuthorTrans&quot;&gt;&lt;/Field&gt;&lt;Field id=&quot;DOI&quot;&gt;10.1016/j.tice.2025.102724&lt;/Field&gt;&lt;Field id=&quot;Editor&quot;&gt;&lt;/Field&gt;&lt;Field id=&quot;FmtTitle&quot;&gt;&lt;/Field&gt;&lt;Field id=&quot;FullAuthor&quot;&gt;El-Sayed, Sherein F;Mahmoud, Samar Mortada;Samy, Walaa;Wahid, Reham M;Talaat, Aliaa;Seada, Sara G;&lt;/Field&gt;&lt;Field id=&quot;ISSN&quot;&gt;0040-8166&lt;/Field&gt;&lt;Field id=&quot;Issue&quot;&gt;&lt;/Field&gt;&lt;Field id=&quot;LIID&quot;&gt;1180&lt;/Field&gt;&lt;Field id=&quot;Magazine&quot;&gt;Tissue &amp;amp; cell&lt;/Field&gt;&lt;Field id=&quot;MagazineAB&quot;&gt;Tissue Cell&lt;/Field&gt;&lt;Field id=&quot;MagazineTrans&quot;&gt;&lt;/Field&gt;&lt;Field id=&quot;PageNum&quot;&gt;102724&lt;/Field&gt;&lt;Field id=&quot;PubDate&quot;&gt;Apr&lt;/Field&gt;&lt;Field id=&quot;PubPlace&quot;&gt;Scotland&lt;/Field&gt;&lt;Field id=&quot;PubPlaceTrans&quot;&gt;&lt;/Field&gt;&lt;Field id=&quot;PubYear&quot;&gt;2025&lt;/Field&gt;&lt;Field id=&quot;Publisher&quot;&gt;Elsevier Ltd&lt;/Field&gt;&lt;Field id=&quot;PublisherTrans&quot;&gt;&lt;/Field&gt;&lt;Field id=&quot;TITrans&quot;&gt;&lt;/Field&gt;&lt;Field id=&quot;Title&quot;&gt;Vitamin D3 mitigates aspirin-induced gastric injury by modulating gastrokines, E-cadherin, and inhibiting NLRP3 and NF-κB/MMP-9 signaling pathway&lt;/Field&gt;&lt;Field id=&quot;Translator&quot;&gt;&lt;/Field&gt;&lt;Field id=&quot;Type&quot;&gt;{041D4F77-279E-4405-0002-4388361B9CFF}&lt;/Field&gt;&lt;Field id=&quot;Version&quot;&gt;&lt;/Field&gt;&lt;Field id=&quot;Vol&quot;&gt;93&lt;/Field&gt;&lt;Field id=&quot;Factor&quot;&gt;2.6&lt;/Field&gt;&lt;Field id=&quot;Author2&quot;&gt;El-Sayed,Sherein F;Mahmoud,Samar Mortada;Samy,Walaa;&lt;/Field&gt;&lt;/Data&gt;&lt;Ref&gt;&lt;Display&gt;&lt;Text StringText=&quot;「RefIndex」&quot; StringTextOri=&quot;「RefIndex」&quot; SuperScript=&quot;true&quot;/&gt;&lt;/Display&gt;&lt;/Ref&gt;&lt;Doc&gt;&lt;Display&gt;&lt;Text StringText=&quot;El-Sayed, Sherein F, Mahmoud, Samar Mortada, Samy, Walaa, et al&quot; StringGroup=&quot;Author&quot;/&gt;_x000d__x000a_   &lt;Text StringText=&quot;. &quot; StringGroup=&quot;Author&quot;/&gt;_x000d__x000a_   &lt;Text StringText=&quot;Vitamin D3 mitigates aspirin-induced gastric injury by modulating gastrokines, E-cadherin, and inhibiting NLRP3 and NF-κB/MMP-9 signaling pathway&quot; StringGroup=&quot;Title&quot;/&gt;_x000d__x000a_   &lt;Text StringText=&quot;[J]. &quot; StringGroup=&quot;Title&quot;/&gt;_x000d__x000a_   &lt;Text StringText=&quot;Tissue Cell&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93&quot; StringGroup=&quot;Vol&quot;/&gt;_x000d__x000a_   &lt;Text StringText=&quot;:&quot; StringGroup=&quot;PageNum&quot;/&gt;_x000d__x000a_   &lt;Text StringText=&quot;102724&quot; StringGroup=&quot;PageNum&quot;/&gt;_x000d__x000a_   &lt;Text StringText=&quot;.&quot; StringGroup=&quot;none&quot;/&gt;_x000d__x000a_  &lt;/Display&gt;&lt;/Doc&gt;&lt;/KyMRNote&gt;"/>
    <w:docVar w:name="KY.MR.DATA{8F215C65-BADE-4FD0-B26F-6DF5A5DBD711}1181" w:val="&lt;KyMRNote dbid=&quot;{8F215C65-BADE-4FD0-B26F-6DF5A5DBD711}&quot; recid=&quot;1181&quot;&gt;&lt;Data&gt;&lt;Field id=&quot;AccessNum&quot;&gt;&lt;/Field&gt;&lt;Field id=&quot;Author&quot; FirstData=&quot;0&quot; FirstStyle=&quot;262144&quot; OtherStyle=&quot;0&quot;&gt;魏锣沛;李霓;王刚;温艳;吕章艳;冯小双;李鑫;陈玉恒;陈宏达;陈朔华;任建松;石菊芳;崔宏;吴寿岭;代敏;赫捷&lt;/Field&gt;&lt;Field id=&quot;AuthorTrans&quot;&gt;&lt;/Field&gt;&lt;Field id=&quot;DOI&quot;&gt;10.3760/cma.j.issn.0254-6450.2019.12.004&lt;/Field&gt;&lt;Field id=&quot;Editor&quot;&gt;&lt;/Field&gt;&lt;Field id=&quot;FmtTitle&quot;&gt;&amp;lt;font color='red'&amp;gt;基线体质指数与男性胃癌发病关系的前瞻性队列研究&amp;lt;/font&amp;gt;&lt;/Field&gt;&lt;Field id=&quot;FullAuthor&quot;&gt;&lt;/Field&gt;&lt;Field id=&quot;ISSN&quot;&gt;0254-6450&lt;/Field&gt;&lt;Field id=&quot;Issue&quot;&gt;12&lt;/Field&gt;&lt;Field id=&quot;LIID&quot;&gt;1181&lt;/Field&gt;&lt;Field id=&quot;Magazine&quot;&gt;中华流行病学杂志&lt;/Field&gt;&lt;Field id=&quot;MagazineAB&quot;&gt;&lt;/Field&gt;&lt;Field id=&quot;MagazineTrans&quot;&gt;Chin J Epidemiol&lt;/Field&gt;&lt;Field id=&quot;PageNum&quot;&gt;1522-1526&lt;/Field&gt;&lt;Field id=&quot;PubDate&quot;&gt;&lt;/Field&gt;&lt;Field id=&quot;PubPlace&quot;&gt;其他&lt;/Field&gt;&lt;Field id=&quot;PubPlaceTrans&quot;&gt;&lt;/Field&gt;&lt;Field id=&quot;PubYear&quot;&gt;2019&lt;/Field&gt;&lt;Field id=&quot;Publisher&quot;&gt;《中华医学杂志》社有限责任公司&lt;/Field&gt;&lt;Field id=&quot;PublisherTrans&quot;&gt;&lt;/Field&gt;&lt;Field id=&quot;TITrans&quot;&gt;Body mass index and the risk of gastric cancer in males: a prospective cohort study&lt;/Field&gt;&lt;Field id=&quot;Title&quot;&gt;基线体质指数与男性胃癌发病关系的前瞻性队列研究&lt;/Field&gt;&lt;Field id=&quot;Translator&quot;&gt;&lt;/Field&gt;&lt;Field id=&quot;Type&quot;&gt;{041D4F77-279E-4405-0002-4388361B9CFF}&lt;/Field&gt;&lt;Field id=&quot;Version&quot;&gt;&lt;/Field&gt;&lt;Field id=&quot;Vol&quot;&gt;40&lt;/Field&gt;&lt;Field id=&quot;Factor&quot;/&gt;&lt;Field id=&quot;Author2&quot;&gt;魏锣沛,;李霓,;王刚,;&lt;/Field&gt;&lt;/Data&gt;&lt;Ref&gt;&lt;Display&gt;&lt;Text StringText=&quot;「RefIndex」&quot; StringTextOri=&quot;「RefIndex」&quot; SuperScript=&quot;true&quot;/&gt;&lt;/Display&gt;&lt;/Ref&gt;&lt;Doc&gt;&lt;Display&gt;&lt;Text StringText=&quot;魏锣沛, 李霓, 王刚, 等.&quot; StringGroup=&quot;Author&quot;/&gt;_x000d__x000a_   &lt;Text StringText=&quot; &quot; StringGroup=&quot;Author&quot;/&gt;_x000d__x000a_   &lt;Text StringText=&quot;基线体质指数与男性胃癌发病关系的前瞻性队列研究&quot; StringGroup=&quot;Title&quot;/&gt;_x000d__x000a_   &lt;Text StringText=&quot;[J]. &quot; StringGroup=&quot;Title&quot;/&gt;_x000d__x000a_   &lt;Text StringText=&quot;中华流行病学杂志&quot; StringGroup=&quot;Magazine&quot;/&gt;_x000d__x000a_   &lt;Text StringText=&quot;, &quot; StringGroup=&quot;Magazine&quot;/&gt;_x000d__x000a_   &lt;Text StringText=&quot;2019&quot; StringGroup=&quot;PubYear&quot;/&gt;_x000d__x000a_   &lt;Text StringText=&quot;,&quot; StringGroup=&quot;PubYear&quot;/&gt;_x000d__x000a_   &lt;Text StringText=&quot;40&quot; StringGroup=&quot;Vol&quot;/&gt;_x000d__x000a_   &lt;Text StringText=&quot;(&quot; StringGroup=&quot;Issue&quot;/&gt;_x000d__x000a_   &lt;Text StringText=&quot;12&quot; StringGroup=&quot;Issue&quot;/&gt;_x000d__x000a_   &lt;Text StringText=&quot;)&quot; StringGroup=&quot;Issue&quot;/&gt;_x000d__x000a_   &lt;Text StringText=&quot;:&quot; StringGroup=&quot;PageNum&quot;/&gt;_x000d__x000a_   &lt;Text StringText=&quot;1522-1526&quot; StringGroup=&quot;PageNum&quot;/&gt;_x000d__x000a_   &lt;Text StringText=&quot;.&quot; StringGroup=&quot;none&quot;/&gt;_x000d__x000a_  &lt;/Display&gt;&lt;/Doc&gt;&lt;/KyMRNote&gt;"/>
    <w:docVar w:name="KY.MR.DATA{8F215C65-BADE-4FD0-B26F-6DF5A5DBD711}1182" w:val="&lt;KyMRNote dbid=&quot;{8F215C65-BADE-4FD0-B26F-6DF5A5DBD711}&quot; recid=&quot;1182&quot;&gt;&lt;Data&gt;&lt;Field id=&quot;AccessNum&quot;&gt;41086114&lt;/Field&gt;&lt;Field id=&quot;Author&quot; FirstData=&quot;0&quot; FirstStyle=&quot;1048576&quot; OtherStyle=&quot;0&quot;&gt;Wimer LA;Kaneshiro KR;Ramirez J;Bose N;Valdearcos M;Shanmugam MM;Farrera DO;Singh P;Beck J;Sellegounder D;Najera LE;Melov S;Ellerby LM;Cho SJ;Newman JC;Koliwad S;Galligan JJ;Kapahi P;&lt;/Field&gt;&lt;Field id=&quot;AuthorTrans&quot;&gt;&lt;/Field&gt;&lt;Field id=&quot;DOI&quot;&gt;10.1016/j.celrep.2025.116422&lt;/Field&gt;&lt;Field id=&quot;Editor&quot;&gt;&lt;/Field&gt;&lt;Field id=&quot;FmtTitle&quot;&gt;&lt;/Field&gt;&lt;Field id=&quot;FullAuthor&quot;&gt;Wimer, Lauren A;Kaneshiro, Kiyomi R;Ramirez, Jessica;Bose, Neelanjan;Valdearcos, Martin;Shanmugam, Muniesh Muthaiyan;Farrera, Dominique O;Singh, Parminder;Beck, Jennifer;Sellegounder, Durai;Najera, Lizbeth Enqriquez;Melov, Simon;Ellerby, Lisa M;Cho, Soo-Jin;Newman, John C;Koliwad, Suneil;Galligan, James J;Kapahi, Pankaj;&lt;/Field&gt;&lt;Field id=&quot;ISSN&quot;&gt;2211-1247&lt;/Field&gt;&lt;Field id=&quot;Issue&quot;&gt;10&lt;/Field&gt;&lt;Field id=&quot;LIID&quot;&gt;1182&lt;/Field&gt;&lt;Field id=&quot;Magazine&quot;&gt;Cell reports&lt;/Field&gt;&lt;Field id=&quot;MagazineAB&quot;&gt;Cell Rep&lt;/Field&gt;&lt;Field id=&quot;MagazineTrans&quot;&gt;&lt;/Field&gt;&lt;Field id=&quot;PageNum&quot;&gt;116422&lt;/Field&gt;&lt;Field id=&quot;PubDate&quot;&gt;Oct 28&lt;/Field&gt;&lt;Field id=&quot;PubPlace&quot;&gt;United States&lt;/Field&gt;&lt;Field id=&quot;PubPlaceTrans&quot;&gt;&lt;/Field&gt;&lt;Field id=&quot;PubYear&quot;&gt;2025&lt;/Field&gt;&lt;Field id=&quot;Publisher&quot;&gt;Cell Press&lt;/Field&gt;&lt;Field id=&quot;PublisherTrans&quot;&gt;&lt;/Field&gt;&lt;Field id=&quot;TITrans&quot;&gt;&lt;/Field&gt;&lt;Field id=&quot;Title&quot;&gt;Glycation-lowering compounds inhibit ghrelin signaling to reduce food intake, lower insulin resistance, and extend lifespan&lt;/Field&gt;&lt;Field id=&quot;Translator&quot;&gt;&lt;/Field&gt;&lt;Field id=&quot;Type&quot;&gt;{041D4F77-279E-4405-0002-4388361B9CFF}&lt;/Field&gt;&lt;Field id=&quot;Version&quot;&gt;&lt;/Field&gt;&lt;Field id=&quot;Vol&quot;&gt;44&lt;/Field&gt;&lt;Field id=&quot;Factor&quot;&gt;8.8&lt;/Field&gt;&lt;Field id=&quot;Author2&quot;&gt;Wimer,Lauren A;Kaneshiro,Kiyomi R;Ramirez,Jessica;&lt;/Field&gt;&lt;/Data&gt;&lt;Ref&gt;&lt;Display&gt;&lt;Text StringText=&quot;「RefIndex」&quot; StringTextOri=&quot;「RefIndex」&quot; SuperScript=&quot;true&quot;/&gt;&lt;/Display&gt;&lt;/Ref&gt;&lt;Doc&gt;&lt;Display&gt;&lt;Text StringText=&quot;Wimer, Lauren A, Kaneshiro, Kiyomi R, Ramirez, Jessica, et al&quot; StringGroup=&quot;Author&quot;/&gt;_x000d__x000a_   &lt;Text StringText=&quot;. &quot; StringGroup=&quot;Author&quot;/&gt;_x000d__x000a_   &lt;Text StringText=&quot;Glycation-lowering compounds inhibit ghrelin signaling to reduce food intake, lower insulin resistance, and extend lifespan&quot; StringGroup=&quot;Title&quot;/&gt;_x000d__x000a_   &lt;Text StringText=&quot;[J]. &quot; StringGroup=&quot;Title&quot;/&gt;_x000d__x000a_   &lt;Text StringText=&quot;Cell Rep&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44&quot; StringGroup=&quot;Vol&quot;/&gt;_x000d__x000a_   &lt;Text StringText=&quot;(&quot; StringGroup=&quot;Issue&quot;/&gt;_x000d__x000a_   &lt;Text StringText=&quot;10&quot; StringGroup=&quot;Issue&quot;/&gt;_x000d__x000a_   &lt;Text StringText=&quot;)&quot; StringGroup=&quot;Issue&quot;/&gt;_x000d__x000a_   &lt;Text StringText=&quot;:&quot; StringGroup=&quot;PageNum&quot;/&gt;_x000d__x000a_   &lt;Text StringText=&quot;116422&quot; StringGroup=&quot;PageNum&quot;/&gt;_x000d__x000a_   &lt;Text StringText=&quot;.&quot; StringGroup=&quot;none&quot;/&gt;_x000d__x000a_  &lt;/Display&gt;&lt;/Doc&gt;&lt;/KyMRNote&gt;"/>
    <w:docVar w:name="KY.MR.DATA{8F215C65-BADE-4FD0-B26F-6DF5A5DBD711}1183" w:val="&lt;KyMRNote dbid=&quot;{8F215C65-BADE-4FD0-B26F-6DF5A5DBD711}&quot; recid=&quot;1183&quot;&gt;&lt;Data&gt;&lt;Field id=&quot;AccessNum&quot;&gt;32773508&lt;/Field&gt;&lt;Field id=&quot;Author&quot; FirstData=&quot;0&quot; FirstStyle=&quot;983040&quot; OtherStyle=&quot;0&quot;&gt;Panarese A;Romiti A;Iacovazzi PA;Leone CM;Pesole PL;Correale M;Vestito A;Bazzoli F;Zagari RM;&lt;/Field&gt;&lt;Field id=&quot;AuthorTrans&quot;&gt;&lt;/Field&gt;&lt;Field id=&quot;DOI&quot;&gt;10.1097/MEG.0000000000001868&lt;/Field&gt;&lt;Field id=&quot;Editor&quot;&gt;&lt;/Field&gt;&lt;Field id=&quot;FmtTitle&quot;&gt;&lt;/Field&gt;&lt;Field id=&quot;FullAuthor&quot;&gt;Panarese, Alba;Romiti, Alessandra;Iacovazzi, Palma Aurelia;Leone, Carla Maria;Pesole, Pasqua Letizia;Correale, Mario;Vestito, Amanda;Bazzoli, Franco;Zagari, Rocco Maurizio;&lt;/Field&gt;&lt;Field id=&quot;ISSN&quot;&gt;0954-691X&lt;/Field&gt;&lt;Field id=&quot;Issue&quot;&gt;10&lt;/Field&gt;&lt;Field id=&quot;LIID&quot;&gt;1183&lt;/Field&gt;&lt;Field id=&quot;Magazine&quot;&gt;European journal of gastroenterology &amp;amp; hepatology&lt;/Field&gt;&lt;Field id=&quot;MagazineAB&quot;&gt;Eur J Gastroenterol Hepatol&lt;/Field&gt;&lt;Field id=&quot;MagazineTrans&quot;&gt;&lt;/Field&gt;&lt;Field id=&quot;PageNum&quot;&gt;1335-1340&lt;/Field&gt;&lt;Field id=&quot;PubDate&quot;&gt;Oct&lt;/Field&gt;&lt;Field id=&quot;PubPlace&quot;&gt;England&lt;/Field&gt;&lt;Field id=&quot;PubPlaceTrans&quot;&gt;&lt;/Field&gt;&lt;Field id=&quot;PubYear&quot;&gt;2020&lt;/Field&gt;&lt;Field id=&quot;Publisher&quot;&gt;Lippincott Williams and Wilkins Ltd.&lt;/Field&gt;&lt;Field id=&quot;PublisherTrans&quot;&gt;&lt;/Field&gt;&lt;Field id=&quot;TITrans&quot;&gt;&lt;/Field&gt;&lt;Field id=&quot;Title&quot;&gt;Relationship between atrophic gastritis, serum ghrelin and body mass index&lt;/Field&gt;&lt;Field id=&quot;Translator&quot;&gt;&lt;/Field&gt;&lt;Field id=&quot;Type&quot;&gt;{041D4F77-279E-4405-0002-4388361B9CFF}&lt;/Field&gt;&lt;Field id=&quot;Version&quot;&gt;&lt;/Field&gt;&lt;Field id=&quot;Vol&quot;&gt;32&lt;/Field&gt;&lt;Field id=&quot;Factor&quot;&gt;2.1&lt;/Field&gt;&lt;Field id=&quot;Author2&quot;&gt;Panarese,Alba;Romiti,Alessandra;Iacovazzi,Palma Aurelia;&lt;/Field&gt;&lt;/Data&gt;&lt;Ref&gt;&lt;Display&gt;&lt;Text StringText=&quot;「RefIndex」&quot; StringTextOri=&quot;「RefIndex」&quot; SuperScript=&quot;true&quot;/&gt;&lt;/Display&gt;&lt;/Ref&gt;&lt;Doc&gt;&lt;Display&gt;&lt;Text StringText=&quot;Panarese, Alba, Romiti, Alessandra, Iacovazzi, Palma Aurelia, et al&quot; StringGroup=&quot;Author&quot;/&gt;_x000d__x000a_   &lt;Text StringText=&quot;. &quot; StringGroup=&quot;Author&quot;/&gt;_x000d__x000a_   &lt;Text StringText=&quot;Relationship between atrophic gastritis, serum ghrelin and body mass index&quot; StringGroup=&quot;Title&quot;/&gt;_x000d__x000a_   &lt;Text StringText=&quot;[J]. &quot; StringGroup=&quot;Title&quot;/&gt;_x000d__x000a_   &lt;Text StringText=&quot;Eur J Gastroenterol Hepatol&quot; StringGroup=&quot;Magazine&quot;/&gt;_x000d__x000a_   &lt;Text StringText=&quot;, &quot; StringGroup=&quot;Magazine&quot;/&gt;_x000d__x000a_   &lt;Text StringText=&quot;2020&quot; StringGroup=&quot;PubYear&quot;/&gt;_x000d__x000a_   &lt;Text StringText=&quot;,&quot; StringGroup=&quot;PubYear&quot;/&gt;_x000d__x000a_   &lt;Text StringText=&quot;32&quot; StringGroup=&quot;Vol&quot;/&gt;_x000d__x000a_   &lt;Text StringText=&quot;(&quot; StringGroup=&quot;Issue&quot;/&gt;_x000d__x000a_   &lt;Text StringText=&quot;10&quot; StringGroup=&quot;Issue&quot;/&gt;_x000d__x000a_   &lt;Text StringText=&quot;)&quot; StringGroup=&quot;Issue&quot;/&gt;_x000d__x000a_   &lt;Text StringText=&quot;:&quot; StringGroup=&quot;PageNum&quot;/&gt;_x000d__x000a_   &lt;Text StringText=&quot;1335-1340&quot; StringGroup=&quot;PageNum&quot;/&gt;_x000d__x000a_   &lt;Text StringText=&quot;.&quot; StringGroup=&quot;none&quot;/&gt;_x000d__x000a_  &lt;/Display&gt;&lt;/Doc&gt;&lt;/KyMRNote&gt;"/>
    <w:docVar w:name="KY.MR.DATA{8F215C65-BADE-4FD0-B26F-6DF5A5DBD711}1185" w:val="&lt;KyMRNote dbid=&quot;{8F215C65-BADE-4FD0-B26F-6DF5A5DBD711}&quot; recid=&quot;1185&quot;&gt;&lt;Data&gt;&lt;Field id=&quot;AccessNum&quot;&gt;38419635&lt;/Field&gt;&lt;Field id=&quot;Author&quot; FirstData=&quot;0&quot; FirstStyle=&quot;786432&quot; OtherStyle=&quot;0&quot;&gt;Li H;Hu Y;Huang Y;Ding S;Zhu L;Li X;Lan M;Huang W;Lin X;&lt;/Field&gt;&lt;Field id=&quot;AuthorTrans&quot;&gt;&lt;/Field&gt;&lt;Field id=&quot;DOI&quot;&gt;10.3389/fmicb.2024.1365043&lt;/Field&gt;&lt;Field id=&quot;Editor&quot;&gt;&lt;/Field&gt;&lt;Field id=&quot;FmtTitle&quot;&gt;&lt;/Field&gt;&lt;Field id=&quot;FullAuthor&quot;&gt;Li, Hanjing;Hu, Yingying;Huang, Yanyu;Ding, Shanshan;Zhu, Long;Li, Xinghui;Lan, Meng;Huang, Weirong;Lin, Xuejuan;&lt;/Field&gt;&lt;Field id=&quot;ISSN&quot;&gt;1664-302X&lt;/Field&gt;&lt;Field id=&quot;Issue&quot;&gt;&lt;/Field&gt;&lt;Field id=&quot;LIID&quot;&gt;1185&lt;/Field&gt;&lt;Field id=&quot;Magazine&quot;&gt;Frontiers in microbiology&lt;/Field&gt;&lt;Field id=&quot;MagazineAB&quot;&gt;Front Microbiol&lt;/Field&gt;&lt;Field id=&quot;MagazineTrans&quot;&gt;&lt;/Field&gt;&lt;Field id=&quot;PageNum&quot;&gt;1365043&lt;/Field&gt;&lt;Field id=&quot;PubDate&quot;&gt;&lt;/Field&gt;&lt;Field id=&quot;PubPlace&quot;&gt;Switzerland&lt;/Field&gt;&lt;Field id=&quot;PubPlaceTrans&quot;&gt;&lt;/Field&gt;&lt;Field id=&quot;PubYear&quot;&gt;2024&lt;/Field&gt;&lt;Field id=&quot;Publisher&quot;&gt;Frontiers Media S.A.&lt;/Field&gt;&lt;Field id=&quot;PublisherTrans&quot;&gt;&lt;/Field&gt;&lt;Field id=&quot;TITrans&quot;&gt;&lt;/Field&gt;&lt;Field id=&quot;Title&quot;&gt;The mutual interactions among Helicobacter pylori, chronic gastritis, and the gut microbiota: a population-based study in Jinjiang, Fujian&lt;/Field&gt;&lt;Field id=&quot;Translator&quot;&gt;&lt;/Field&gt;&lt;Field id=&quot;Type&quot;&gt;{041D4F77-279E-4405-0002-4388361B9CFF}&lt;/Field&gt;&lt;Field id=&quot;Version&quot;&gt;&lt;/Field&gt;&lt;Field id=&quot;Vol&quot;&gt;15&lt;/Field&gt;&lt;Field id=&quot;Factor&quot;&gt;5.2&lt;/Field&gt;&lt;Field id=&quot;Author2&quot;&gt;Li,Hanjing;Hu,Yingying;Huang,Yanyu;&lt;/Field&gt;&lt;/Data&gt;&lt;Ref&gt;&lt;Display&gt;&lt;Text StringText=&quot;「RefIndex」&quot; StringTextOri=&quot;「RefIndex」&quot; SuperScript=&quot;true&quot;/&gt;&lt;/Display&gt;&lt;/Ref&gt;&lt;Doc&gt;&lt;Display&gt;&lt;Text StringText=&quot;Li, Hanjing, Hu, Yingying, Huang, Yanyu, et al&quot; StringGroup=&quot;Author&quot;/&gt;_x000d__x000a_   &lt;Text StringText=&quot;. &quot; StringGroup=&quot;Author&quot;/&gt;_x000d__x000a_   &lt;Text StringText=&quot;The mutual interactions among Helicobacter pylori, chronic gastritis, and the gut microbiota: a population-based study in Jinjiang, Fujian&quot; StringGroup=&quot;Title&quot;/&gt;_x000d__x000a_   &lt;Text StringText=&quot;[J]. &quot; StringGroup=&quot;Title&quot;/&gt;_x000d__x000a_   &lt;Text StringText=&quot;Front Microbiol&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15&quot; StringGroup=&quot;Vol&quot;/&gt;_x000d__x000a_   &lt;Text StringText=&quot;:&quot; StringGroup=&quot;PageNum&quot;/&gt;_x000d__x000a_   &lt;Text StringText=&quot;1365043&quot; StringGroup=&quot;PageNum&quot;/&gt;_x000d__x000a_   &lt;Text StringText=&quot;.&quot; StringGroup=&quot;none&quot;/&gt;_x000d__x000a_  &lt;/Display&gt;&lt;/Doc&gt;&lt;/KyMRNote&gt;"/>
    <w:docVar w:name="KY.MR.DATA{8F215C65-BADE-4FD0-B26F-6DF5A5DBD711}1186" w:val="&lt;KyMRNote dbid=&quot;{8F215C65-BADE-4FD0-B26F-6DF5A5DBD711}&quot; recid=&quot;1186&quot;&gt;&lt;Data&gt;&lt;Field id=&quot;AccessNum&quot;&gt;29052273&lt;/Field&gt;&lt;Field id=&quot;Author&quot; FirstData=&quot;0&quot; FirstStyle=&quot;655360&quot; OtherStyle=&quot;0&quot;&gt;Zhao X;Wu M;Zhang D;Sun Y;Yang Y;Xie H;Su Y;Jia J;Zhang S;&lt;/Field&gt;&lt;Field id=&quot;AuthorTrans&quot;&gt;&lt;/Field&gt;&lt;Field id=&quot;DOI&quot;&gt;10.1111/jocn.14114&lt;/Field&gt;&lt;Field id=&quot;Editor&quot;&gt;&lt;/Field&gt;&lt;Field id=&quot;FmtTitle&quot;&gt;&lt;/Field&gt;&lt;Field id=&quot;FullAuthor&quot;&gt;Zhao, Xia;Wu, Menglian;Zhang, Dan;Sun, Yaoyao;Yang, Yang;Xie, Hui;Su, Yonggang;Jia, Jihui;Zhang, Shuhong;&lt;/Field&gt;&lt;Field id=&quot;ISSN&quot;&gt;0962-1067&lt;/Field&gt;&lt;Field id=&quot;Issue&quot;&gt;5-6&lt;/Field&gt;&lt;Field id=&quot;LIID&quot;&gt;1186&lt;/Field&gt;&lt;Field id=&quot;Magazine&quot;&gt;Journal of clinical nursing&lt;/Field&gt;&lt;Field id=&quot;MagazineAB&quot;&gt;J Clin Nurs&lt;/Field&gt;&lt;Field id=&quot;MagazineTrans&quot;&gt;&lt;/Field&gt;&lt;Field id=&quot;PageNum&quot;&gt;e984-e991&lt;/Field&gt;&lt;Field id=&quot;PubDate&quot;&gt;Mar&lt;/Field&gt;&lt;Field id=&quot;PubPlace&quot;&gt;England&lt;/Field&gt;&lt;Field id=&quot;PubPlaceTrans&quot;&gt;&lt;/Field&gt;&lt;Field id=&quot;PubYear&quot;&gt;2018&lt;/Field&gt;&lt;Field id=&quot;Publisher&quot;&gt;Wiley-Blackwell Publishing Ltd&lt;/Field&gt;&lt;Field id=&quot;PublisherTrans&quot;&gt;&lt;/Field&gt;&lt;Field id=&quot;TITrans&quot;&gt;&lt;/Field&gt;&lt;Field id=&quot;Title&quot;&gt;The relationship of interpersonal sensitivity and depression among patients with chronic atrophic gastritis: The mediating role of coping styles&lt;/Field&gt;&lt;Field id=&quot;Translator&quot;&gt;&lt;/Field&gt;&lt;Field id=&quot;Type&quot;&gt;{041D4F77-279E-4405-0002-4388361B9CFF}&lt;/Field&gt;&lt;Field id=&quot;Version&quot;&gt;&lt;/Field&gt;&lt;Field id=&quot;Vol&quot;&gt;27&lt;/Field&gt;&lt;Field id=&quot;Factor&quot;&gt;4.2&lt;/Field&gt;&lt;Field id=&quot;Author2&quot;&gt;Zhao,Xia;Wu,Menglian;Zhang,Dan;&lt;/Field&gt;&lt;/Data&gt;&lt;Ref&gt;&lt;Display&gt;&lt;Text StringText=&quot;「RefIndex」&quot; StringTextOri=&quot;「RefIndex」&quot; SuperScript=&quot;true&quot;/&gt;&lt;/Display&gt;&lt;/Ref&gt;&lt;Doc&gt;&lt;Display&gt;&lt;Text StringText=&quot;Zhao, Xia, Wu, Menglian, Zhang, Dan, et al&quot; StringGroup=&quot;Author&quot;/&gt;_x000d__x000a_   &lt;Text StringText=&quot;. &quot; StringGroup=&quot;Author&quot;/&gt;_x000d__x000a_   &lt;Text StringText=&quot;The relationship of interpersonal sensitivity and depression among patients with chronic atrophic gastritis: The mediating role of coping styles&quot; StringGroup=&quot;Title&quot;/&gt;_x000d__x000a_   &lt;Text StringText=&quot;[J]. &quot; StringGroup=&quot;Title&quot;/&gt;_x000d__x000a_   &lt;Text StringText=&quot;J Clin Nurs&quot; StringGroup=&quot;Magazine&quot;/&gt;_x000d__x000a_   &lt;Text StringText=&quot;, &quot; StringGroup=&quot;Magazine&quot;/&gt;_x000d__x000a_   &lt;Text StringText=&quot;2018&quot; StringGroup=&quot;PubYear&quot;/&gt;_x000d__x000a_   &lt;Text StringText=&quot;,&quot; StringGroup=&quot;PubYear&quot;/&gt;_x000d__x000a_   &lt;Text StringText=&quot;27&quot; StringGroup=&quot;Vol&quot;/&gt;_x000d__x000a_   &lt;Text StringText=&quot;(&quot; StringGroup=&quot;Issue&quot;/&gt;_x000d__x000a_   &lt;Text StringText=&quot;5-6&quot; StringGroup=&quot;Issue&quot;/&gt;_x000d__x000a_   &lt;Text StringText=&quot;)&quot; StringGroup=&quot;Issue&quot;/&gt;_x000d__x000a_   &lt;Text StringText=&quot;:&quot; StringGroup=&quot;PageNum&quot;/&gt;_x000d__x000a_   &lt;Text StringText=&quot;e984-e991&quot; StringGroup=&quot;PageNum&quot;/&gt;_x000d__x000a_   &lt;Text StringText=&quot;.&quot; StringGroup=&quot;none&quot;/&gt;_x000d__x000a_  &lt;/Display&gt;&lt;/Doc&gt;&lt;/KyMRNote&gt;"/>
    <w:docVar w:name="KY.MR.DATA{8F215C65-BADE-4FD0-B26F-6DF5A5DBD711}1187" w:val="&lt;KyMRNote dbid=&quot;{8F215C65-BADE-4FD0-B26F-6DF5A5DBD711}&quot; recid=&quot;1187&quot;&gt;&lt;Data&gt;&lt;Field id=&quot;AccessNum&quot;&gt;41137020&lt;/Field&gt;&lt;Field id=&quot;Author&quot; FirstData=&quot;0&quot; FirstStyle=&quot;851968&quot; OtherStyle=&quot;0&quot;&gt;Bazyar H;Sadeghi R;Masoudi MR;Azadbakht MK;Dayani M;Ghani MH;Karimi M;Amiri MM;Dianati M;&lt;/Field&gt;&lt;Field id=&quot;AuthorTrans&quot;&gt;&lt;/Field&gt;&lt;Field id=&quot;DOI&quot;&gt;10.1186/s12902-025-02061-5&lt;/Field&gt;&lt;Field id=&quot;Editor&quot;&gt;&lt;/Field&gt;&lt;Field id=&quot;FmtTitle&quot;&gt;&lt;/Field&gt;&lt;Field id=&quot;FullAuthor&quot;&gt;Bazyar, Hadi;Sadeghi, Reza;Masoudi, Mahmood Reza;Azadbakht, Mohammad Karim;Dayani, Masoud;Ghani, Mobina Haj;Karimi, Mahdi;Amiri, Mohammad Moqaddasi;Dianati, Mostafa;&lt;/Field&gt;&lt;Field id=&quot;ISSN&quot;&gt;1472-6823&lt;/Field&gt;&lt;Field id=&quot;Issue&quot;&gt;1&lt;/Field&gt;&lt;Field id=&quot;LIID&quot;&gt;1187&lt;/Field&gt;&lt;Field id=&quot;Magazine&quot;&gt;BMC endocrine disorders&lt;/Field&gt;&lt;Field id=&quot;MagazineAB&quot;&gt;BMC Endocr Disord&lt;/Field&gt;&lt;Field id=&quot;MagazineTrans&quot;&gt;&lt;/Field&gt;&lt;Field id=&quot;PageNum&quot;&gt;241&lt;/Field&gt;&lt;Field id=&quot;PubDate&quot;&gt;Oct 24&lt;/Field&gt;&lt;Field id=&quot;PubPlace&quot;&gt;England&lt;/Field&gt;&lt;Field id=&quot;PubPlaceTrans&quot;&gt;&lt;/Field&gt;&lt;Field id=&quot;PubYear&quot;&gt;2025&lt;/Field&gt;&lt;Field id=&quot;Publisher&quot;&gt;BioMed Central&lt;/Field&gt;&lt;Field id=&quot;PublisherTrans&quot;&gt;&lt;/Field&gt;&lt;Field id=&quot;TITrans&quot;&gt;&lt;/Field&gt;&lt;Field id=&quot;Title&quot;&gt;Establishing optimal cut-offs of cardio-metabolic indices for diagnosing metabolic syndrome in type 2 diabetes&lt;/Field&gt;&lt;Field id=&quot;Translator&quot;&gt;&lt;/Field&gt;&lt;Field id=&quot;Type&quot;&gt;{041D4F77-279E-4405-0002-4388361B9CFF}&lt;/Field&gt;&lt;Field id=&quot;Version&quot;&gt;&lt;/Field&gt;&lt;Field id=&quot;Vol&quot;&gt;25&lt;/Field&gt;&lt;Field id=&quot;Factor&quot;&gt;2.7&lt;/Field&gt;&lt;Field id=&quot;Author2&quot;&gt;Bazyar,Hadi;Sadeghi,Reza;Masoudi,Mahmood Reza;&lt;/Field&gt;&lt;/Data&gt;&lt;Ref&gt;&lt;Display&gt;&lt;Text StringText=&quot;「RefIndex」&quot; StringTextOri=&quot;「RefIndex」&quot; SuperScript=&quot;true&quot;/&gt;&lt;/Display&gt;&lt;/Ref&gt;&lt;Doc&gt;&lt;Display&gt;&lt;Text StringText=&quot;Bazyar, Hadi, Sadeghi, Reza, Masoudi, Mahmood Reza, et al&quot; StringGroup=&quot;Author&quot;/&gt;_x000d__x000a_   &lt;Text StringText=&quot;. &quot; StringGroup=&quot;Author&quot;/&gt;_x000d__x000a_   &lt;Text StringText=&quot;Establishing optimal cut-offs of cardio-metabolic indices for diagnosing metabolic syndrome in type 2 diabetes&quot; StringGroup=&quot;Title&quot;/&gt;_x000d__x000a_   &lt;Text StringText=&quot;[J]. &quot; StringGroup=&quot;Title&quot;/&gt;_x000d__x000a_   &lt;Text StringText=&quot;BMC Endocr Disord&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25&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241&quot; StringGroup=&quot;PageNum&quot;/&gt;_x000d__x000a_   &lt;Text StringText=&quot;.&quot; StringGroup=&quot;none&quot;/&gt;_x000d__x000a_  &lt;/Display&gt;&lt;/Doc&gt;&lt;/KyMRNote&gt;"/>
    <w:docVar w:name="KY.MR.DATA{8F215C65-BADE-4FD0-B26F-6DF5A5DBD711}1188" w:val="&lt;KyMRNote dbid=&quot;{8F215C65-BADE-4FD0-B26F-6DF5A5DBD711}&quot; recid=&quot;1188&quot;&gt;&lt;Data&gt;&lt;Field id=&quot;AccessNum&quot;&gt;40837609&lt;/Field&gt;&lt;Field id=&quot;Author&quot; FirstData=&quot;0&quot; FirstStyle=&quot;786432&quot; OtherStyle=&quot;0&quot;&gt;Sun Y;Bai C;Yin S;Liu J;&lt;/Field&gt;&lt;Field id=&quot;AuthorTrans&quot;&gt;&lt;/Field&gt;&lt;Field id=&quot;DOI&quot;&gt;10.2147/DMSO.S539166&lt;/Field&gt;&lt;Field id=&quot;Editor&quot;&gt;&lt;/Field&gt;&lt;Field id=&quot;FmtTitle&quot;&gt;&lt;/Field&gt;&lt;Field id=&quot;FullAuthor&quot;&gt;Sun, Yazhao;Bai, Chunlan;Yin, Shitong;Liu, Jianfeng;&lt;/Field&gt;&lt;Field id=&quot;ISSN&quot;&gt;1178-7007&lt;/Field&gt;&lt;Field id=&quot;Issue&quot;&gt;&lt;/Field&gt;&lt;Field id=&quot;LIID&quot;&gt;1188&lt;/Field&gt;&lt;Field id=&quot;Magazine&quot;&gt;Diabetes, metabolic syndrome and obesity : targets and therapy&lt;/Field&gt;&lt;Field id=&quot;MagazineAB&quot;&gt;Diabetes Metab Syndr Obes&lt;/Field&gt;&lt;Field id=&quot;MagazineTrans&quot;&gt;&lt;/Field&gt;&lt;Field id=&quot;PageNum&quot;&gt;2899-2911&lt;/Field&gt;&lt;Field id=&quot;PubDate&quot;&gt;&lt;/Field&gt;&lt;Field id=&quot;PubPlace&quot;&gt;New Zealand&lt;/Field&gt;&lt;Field id=&quot;PubPlaceTrans&quot;&gt;&lt;/Field&gt;&lt;Field id=&quot;PubYear&quot;&gt;2025&lt;/Field&gt;&lt;Field id=&quot;Publisher&quot;&gt;Dove Medical Press Ltd.&lt;/Field&gt;&lt;Field id=&quot;PublisherTrans&quot;&gt;&lt;/Field&gt;&lt;Field id=&quot;TITrans&quot;&gt;&lt;/Field&gt;&lt;Field id=&quot;Title&quot;&gt;Assessment of the Association Between Cardiac Metabolic Markers and Carotid Atherosclerosis, and the Role of Insulin Resistance&lt;/Field&gt;&lt;Field id=&quot;Translator&quot;&gt;&lt;/Field&gt;&lt;Field id=&quot;Type&quot;&gt;{041D4F77-279E-4405-0002-4388361B9CFF}&lt;/Field&gt;&lt;Field id=&quot;Version&quot;&gt;&lt;/Field&gt;&lt;Field id=&quot;Vol&quot;&gt;18&lt;/Field&gt;&lt;Field id=&quot;Factor&quot;&gt;3.3&lt;/Field&gt;&lt;Field id=&quot;Author2&quot;&gt;Sun,Yazhao;Bai,Chunlan;Yin,Shitong;&lt;/Field&gt;&lt;/Data&gt;&lt;Ref&gt;&lt;Display&gt;&lt;Text StringText=&quot;「RefIndex」&quot; StringTextOri=&quot;「RefIndex」&quot; SuperScript=&quot;true&quot;/&gt;&lt;/Display&gt;&lt;/Ref&gt;&lt;Doc&gt;&lt;Display&gt;&lt;Text StringText=&quot;Sun, Yazhao, Bai, Chunlan, Yin, Shitong, et al&quot; StringGroup=&quot;Author&quot;/&gt;_x000d__x000a_   &lt;Text StringText=&quot;. &quot; StringGroup=&quot;Author&quot;/&gt;_x000d__x000a_   &lt;Text StringText=&quot;Assessment of the Association Between Cardiac Metabolic Markers and Carotid Atherosclerosis, and the Role of Insulin Resistance&quot; StringGroup=&quot;Title&quot;/&gt;_x000d__x000a_   &lt;Text StringText=&quot;[J]. &quot; StringGroup=&quot;Title&quot;/&gt;_x000d__x000a_   &lt;Text StringText=&quot;Diabetes Metab Syndr Obes&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18&quot; StringGroup=&quot;Vol&quot;/&gt;_x000d__x000a_   &lt;Text StringText=&quot;:&quot; StringGroup=&quot;PageNum&quot;/&gt;_x000d__x000a_   &lt;Text StringText=&quot;2899-2911&quot; StringGroup=&quot;PageNum&quot;/&gt;_x000d__x000a_   &lt;Text StringText=&quot;.&quot; StringGroup=&quot;none&quot;/&gt;_x000d__x000a_  &lt;/Display&gt;&lt;/Doc&gt;&lt;/KyMRNote&gt;"/>
    <w:docVar w:name="KY.MR.DATA{8F215C65-BADE-4FD0-B26F-6DF5A5DBD711}1189" w:val="&lt;KyMRNote dbid=&quot;{8F215C65-BADE-4FD0-B26F-6DF5A5DBD711}&quot; recid=&quot;1189&quot;&gt;&lt;Data&gt;&lt;Field id=&quot;AccessNum&quot;&gt;40722646&lt;/Field&gt;&lt;Field id=&quot;Author&quot; FirstData=&quot;0&quot; FirstStyle=&quot;851968&quot; OtherStyle=&quot;0&quot;&gt;Lee F;Moore J;Markouli M;Ghusn W;&lt;/Field&gt;&lt;Field id=&quot;AuthorTrans&quot;&gt;&lt;/Field&gt;&lt;Field id=&quot;DOI&quot;&gt;10.3390/biomedicines13071571&lt;/Field&gt;&lt;Field id=&quot;Editor&quot;&gt;&lt;/Field&gt;&lt;Field id=&quot;FmtTitle&quot;&gt;&lt;/Field&gt;&lt;Field id=&quot;FullAuthor&quot;&gt;Lee, Felicia;Moore, Jessica;Markouli, Mariam;Ghusn, Wissam;&lt;/Field&gt;&lt;Field id=&quot;ISSN&quot;&gt;2227-9059&lt;/Field&gt;&lt;Field id=&quot;Issue&quot;&gt;7&lt;/Field&gt;&lt;Field id=&quot;LIID&quot;&gt;1189&lt;/Field&gt;&lt;Field id=&quot;Magazine&quot;&gt;Biomedicines&lt;/Field&gt;&lt;Field id=&quot;MagazineAB&quot;&gt;Biomedicines&lt;/Field&gt;&lt;Field id=&quot;MagazineTrans&quot;&gt;&lt;/Field&gt;&lt;Field id=&quot;PageNum&quot;&gt;1571&lt;/Field&gt;&lt;Field id=&quot;PubDate&quot;&gt;Jun 26&lt;/Field&gt;&lt;Field id=&quot;PubPlace&quot;&gt;Switzerland&lt;/Field&gt;&lt;Field id=&quot;PubPlaceTrans&quot;&gt;&lt;/Field&gt;&lt;Field id=&quot;PubYear&quot;&gt;2025&lt;/Field&gt;&lt;Field id=&quot;Publisher&quot;&gt;Multidisciplinary Digital Publishing Institute (MDPI)&lt;/Field&gt;&lt;Field id=&quot;PublisherTrans&quot;&gt;&lt;/Field&gt;&lt;Field id=&quot;TITrans&quot;&gt;&lt;/Field&gt;&lt;Field id=&quot;Title&quot;&gt;The Oncogenic Burden of Obesity: Mechanistic Links Between Adiposity and Gastrointestinal Cancers-A Comprehensive Narrative Review&lt;/Field&gt;&lt;Field id=&quot;Translator&quot;&gt;&lt;/Field&gt;&lt;Field id=&quot;Type&quot;&gt;{041D4F77-279E-4405-0002-4388361B9CFF}&lt;/Field&gt;&lt;Field id=&quot;Version&quot;&gt;&lt;/Field&gt;&lt;Field id=&quot;Vol&quot;&gt;13&lt;/Field&gt;&lt;Field id=&quot;Factor&quot;&gt;4.7&lt;/Field&gt;&lt;Field id=&quot;Author2&quot;&gt;Lee,Felicia;Moore,Jessica;Markouli,Mariam;&lt;/Field&gt;&lt;/Data&gt;&lt;Ref&gt;&lt;Display&gt;&lt;Text StringText=&quot;「RefIndex」&quot; StringTextOri=&quot;「RefIndex」&quot; SuperScript=&quot;true&quot;/&gt;&lt;/Display&gt;&lt;/Ref&gt;&lt;Doc&gt;&lt;Display&gt;&lt;Text StringText=&quot;Lee, Felicia, Moore, Jessica, Markouli, Mariam, et al&quot; StringGroup=&quot;Author&quot;/&gt;_x000d__x000a_   &lt;Text StringText=&quot;. &quot; StringGroup=&quot;Author&quot;/&gt;_x000d__x000a_   &lt;Text StringText=&quot;The Oncogenic Burden of Obesity: Mechanistic Links Between Adiposity and Gastrointestinal Cancers-A Comprehensive Narrative Review&quot; StringGroup=&quot;Title&quot;/&gt;_x000d__x000a_   &lt;Text StringText=&quot;[J]. &quot; StringGroup=&quot;Title&quot;/&gt;_x000d__x000a_   &lt;Text StringText=&quot;Biomedicines&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13&quot; StringGroup=&quot;Vol&quot;/&gt;_x000d__x000a_   &lt;Text StringText=&quot;(&quot; StringGroup=&quot;Issue&quot;/&gt;_x000d__x000a_   &lt;Text StringText=&quot;7&quot; StringGroup=&quot;Issue&quot;/&gt;_x000d__x000a_   &lt;Text StringText=&quot;)&quot; StringGroup=&quot;Issue&quot;/&gt;_x000d__x000a_   &lt;Text StringText=&quot;:&quot; StringGroup=&quot;PageNum&quot;/&gt;_x000d__x000a_   &lt;Text StringText=&quot;1571&quot; StringGroup=&quot;PageNum&quot;/&gt;_x000d__x000a_   &lt;Text StringText=&quot;.&quot; StringGroup=&quot;none&quot;/&gt;_x000d__x000a_  &lt;/Display&gt;&lt;/Doc&gt;&lt;/KyMRNote&gt;"/>
    <w:docVar w:name="KY.MR.DATA{8F215C65-BADE-4FD0-B26F-6DF5A5DBD711}1399" w:val="&lt;KyMRNote dbid=&quot;{8F215C65-BADE-4FD0-B26F-6DF5A5DBD711}&quot; recid=&quot;1399&quot;&gt;&lt;Data&gt;&lt;Field id=&quot;AccessNum&quot;&gt;41044230&lt;/Field&gt;&lt;Field id=&quot;Author&quot; FirstData=&quot;0&quot; FirstStyle=&quot;786432&quot; OtherStyle=&quot;0&quot;&gt;Feng X;Zhu J;Dai C;Hua Z;Zhu J&lt;/Field&gt;&lt;Field id=&quot;AuthorTrans&quot;&gt;&lt;/Field&gt;&lt;Field id=&quot;DOI&quot;&gt;10.1038/s41598-025-17822-4&lt;/Field&gt;&lt;Field id=&quot;Editor&quot;&gt;&lt;/Field&gt;&lt;Field id=&quot;FmtTitle&quot;&gt;&lt;/Field&gt;&lt;Field id=&quot;FullAuthor&quot;&gt;Xiang, Feng;Jinhua, Zhu;Chun, Dai;Zhaolai, Hua;Jiashan, Zhu&lt;/Field&gt;&lt;Field id=&quot;ISSN&quot;&gt;2045-2322&lt;/Field&gt;&lt;Field id=&quot;Issue&quot;&gt;1&lt;/Field&gt;&lt;Field id=&quot;LIID&quot;&gt;1399&lt;/Field&gt;&lt;Field id=&quot;Magazine&quot;&gt;Scientific reports&lt;/Field&gt;&lt;Field id=&quot;MagazineAB&quot;&gt;Sci Rep&lt;/Field&gt;&lt;Field id=&quot;MagazineTrans&quot;&gt;&lt;/Field&gt;&lt;Field id=&quot;PageNum&quot;&gt;34533&lt;/Field&gt;&lt;Field id=&quot;PubDate&quot;&gt;2025 Oct 03&lt;/Field&gt;&lt;Field id=&quot;PubPlace&quot;&gt;England&lt;/Field&gt;&lt;Field id=&quot;PubPlaceTrans&quot;&gt;&lt;/Field&gt;&lt;Field id=&quot;PubYear&quot;&gt;2025&lt;/Field&gt;&lt;Field id=&quot;Publisher&quot;&gt;Springer Nature&lt;/Field&gt;&lt;Field id=&quot;PublisherTrans&quot;&gt;&lt;/Field&gt;&lt;Field id=&quot;TITrans&quot;&gt;&lt;/Field&gt;&lt;Field id=&quot;Title&quot;&gt;Coprevalence of modifiable gastric cancer risk factors and gastric health among Chinese high-risk groups&lt;/Field&gt;&lt;Field id=&quot;Translator&quot;&gt;&lt;/Field&gt;&lt;Field id=&quot;Type&quot;&gt;{041D4F77-279E-4405-0002-4388361B9CFF}&lt;/Field&gt;&lt;Field id=&quot;Version&quot;&gt;&lt;/Field&gt;&lt;Field id=&quot;Vol&quot;&gt;15&lt;/Field&gt;&lt;Field id=&quot;Factor&quot;&gt;3.9&lt;/Field&gt;&lt;Field id=&quot;Author2&quot;&gt;Xiang,Feng;Jinhua,Zhu;Chun,Dai;&lt;/Field&gt;&lt;/Data&gt;&lt;Ref&gt;&lt;Display&gt;&lt;Text StringText=&quot;「RefIndex」&quot; StringTextOri=&quot;「RefIndex」&quot; SuperScript=&quot;true&quot;/&gt;&lt;/Display&gt;&lt;/Ref&gt;&lt;Doc&gt;&lt;Display&gt;&lt;Text StringText=&quot;Xiang, Feng, Jinhua, Zhu, Chun, Dai, et al&quot; StringGroup=&quot;Author&quot;/&gt;_x000d__x000a_   &lt;Text StringText=&quot;. &quot; StringGroup=&quot;Author&quot;/&gt;_x000d__x000a_   &lt;Text StringText=&quot;Coprevalence of modifiable gastric cancer risk factors and gastric health among Chinese high-risk groups&quot; StringGroup=&quot;Title&quot;/&gt;_x000d__x000a_   &lt;Text StringText=&quot;[J]. &quot; StringGroup=&quot;Title&quot;/&gt;_x000d__x000a_   &lt;Text StringText=&quot;Sci Rep&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15&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34533&quot; StringGroup=&quot;PageNum&quot;/&gt;_x000d__x000a_   &lt;Text StringText=&quot;.&quot; StringGroup=&quot;none&quot;/&gt;_x000d__x000a_  &lt;/Display&gt;&lt;/Doc&gt;&lt;/KyMRNote&gt;"/>
    <w:docVar w:name="KY.MR.DATA{96D92876-0348-451D-8565-038C0D43D940}1146" w:val="&lt;KyMRNote dbid=&quot;{96D92876-0348-451D-8565-038C0D43D940}&quot; recid=&quot;1146&quot;&gt;&lt;Data&gt;&lt;Field id=&quot;AccessNum&quot;&gt;38572751&lt;/Field&gt;&lt;Field id=&quot;Author&quot; FirstData=&quot;0&quot; FirstStyle=&quot;917504&quot; OtherStyle=&quot;0&quot;&gt;Freddie Bray;Mathieu Laversanne;Hyuna Sung;Jacques Ferlay;Rebecca L Siegel;Isabelle Soerjomataram;Ahmedin Jemal&lt;/Field&gt;&lt;Field id=&quot;AuthorTrans&quot;&gt;&lt;/Field&gt;&lt;Field id=&quot;DOI&quot;&gt;10.3322/caac.21834&lt;/Field&gt;&lt;Field id=&quot;Editor&quot;&gt;&lt;/Field&gt;&lt;Field id=&quot;FmtTitle&quot;&gt;&lt;/Field&gt;&lt;Field id=&quot;FullAuthor&quot;&gt;&lt;/Field&gt;&lt;Field id=&quot;ISSN&quot;&gt;&lt;/Field&gt;&lt;Field id=&quot;Issue&quot;&gt;3&lt;/Field&gt;&lt;Field id=&quot;LIID&quot;&gt;1146&lt;/Field&gt;&lt;Field id=&quot;Magazine&quot;&gt;CA: a cancer journal for clinicians&lt;/Field&gt;&lt;Field id=&quot;MagazineAB&quot;&gt;CA Cancer J Clin&lt;/Field&gt;&lt;Field id=&quot;MagazineTrans&quot;&gt;&lt;/Field&gt;&lt;Field id=&quot;PageNum&quot;&gt;229-263&lt;/Field&gt;&lt;Field id=&quot;PubDate&quot;&gt;&lt;/Field&gt;&lt;Field id=&quot;PubPlace&quot;&gt;New York,&lt;/Field&gt;&lt;Field id=&quot;PubPlaceTrans&quot;&gt;&lt;/Field&gt;&lt;Field id=&quot;PubYear&quot;&gt;2024&lt;/Field&gt;&lt;Field id=&quot;Publisher&quot;&gt;Wiley-Blackwell&lt;/Field&gt;&lt;Field id=&quot;PublisherTrans&quot;&gt;&lt;/Field&gt;&lt;Field id=&quot;TITrans&quot;&gt;&lt;/Field&gt;&lt;Field id=&quot;Title&quot;&gt;Global cancer statistics 2022: GLOBOCAN estimates of incidence and mortality worldwide for 36 cancers in 185 countries&lt;/Field&gt;&lt;Field id=&quot;Translator&quot;&gt;&lt;/Field&gt;&lt;Field id=&quot;Type&quot;&gt;{041D4F77-279E-4405-0002-4388361B9CFF}&lt;/Field&gt;&lt;Field id=&quot;Version&quot;&gt;&lt;/Field&gt;&lt;Field id=&quot;Vol&quot;&gt;74&lt;/Field&gt;&lt;Field id=&quot;Factor&quot;&gt;232.4&lt;/Field&gt;&lt;Field id=&quot;Author2&quot;&gt;Bray,Freddie;Laversanne,Mathieu;Sung,Hyuna;&lt;/Field&gt;&lt;/Data&gt;&lt;Ref&gt;&lt;Display&gt;&lt;Text StringText=&quot;「RefIndex」&quot; StringTextOri=&quot;「RefIndex」&quot; SuperScript=&quot;true&quot;/&gt;&lt;/Display&gt;&lt;/Ref&gt;&lt;Doc&gt;&lt;Display&gt;&lt;Text StringText=&quot;Bray, Freddie, Laversanne, Mathieu, Sung, Hyuna, et al&quot; StringGroup=&quot;Author&quot;/&gt;_x000d__x000a_   &lt;Text StringText=&quot;. &quot; StringGroup=&quot;Author&quot;/&gt;_x000d__x000a_   &lt;Text StringText=&quot;Global cancer statistics 2022: GLOBOCAN estimates of incidence and mortality worldwide for 36 cancers in 185 countries&quot; StringGroup=&quot;Title&quot;/&gt;_x000d__x000a_   &lt;Text StringText=&quot;[J]. &quot; StringGroup=&quot;Title&quot;/&gt;_x000d__x000a_   &lt;Text StringText=&quot;CA Cancer J Clin&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74&quot; StringGroup=&quot;Vol&quot;/&gt;_x000d__x000a_   &lt;Text StringText=&quot;(&quot; StringGroup=&quot;Issue&quot;/&gt;_x000d__x000a_   &lt;Text StringText=&quot;3&quot; StringGroup=&quot;Issue&quot;/&gt;_x000d__x000a_   &lt;Text StringText=&quot;)&quot; StringGroup=&quot;Issue&quot;/&gt;_x000d__x000a_   &lt;Text StringText=&quot;:&quot; StringGroup=&quot;PageNum&quot;/&gt;_x000d__x000a_   &lt;Text StringText=&quot;229-263&quot; StringGroup=&quot;PageNum&quot;/&gt;_x000d__x000a_   &lt;Text StringText=&quot;.&quot; StringGroup=&quot;none&quot;/&gt;_x000d__x000a_  &lt;/Display&gt;&lt;/Doc&gt;&lt;/KyMRNote&gt;"/>
    <w:docVar w:name="KY.MR.DATA{96D92876-0348-451D-8565-038C0D43D940}1147" w:val="&lt;KyMRNote dbid=&quot;{96D92876-0348-451D-8565-038C0D43D940}&quot; recid=&quot;1147&quot;&gt;&lt;Data&gt;&lt;Field id=&quot;AccessNum&quot;&gt;&lt;/Field&gt;&lt;Field id=&quot;Author&quot; FirstData=&quot;0&quot; FirstStyle=&quot;196608&quot; OtherStyle=&quot;0&quot;&gt;张希;杨雷;刘硕;曹莉莉;王宁;李慧超;季加孚&lt;/Field&gt;&lt;Field id=&quot;AuthorTrans&quot;&gt;&lt;/Field&gt;&lt;Field id=&quot;DOI&quot;&gt;10.3760/cma.j.cn112152-20240416-00152&lt;/Field&gt;&lt;Field id=&quot;Editor&quot;&gt;&lt;/Field&gt;&lt;Field id=&quot;FmtTitle&quot;&gt;&lt;/Field&gt;&lt;Field id=&quot;FullAuthor&quot;&gt;&lt;/Field&gt;&lt;Field id=&quot;ISSN&quot;&gt;0253-3766&lt;/Field&gt;&lt;Field id=&quot;Issue&quot;&gt;7&lt;/Field&gt;&lt;Field id=&quot;LIID&quot;&gt;1147&lt;/Field&gt;&lt;Field id=&quot;Magazine&quot;&gt;中华肿瘤杂志&lt;/Field&gt;&lt;Field id=&quot;MagazineAB&quot;&gt;&lt;/Field&gt;&lt;Field id=&quot;MagazineTrans&quot;&gt;Chin J Oncol&lt;/Field&gt;&lt;Field id=&quot;PageNum&quot;&gt;710-721&lt;/Field&gt;&lt;Field id=&quot;PubDate&quot;&gt;&lt;/Field&gt;&lt;Field id=&quot;PubPlace&quot;&gt;其他&lt;/Field&gt;&lt;Field id=&quot;PubPlaceTrans&quot;&gt;&lt;/Field&gt;&lt;Field id=&quot;PubYear&quot;&gt;2024&lt;/Field&gt;&lt;Field id=&quot;Publisher&quot;&gt; 中华医学会 &lt;/Field&gt;&lt;Field id=&quot;PublisherTrans&quot;&gt;&lt;/Field&gt;&lt;Field id=&quot;TITrans&quot;&gt;Interpretation on the report of global cancer statistics 2022&lt;/Field&gt;&lt;Field id=&quot;Title&quot;&gt;2022年全球恶性肿瘤统计报告解读&lt;/Field&gt;&lt;Field id=&quot;Translator&quot;&gt;&lt;/Field&gt;&lt;Field id=&quot;Type&quot;&gt;{041D4F77-279E-4405-0002-4388361B9CFF}&lt;/Field&gt;&lt;Field id=&quot;Version&quot;&gt;&lt;/Field&gt;&lt;Field id=&quot;Vol&quot;&gt;&lt;/Field&gt;&lt;Field id=&quot;Factor&quot;/&gt;&lt;Field id=&quot;Author2&quot;&gt;张希,;杨雷,;刘硕,;&lt;/Field&gt;&lt;/Data&gt;&lt;Ref&gt;&lt;Display&gt;&lt;Text StringText=&quot;「RefIndex」&quot; StringTextOri=&quot;「RefIndex」&quot; SuperScript=&quot;true&quot;/&gt;&lt;/Display&gt;&lt;/Ref&gt;&lt;Doc&gt;&lt;Display&gt;&lt;Text StringText=&quot;张希, 杨雷, 刘硕, 等.&quot; StringGroup=&quot;Author&quot;/&gt;_x000d__x000a_   &lt;Text StringText=&quot; &quot; StringGroup=&quot;Author&quot;/&gt;_x000d__x000a_   &lt;Text StringText=&quot;2022年全球恶性肿瘤统计报告解读&quot; StringGroup=&quot;Title&quot;/&gt;_x000d__x000a_   &lt;Text StringText=&quot;[J]. &quot; StringGroup=&quot;Title&quot;/&gt;_x000d__x000a_   &lt;Text StringText=&quot;中华肿瘤杂志&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quot; StringGroup=&quot;Issue&quot;/&gt;_x000d__x000a_   &lt;Text StringText=&quot;7&quot; StringGroup=&quot;Issue&quot;/&gt;_x000d__x000a_   &lt;Text StringText=&quot;)&quot; StringGroup=&quot;Issue&quot;/&gt;_x000d__x000a_   &lt;Text StringText=&quot;:&quot; StringGroup=&quot;PageNum&quot;/&gt;_x000d__x000a_   &lt;Text StringText=&quot;710-721&quot; StringGroup=&quot;PageNum&quot;/&gt;_x000d__x000a_   &lt;Text StringText=&quot;.&quot; StringGroup=&quot;none&quot;/&gt;_x000d__x000a_  &lt;/Display&gt;&lt;/Doc&gt;&lt;/KyMRNote&gt;"/>
    <w:docVar w:name="KY.MR.DATA{96D92876-0348-451D-8565-038C0D43D940}1148" w:val="&lt;KyMRNote dbid=&quot;{96D92876-0348-451D-8565-038C0D43D940}&quot; recid=&quot;1148&quot;&gt;&lt;Data&gt;&lt;Field id=&quot;AccessNum&quot;&gt;&lt;/Field&gt;&lt;Field id=&quot;Author&quot; FirstData=&quot;0&quot; FirstStyle=&quot;262144&quot; OtherStyle=&quot;0&quot;&gt;余炜燕;李雪;朱娟;丁雨蒙;陶欢青;杜灵彬&lt;/Field&gt;&lt;Field id=&quot;AuthorTrans&quot;&gt;&lt;/Field&gt;&lt;Field id=&quot;DOI&quot;&gt;10.3760/cma.j.cn112152-20240831-00376&lt;/Field&gt;&lt;Field id=&quot;Editor&quot;&gt;&lt;/Field&gt;&lt;Field id=&quot;FmtTitle&quot;&gt;&lt;/Field&gt;&lt;Field id=&quot;FullAuthor&quot;&gt;&lt;/Field&gt;&lt;Field id=&quot;ISSN&quot;&gt;0253-3766&lt;/Field&gt;&lt;Field id=&quot;Issue&quot;&gt;6&lt;/Field&gt;&lt;Field id=&quot;LIID&quot;&gt;1148&lt;/Field&gt;&lt;Field id=&quot;Magazine&quot;&gt;中华肿瘤杂志&lt;/Field&gt;&lt;Field id=&quot;MagazineAB&quot;&gt;&lt;/Field&gt;&lt;Field id=&quot;MagazineTrans&quot;&gt;Chin J Oncol&lt;/Field&gt;&lt;Field id=&quot;PageNum&quot;&gt;468-476&lt;/Field&gt;&lt;Field id=&quot;PubDate&quot;&gt;&lt;/Field&gt;&lt;Field id=&quot;PubPlace&quot;&gt;其他&lt;/Field&gt;&lt;Field id=&quot;PubPlaceTrans&quot;&gt;&lt;/Field&gt;&lt;Field id=&quot;PubYear&quot;&gt;2025&lt;/Field&gt;&lt;Field id=&quot;Publisher&quot;&gt; 中华医学会 &lt;/Field&gt;&lt;Field id=&quot;PublisherTrans&quot;&gt;&lt;/Field&gt;&lt;Field id=&quot;TITrans&quot;&gt;Epidemiological characteristics of gastric cancer in China and worldwide&lt;/Field&gt;&lt;Field id=&quot;Title&quot;&gt;中国及全球胃癌流行特征分析&lt;/Field&gt;&lt;Field id=&quot;Translator&quot;&gt;&lt;/Field&gt;&lt;Field id=&quot;Type&quot;&gt;{041D4F77-279E-4405-0002-4388361B9CFF}&lt;/Field&gt;&lt;Field id=&quot;Version&quot;&gt;&lt;/Field&gt;&lt;Field id=&quot;Vol&quot;&gt;&lt;/Field&gt;&lt;Field id=&quot;Factor&quot;/&gt;&lt;Field id=&quot;Author2&quot;&gt;余炜燕,;李雪,;朱娟,;&lt;/Field&gt;&lt;/Data&gt;&lt;Ref&gt;&lt;Display&gt;&lt;Text StringText=&quot;「RefIndex」&quot; StringTextOri=&quot;「RefIndex」&quot; SuperScript=&quot;true&quot;/&gt;&lt;/Display&gt;&lt;/Ref&gt;&lt;Doc&gt;&lt;Display&gt;&lt;Text StringText=&quot;余炜燕, 李雪, 朱娟, 等.&quot; StringGroup=&quot;Author&quot;/&gt;_x000d__x000a_   &lt;Text StringText=&quot; &quot; StringGroup=&quot;Author&quot;/&gt;_x000d__x000a_   &lt;Text StringText=&quot;中国及全球胃癌流行特征分析&quot; StringGroup=&quot;Title&quot;/&gt;_x000d__x000a_   &lt;Text StringText=&quot;[J]. &quot; StringGroup=&quot;Title&quot;/&gt;_x000d__x000a_   &lt;Text StringText=&quot;中华肿瘤杂志&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quot; StringGroup=&quot;Issue&quot;/&gt;_x000d__x000a_   &lt;Text StringText=&quot;6&quot; StringGroup=&quot;Issue&quot;/&gt;_x000d__x000a_   &lt;Text StringText=&quot;)&quot; StringGroup=&quot;Issue&quot;/&gt;_x000d__x000a_   &lt;Text StringText=&quot;:&quot; StringGroup=&quot;PageNum&quot;/&gt;_x000d__x000a_   &lt;Text StringText=&quot;468-476&quot; StringGroup=&quot;PageNum&quot;/&gt;_x000d__x000a_   &lt;Text StringText=&quot;.&quot; StringGroup=&quot;none&quot;/&gt;_x000d__x000a_  &lt;/Display&gt;&lt;/Doc&gt;&lt;/KyMRNote&gt;"/>
    <w:docVar w:name="KY.MR.DATA{96D92876-0348-451D-8565-038C0D43D940}1149" w:val="&lt;KyMRNote dbid=&quot;{96D92876-0348-451D-8565-038C0D43D940}&quot; recid=&quot;1149&quot;&gt;&lt;Data&gt;&lt;Field id=&quot;AccessNum&quot;&gt;&lt;/Field&gt;&lt;Field id=&quot;Author&quot; FirstData=&quot;0&quot; FirstStyle=&quot;1310720&quot; OtherStyle=&quot;0&quot;&gt;国家消化系疾病临床医学研究中心(上海);国家消化道早癌防治中心联盟;中华医学会消化病学分会幽门螺杆菌学组;中华医学会健康管理学分会;中国医师协会内镜医师分会消化内镜专业委员会;中国抗癌协会肿瘤内镜专业委员会&lt;/Field&gt;&lt;Field id=&quot;AuthorTrans&quot;&gt;&lt;/Field&gt;&lt;Field id=&quot;DOI&quot;&gt;10.3760/cma.j.cn311367-20200915-00554&lt;/Field&gt;&lt;Field id=&quot;Editor&quot;&gt;&lt;/Field&gt;&lt;Field id=&quot;FmtTitle&quot;&gt;&lt;/Field&gt;&lt;Field id=&quot;FullAuthor&quot;&gt;&lt;/Field&gt;&lt;Field id=&quot;ISSN&quot;&gt;0254-1432&lt;/Field&gt;&lt;Field id=&quot;Issue&quot;&gt;11&lt;/Field&gt;&lt;Field id=&quot;LIID&quot;&gt;1149&lt;/Field&gt;&lt;Field id=&quot;Magazine&quot;&gt;中华消化杂志&lt;/Field&gt;&lt;Field id=&quot;MagazineAB&quot;&gt;&lt;/Field&gt;&lt;Field id=&quot;MagazineTrans&quot;&gt;Chin J Dig&lt;/Field&gt;&lt;Field id=&quot;PageNum&quot;&gt;731-741&lt;/Field&gt;&lt;Field id=&quot;PubDate&quot;&gt;&lt;/Field&gt;&lt;Field id=&quot;PubPlace&quot;&gt;其他&lt;/Field&gt;&lt;Field id=&quot;PubPlaceTrans&quot;&gt;&lt;/Field&gt;&lt;Field id=&quot;PubYear&quot;&gt;2020&lt;/Field&gt;&lt;Field id=&quot;Publisher&quot;&gt; 中华医学会 &lt;/Field&gt;&lt;Field id=&quot;PublisherTrans&quot;&gt;&lt;/Field&gt;&lt;Field id=&quot;TITrans&quot;&gt;Chinese consensus on management of gastric epithelial precancerous conditions and lesions (2020)&lt;/Field&gt;&lt;Field id=&quot;Title&quot;&gt;中国胃黏膜癌前状态和癌前病变的处理策略专家共识(2020年)&lt;/Field&gt;&lt;Field id=&quot;Translator&quot;&gt;&lt;/Field&gt;&lt;Field id=&quot;Type&quot;&gt;{041D4F77-279E-4405-0002-4388361B9CFF}&lt;/Field&gt;&lt;Field id=&quot;Version&quot;&gt;&lt;/Field&gt;&lt;Field id=&quot;Vol&quot;&gt;&lt;/Field&gt;&lt;Field id=&quot;Factor&quot;/&gt;&lt;Field id=&quot;Author2&quot;&gt;国家消化系疾病临床医学研究中心(上海),;国家消化道早癌防治中心联盟,;中华医学会消化病学分会幽门螺杆菌学组,;&lt;/Field&gt;&lt;/Data&gt;&lt;Ref&gt;&lt;Display&gt;&lt;Text StringText=&quot;「RefIndex」&quot; StringTextOri=&quot;「RefIndex」&quot; SuperScript=&quot;true&quot;/&gt;&lt;/Display&gt;&lt;/Ref&gt;&lt;Doc&gt;&lt;Display&gt;&lt;Text StringText=&quot;国家消化系疾病临床医学研究中心(上海), 国家消化道早癌防治中心联盟, 中华医学会消化病学分会幽门螺杆菌学组, 等.&quot; StringGroup=&quot;Author&quot;/&gt;_x000d__x000a_   &lt;Text StringText=&quot; &quot; StringGroup=&quot;Author&quot;/&gt;_x000d__x000a_   &lt;Text StringText=&quot;中国胃黏膜癌前状态和癌前病变的处理策略专家共识(2020年)&quot; StringGroup=&quot;Title&quot;/&gt;_x000d__x000a_   &lt;Text StringText=&quot;[J]. &quot; StringGroup=&quot;Title&quot;/&gt;_x000d__x000a_   &lt;Text StringText=&quot;中华消化杂志&quot; StringGroup=&quot;Magazine&quot;/&gt;_x000d__x000a_   &lt;Text StringText=&quot;, &quot; StringGroup=&quot;Magazine&quot;/&gt;_x000d__x000a_   &lt;Text StringText=&quot;2020&quot; StringGroup=&quot;PubYear&quot;/&gt;_x000d__x000a_   &lt;Text StringText=&quot;,&quot; StringGroup=&quot;PubYear&quot;/&gt;_x000d__x000a_   &lt;Text StringText=&quot;(&quot; StringGroup=&quot;Issue&quot;/&gt;_x000d__x000a_   &lt;Text StringText=&quot;11&quot; StringGroup=&quot;Issue&quot;/&gt;_x000d__x000a_   &lt;Text StringText=&quot;)&quot; StringGroup=&quot;Issue&quot;/&gt;_x000d__x000a_   &lt;Text StringText=&quot;:&quot; StringGroup=&quot;PageNum&quot;/&gt;_x000d__x000a_   &lt;Text StringText=&quot;731-741&quot; StringGroup=&quot;PageNum&quot;/&gt;_x000d__x000a_   &lt;Text StringText=&quot;.&quot; StringGroup=&quot;none&quot;/&gt;_x000d__x000a_  &lt;/Display&gt;&lt;/Doc&gt;&lt;/KyMRNote&gt;"/>
    <w:docVar w:name="KY.MR.DATA{96D92876-0348-451D-8565-038C0D43D940}1150" w:val="&lt;KyMRNote dbid=&quot;{96D92876-0348-451D-8565-038C0D43D940}&quot; recid=&quot;1150&quot;&gt;&lt;Data&gt;&lt;Field id=&quot;AccessNum&quot;&gt;&lt;/Field&gt;&lt;Field id=&quot;Author&quot; FirstData=&quot;0&quot; FirstStyle=&quot;196608&quot; OtherStyle=&quot;0&quot;&gt;赫捷;陈万青;李兆申;李霓;任建松;田金徽;田文静;胡付兰;彭绩;中国胃癌筛查与早诊早治指南制定专家组;中国胃癌筛查与早诊早治指南制定工作组&lt;/Field&gt;&lt;Field id=&quot;AuthorTrans&quot;&gt;HE Jie;CHEN Wan-qing;LI Zhao-shen;LI Ni;Ren Jian-song;TIAN Jin-hui;TIAN Wen-jing;HU Fu-lan;PENG Ji;Expert Group of China Guideline for the Screening,Early Detection and Early Treatment of Gastric Cancer;Working Group of China Guideline for the Screening,Early Detection and Early Treatment of Gastric Cancer&lt;/Field&gt;&lt;Field id=&quot;DOI&quot;&gt;10.11735/j.issn.1004-0242.2022.07.A002&lt;/Field&gt;&lt;Field id=&quot;Editor&quot;&gt;&lt;/Field&gt;&lt;Field id=&quot;FmtTitle&quot;&gt;&lt;/Field&gt;&lt;Field id=&quot;FullAuthor&quot;&gt;&lt;/Field&gt;&lt;Field id=&quot;ISSN&quot;&gt;1004-0242&lt;/Field&gt;&lt;Field id=&quot;Issue&quot;&gt;7&lt;/Field&gt;&lt;Field id=&quot;LIID&quot;&gt;1150&lt;/Field&gt;&lt;Field id=&quot;Magazine&quot;&gt;中国肿瘤&lt;/Field&gt;&lt;Field id=&quot;MagazineAB&quot;&gt;&lt;/Field&gt;&lt;Field id=&quot;MagazineTrans&quot;&gt;&lt;/Field&gt;&lt;Field id=&quot;PageNum&quot;&gt;40&lt;/Field&gt;&lt;Field id=&quot;PubDate&quot;&gt;&lt;/Field&gt;&lt;Field id=&quot;PubPlace&quot;&gt;其他&lt;/Field&gt;&lt;Field id=&quot;PubPlaceTrans&quot;&gt;&lt;/Field&gt;&lt;Field id=&quot;PubYear&quot;&gt;2022&lt;/Field&gt;&lt;Field id=&quot;Publisher&quot;&gt; 中国医学科学院（全国肿瘤防治研究办公室） &lt;/Field&gt;&lt;Field id=&quot;PublisherTrans&quot;&gt;&lt;/Field&gt;&lt;Field id=&quot;TITrans&quot;&gt;China Guideline for the Screening,Early Detection and Early Treatment of Gastric Cancer(2022,Beijing)&lt;/Field&gt;&lt;Field id=&quot;Title&quot;&gt;中国胃癌筛查与早诊早治指南(2022,北京)&lt;/Field&gt;&lt;Field id=&quot;Translator&quot;&gt;&lt;/Field&gt;&lt;Field id=&quot;Type&quot;&gt;{041D4F77-279E-4405-0002-4388361B9CFF}&lt;/Field&gt;&lt;Field id=&quot;Version&quot;&gt;&lt;/Field&gt;&lt;Field id=&quot;Vol&quot;&gt;&lt;/Field&gt;&lt;Field id=&quot;Factor&quot;/&gt;&lt;Field id=&quot;Author2&quot;&gt;赫捷,;陈万青,;李兆申,;&lt;/Field&gt;&lt;/Data&gt;&lt;Ref&gt;&lt;Display&gt;&lt;Text StringText=&quot;「RefIndex」&quot; StringTextOri=&quot;「RefIndex」&quot; SuperScript=&quot;true&quot;/&gt;&lt;/Display&gt;&lt;/Ref&gt;&lt;Doc&gt;&lt;Display&gt;&lt;Text StringText=&quot;赫捷, 陈万青, 李兆申, 等.&quot; StringGroup=&quot;Author&quot;/&gt;_x000d__x000a_   &lt;Text StringText=&quot; &quot; StringGroup=&quot;Author&quot;/&gt;_x000d__x000a_   &lt;Text StringText=&quot;中国胃癌筛查与早诊早治指南(2022,北京)&quot; StringGroup=&quot;Title&quot;/&gt;_x000d__x000a_   &lt;Text StringText=&quot;[J]. &quot; StringGroup=&quot;Title&quot;/&gt;_x000d__x000a_   &lt;Text StringText=&quot;中国肿瘤&quot; StringGroup=&quot;Magazine&quot;/&gt;_x000d__x000a_   &lt;Text StringText=&quot;, &quot; StringGroup=&quot;Magazine&quot;/&gt;_x000d__x000a_   &lt;Text StringText=&quot;2022&quot; StringGroup=&quot;PubYear&quot;/&gt;_x000d__x000a_   &lt;Text StringText=&quot;,&quot; StringGroup=&quot;PubYear&quot;/&gt;_x000d__x000a_   &lt;Text StringText=&quot;(&quot; StringGroup=&quot;Issue&quot;/&gt;_x000d__x000a_   &lt;Text StringText=&quot;7&quot; StringGroup=&quot;Issue&quot;/&gt;_x000d__x000a_   &lt;Text StringText=&quot;)&quot; StringGroup=&quot;Issue&quot;/&gt;_x000d__x000a_   &lt;Text StringText=&quot;:&quot; StringGroup=&quot;PageNum&quot;/&gt;_x000d__x000a_   &lt;Text StringText=&quot;40&quot; StringGroup=&quot;PageNum&quot;/&gt;_x000d__x000a_   &lt;Text StringText=&quot;.&quot; StringGroup=&quot;none&quot;/&gt;_x000d__x000a_  &lt;/Display&gt;&lt;/Doc&gt;&lt;/KyMRNote&gt;"/>
    <w:docVar w:name="KY.MR.DATA{96D92876-0348-451D-8565-038C0D43D940}1151" w:val="&lt;KyMRNote dbid=&quot;{96D92876-0348-451D-8565-038C0D43D940}&quot; recid=&quot;1151&quot;&gt;&lt;Data&gt;&lt;Field id=&quot;AccessNum&quot;&gt;35732386&lt;/Field&gt;&lt;Field id=&quot;Author&quot; FirstData=&quot;0&quot; FirstStyle=&quot;983040&quot; OtherStyle=&quot;0&quot;&gt;Zhenpeng Yang;Huazhen Tang;Shuai Lu;Xibo Sun;Benqiang Rao&lt;/Field&gt;&lt;Field id=&quot;AuthorTrans&quot;&gt;&lt;/Field&gt;&lt;Field id=&quot;DOI&quot;&gt;10.1136/bmjopen-2021-052373&lt;/Field&gt;&lt;Field id=&quot;Editor&quot;&gt;&lt;/Field&gt;&lt;Field id=&quot;FmtTitle&quot;&gt;&lt;/Field&gt;&lt;Field id=&quot;FullAuthor&quot;&gt;&lt;/Field&gt;&lt;Field id=&quot;ISSN&quot;&gt;&lt;/Field&gt;&lt;Field id=&quot;Issue&quot;&gt;6&lt;/Field&gt;&lt;Field id=&quot;LIID&quot;&gt;1151&lt;/Field&gt;&lt;Field id=&quot;Magazine&quot;&gt;BMJ open&lt;/Field&gt;&lt;Field id=&quot;MagazineAB&quot;&gt;BMJ Open&lt;/Field&gt;&lt;Field id=&quot;MagazineTrans&quot;&gt;&lt;/Field&gt;&lt;Field id=&quot;PageNum&quot;&gt;e052373&lt;/Field&gt;&lt;Field id=&quot;PubDate&quot;&gt;&lt;/Field&gt;&lt;Field id=&quot;PubPlace&quot;&gt;[London] &lt;/Field&gt;&lt;Field id=&quot;PubPlaceTrans&quot;&gt;&lt;/Field&gt;&lt;Field id=&quot;PubYear&quot;&gt;2022&lt;/Field&gt;&lt;Field id=&quot;Publisher&quot;&gt;BMJ Publishing Group&lt;/Field&gt;&lt;Field id=&quot;PublisherTrans&quot;&gt;&lt;/Field&gt;&lt;Field id=&quot;TITrans&quot;&gt;&lt;/Field&gt;&lt;Field id=&quot;Title&quot;&gt;Relationship between serum lipid level and colorectal cancer: a systemic review and meta-analysis&lt;/Field&gt;&lt;Field id=&quot;Translator&quot;&gt;&lt;/Field&gt;&lt;Field id=&quot;Type&quot;&gt;{041D4F77-279E-4405-0002-4388361B9CFF}&lt;/Field&gt;&lt;Field id=&quot;Version&quot;&gt;&lt;/Field&gt;&lt;Field id=&quot;Vol&quot;&gt;12&lt;/Field&gt;&lt;Field id=&quot;Factor&quot;&gt;2.3&lt;/Field&gt;&lt;Field id=&quot;Author2&quot;&gt;Yang,Zhenpeng;Tang,Huazhen;Lu,Shuai;&lt;/Field&gt;&lt;/Data&gt;&lt;Ref&gt;&lt;Display&gt;&lt;Text StringText=&quot;「RefIndex」&quot; StringTextOri=&quot;「RefIndex」&quot; SuperScript=&quot;true&quot;/&gt;&lt;/Display&gt;&lt;/Ref&gt;&lt;Doc&gt;&lt;Display&gt;&lt;Text StringText=&quot;Yang, Zhenpeng, Tang, Huazhen, Lu, Shuai, et al&quot; StringGroup=&quot;Author&quot;/&gt;_x000d__x000a_   &lt;Text StringText=&quot;. &quot; StringGroup=&quot;Author&quot;/&gt;_x000d__x000a_   &lt;Text StringText=&quot;Relationship between serum lipid level and colorectal cancer: a systemic review and meta-analysis&quot; StringGroup=&quot;Title&quot;/&gt;_x000d__x000a_   &lt;Text StringText=&quot;[J]. &quot; StringGroup=&quot;Title&quot;/&gt;_x000d__x000a_   &lt;Text StringText=&quot;BMJ Open&quot; StringGroup=&quot;Magazine&quot;/&gt;_x000d__x000a_   &lt;Text StringText=&quot;, &quot; StringGroup=&quot;Magazine&quot;/&gt;_x000d__x000a_   &lt;Text StringText=&quot;2022&quot; StringGroup=&quot;PubYear&quot;/&gt;_x000d__x000a_   &lt;Text StringText=&quot;,&quot; StringGroup=&quot;PubYear&quot;/&gt;_x000d__x000a_   &lt;Text StringText=&quot;12&quot; StringGroup=&quot;Vol&quot;/&gt;_x000d__x000a_   &lt;Text StringText=&quot;(&quot; StringGroup=&quot;Issue&quot;/&gt;_x000d__x000a_   &lt;Text StringText=&quot;6&quot; StringGroup=&quot;Issue&quot;/&gt;_x000d__x000a_   &lt;Text StringText=&quot;)&quot; StringGroup=&quot;Issue&quot;/&gt;_x000d__x000a_   &lt;Text StringText=&quot;:&quot; StringGroup=&quot;PageNum&quot;/&gt;_x000d__x000a_   &lt;Text StringText=&quot;e052373&quot; StringGroup=&quot;PageNum&quot;/&gt;_x000d__x000a_   &lt;Text StringText=&quot;.&quot; StringGroup=&quot;none&quot;/&gt;_x000d__x000a_  &lt;/Display&gt;&lt;/Doc&gt;&lt;/KyMRNote&gt;"/>
    <w:docVar w:name="KY.MR.DATA{96D92876-0348-451D-8565-038C0D43D940}1152" w:val="&lt;KyMRNote dbid=&quot;{96D92876-0348-451D-8565-038C0D43D940}&quot; recid=&quot;1152&quot;&gt;&lt;Data&gt;&lt;Field id=&quot;AccessNum&quot;&gt;38376693&lt;/Field&gt;&lt;Field id=&quot;Author&quot; FirstData=&quot;0&quot; FirstStyle=&quot;917504&quot; OtherStyle=&quot;0&quot;&gt;Zhihui Zhang;Shicong Xu;Meixuan Song;Weirong Huang;Manlin Yan;Xianrong Li&lt;/Field&gt;&lt;Field id=&quot;AuthorTrans&quot;&gt;&lt;/Field&gt;&lt;Field id=&quot;DOI&quot;&gt;10.1007/s10552-024-01853-9&lt;/Field&gt;&lt;Field id=&quot;Editor&quot;&gt;&lt;/Field&gt;&lt;Field id=&quot;FmtTitle&quot;&gt;&lt;/Field&gt;&lt;Field id=&quot;FullAuthor&quot;&gt;&lt;/Field&gt;&lt;Field id=&quot;ISSN&quot;&gt;&lt;/Field&gt;&lt;Field id=&quot;Issue&quot;&gt;6&lt;/Field&gt;&lt;Field id=&quot;LIID&quot;&gt;1152&lt;/Field&gt;&lt;Field id=&quot;Magazine&quot;&gt;Cancer causes &amp;amp; control : CCC&lt;/Field&gt;&lt;Field id=&quot;MagazineAB&quot;&gt;Cancer Causes Control&lt;/Field&gt;&lt;Field id=&quot;MagazineTrans&quot;&gt;&lt;/Field&gt;&lt;Field id=&quot;PageNum&quot;&gt;943-953&lt;/Field&gt;&lt;Field id=&quot;PubDate&quot;&gt;&lt;/Field&gt;&lt;Field id=&quot;PubPlace&quot;&gt;Oxford, UK &lt;/Field&gt;&lt;Field id=&quot;PubPlaceTrans&quot;&gt;&lt;/Field&gt;&lt;Field id=&quot;PubYear&quot;&gt;2024&lt;/Field&gt;&lt;Field id=&quot;Publisher&quot;&gt;Springer International Publishing&lt;/Field&gt;&lt;Field id=&quot;PublisherTrans&quot;&gt;&lt;/Field&gt;&lt;Field id=&quot;TITrans&quot;&gt;血脂水平与肝癌风险之间的关联:系统评价和荟萃分析&lt;/Field&gt;&lt;Field id=&quot;Title&quot;&gt;Association between blood lipid levels and the risk of liver cancer: a systematic review and meta-analysis&lt;/Field&gt;&lt;Field id=&quot;Translator&quot;&gt;&lt;/Field&gt;&lt;Field id=&quot;Type&quot;&gt;{041D4F77-279E-4405-0002-4388361B9CFF}&lt;/Field&gt;&lt;Field id=&quot;Version&quot;&gt;&lt;/Field&gt;&lt;Field id=&quot;Vol&quot;&gt;35&lt;/Field&gt;&lt;Field id=&quot;Factor&quot;&gt;2.1&lt;/Field&gt;&lt;Field id=&quot;Author2&quot;&gt;Zhang,Zhihui;Xu,Shicong;Song,Meixuan;&lt;/Field&gt;&lt;/Data&gt;&lt;Ref&gt;&lt;Display&gt;&lt;Text StringText=&quot;「RefIndex」&quot; StringTextOri=&quot;「RefIndex」&quot; SuperScript=&quot;true&quot;/&gt;&lt;/Display&gt;&lt;/Ref&gt;&lt;Doc&gt;&lt;Display&gt;&lt;Text StringText=&quot;Zhang, Zhihui, Xu, Shicong, Song, Meixuan, et al&quot; StringGroup=&quot;Author&quot;/&gt;_x000d__x000a_   &lt;Text StringText=&quot;. &quot; StringGroup=&quot;Author&quot;/&gt;_x000d__x000a_   &lt;Text StringText=&quot;Association between blood lipid levels and the risk of liver cancer: a systematic review and meta-analysis&quot; StringGroup=&quot;Title&quot;/&gt;_x000d__x000a_   &lt;Text StringText=&quot;[J]. &quot; StringGroup=&quot;Title&quot;/&gt;_x000d__x000a_   &lt;Text StringText=&quot;Cancer Causes Control&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35&quot; StringGroup=&quot;Vol&quot;/&gt;_x000d__x000a_   &lt;Text StringText=&quot;(&quot; StringGroup=&quot;Issue&quot;/&gt;_x000d__x000a_   &lt;Text StringText=&quot;6&quot; StringGroup=&quot;Issue&quot;/&gt;_x000d__x000a_   &lt;Text StringText=&quot;)&quot; StringGroup=&quot;Issue&quot;/&gt;_x000d__x000a_   &lt;Text StringText=&quot;:&quot; StringGroup=&quot;PageNum&quot;/&gt;_x000d__x000a_   &lt;Text StringText=&quot;943-953&quot; StringGroup=&quot;PageNum&quot;/&gt;_x000d__x000a_   &lt;Text StringText=&quot;.&quot; StringGroup=&quot;none&quot;/&gt;_x000d__x000a_  &lt;/Display&gt;&lt;/Doc&gt;&lt;/KyMRNote&gt;"/>
    <w:docVar w:name="KY.MR.DATA{96D92876-0348-451D-8565-038C0D43D940}1153" w:val="&lt;KyMRNote dbid=&quot;{96D92876-0348-451D-8565-038C0D43D940}&quot; recid=&quot;1153&quot;&gt;&lt;Data&gt;&lt;Field id=&quot;AccessNum&quot;&gt;40489874&lt;/Field&gt;&lt;Field id=&quot;Author&quot; FirstData=&quot;0&quot; FirstStyle=&quot;720896&quot; OtherStyle=&quot;0&quot;&gt;Rong Chen;Liujie He;Zhiyao Huang;Jie Sun;Qiang Wang&lt;/Field&gt;&lt;Field id=&quot;AuthorTrans&quot;&gt;&lt;/Field&gt;&lt;Field id=&quot;DOI&quot;&gt;10.1097/MD.0000000000042577&lt;/Field&gt;&lt;Field id=&quot;Editor&quot;&gt;&lt;/Field&gt;&lt;Field id=&quot;FmtTitle&quot;&gt;&lt;/Field&gt;&lt;Field id=&quot;FullAuthor&quot;&gt;&lt;/Field&gt;&lt;Field id=&quot;ISSN&quot;&gt;&lt;/Field&gt;&lt;Field id=&quot;Issue&quot;&gt;23&lt;/Field&gt;&lt;Field id=&quot;LIID&quot;&gt;1153&lt;/Field&gt;&lt;Field id=&quot;Magazine&quot;&gt;Medicine&lt;/Field&gt;&lt;Field id=&quot;MagazineAB&quot;&gt;Medicine (Baltimore)&lt;/Field&gt;&lt;Field id=&quot;MagazineTrans&quot;&gt;&lt;/Field&gt;&lt;Field id=&quot;PageNum&quot;&gt;e42577&lt;/Field&gt;&lt;Field id=&quot;PubDate&quot;&gt;&lt;/Field&gt;&lt;Field id=&quot;PubPlace&quot;&gt;Hagerstown, Md &lt;/Field&gt;&lt;Field id=&quot;PubPlaceTrans&quot;&gt;&lt;/Field&gt;&lt;Field id=&quot;PubYear&quot;&gt;2025&lt;/Field&gt;&lt;Field id=&quot;Publisher&quot;&gt;Lippincott Williams and Wilkins Ltd.&lt;/Field&gt;&lt;Field id=&quot;PublisherTrans&quot;&gt;&lt;/Field&gt;&lt;Field id=&quot;TITrans&quot;&gt;血浆脂质组与泌尿系统癌症之间的因果关系:两样本孟德尔随机研究&lt;/Field&gt;&lt;Field id=&quot;Title&quot;&gt;Causal relationship between the plasma lipidome and urological cancers: A two-sample Mendelian randomization study&lt;/Field&gt;&lt;Field id=&quot;Translator&quot;&gt;&lt;/Field&gt;&lt;Field id=&quot;Type&quot;&gt;{041D4F77-279E-4405-0002-4388361B9CFF}&lt;/Field&gt;&lt;Field id=&quot;Version&quot;&gt;&lt;/Field&gt;&lt;Field id=&quot;Vol&quot;&gt;104&lt;/Field&gt;&lt;Field id=&quot;Factor&quot;&gt;1.4&lt;/Field&gt;&lt;Field id=&quot;Author2&quot;&gt;Chen,Rong;He,Liujie;Huang,Zhiyao;&lt;/Field&gt;&lt;/Data&gt;&lt;Ref&gt;&lt;Display&gt;&lt;Text StringText=&quot;「RefIndex」&quot; StringTextOri=&quot;「RefIndex」&quot; SuperScript=&quot;true&quot;/&gt;&lt;/Display&gt;&lt;/Ref&gt;&lt;Doc&gt;&lt;Display&gt;&lt;Text StringText=&quot;Chen, Rong, He, Liujie, Huang, Zhiyao, et al&quot; StringGroup=&quot;Author&quot;/&gt;_x000d__x000a_   &lt;Text StringText=&quot;. &quot; StringGroup=&quot;Author&quot;/&gt;_x000d__x000a_   &lt;Text StringText=&quot;Causal relationship between the plasma lipidome and urological cancers: A two-sample Mendelian randomization study&quot; StringGroup=&quot;Title&quot;/&gt;_x000d__x000a_   &lt;Text StringText=&quot;[J]. &quot; StringGroup=&quot;Title&quot;/&gt;_x000d__x000a_   &lt;Text StringText=&quot;Medicine (Baltimore)&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104&quot; StringGroup=&quot;Vol&quot;/&gt;_x000d__x000a_   &lt;Text StringText=&quot;(&quot; StringGroup=&quot;Issue&quot;/&gt;_x000d__x000a_   &lt;Text StringText=&quot;23&quot; StringGroup=&quot;Issue&quot;/&gt;_x000d__x000a_   &lt;Text StringText=&quot;)&quot; StringGroup=&quot;Issue&quot;/&gt;_x000d__x000a_   &lt;Text StringText=&quot;:&quot; StringGroup=&quot;PageNum&quot;/&gt;_x000d__x000a_   &lt;Text StringText=&quot;e42577&quot; StringGroup=&quot;PageNum&quot;/&gt;_x000d__x000a_   &lt;Text StringText=&quot;.&quot; StringGroup=&quot;none&quot;/&gt;_x000d__x000a_  &lt;/Display&gt;&lt;/Doc&gt;&lt;/KyMRNote&gt;"/>
    <w:docVar w:name="KY.MR.DATA{96D92876-0348-451D-8565-038C0D43D940}1154" w:val="&lt;KyMRNote dbid=&quot;{96D92876-0348-451D-8565-038C0D43D940}&quot; recid=&quot;1154&quot;&gt;&lt;Data&gt;&lt;Field id=&quot;AccessNum&quot;&gt;40866942&lt;/Field&gt;&lt;Field id=&quot;Author&quot; FirstData=&quot;0&quot; FirstStyle=&quot;720896&quot; OtherStyle=&quot;0&quot;&gt;Zhang F;de Bock GH;Landman GW;Zhang Q;van der Vegt B;Sidorenkov G;&lt;/Field&gt;&lt;Field id=&quot;AuthorTrans&quot;&gt;&lt;/Field&gt;&lt;Field id=&quot;DOI&quot;&gt;10.1186/s13058-025-02105-7&lt;/Field&gt;&lt;Field id=&quot;Editor&quot;&gt;&lt;/Field&gt;&lt;Field id=&quot;FmtTitle&quot;&gt;&lt;/Field&gt;&lt;Field id=&quot;FullAuthor&quot;&gt;Zhang, Fan;de Bock, Geertruida H;Landman, Gijs W;Zhang, Qingying;van der Vegt, Bert;Sidorenkov, Grigory;&lt;/Field&gt;&lt;Field id=&quot;ISSN&quot;&gt;1465-5411&lt;/Field&gt;&lt;Field id=&quot;Issue&quot;&gt;1&lt;/Field&gt;&lt;Field id=&quot;LIID&quot;&gt;1154&lt;/Field&gt;&lt;Field id=&quot;Magazine&quot;&gt;Breast cancer research : BCR&lt;/Field&gt;&lt;Field id=&quot;MagazineAB&quot;&gt;Breast Cancer Res&lt;/Field&gt;&lt;Field id=&quot;MagazineTrans&quot;&gt;&lt;/Field&gt;&lt;Field id=&quot;PageNum&quot;&gt;155&lt;/Field&gt;&lt;Field id=&quot;PubDate&quot;&gt;Aug 27&lt;/Field&gt;&lt;Field id=&quot;PubPlace&quot;&gt;England&lt;/Field&gt;&lt;Field id=&quot;PubPlaceTrans&quot;&gt;&lt;/Field&gt;&lt;Field id=&quot;PubYear&quot;&gt;2025&lt;/Field&gt;&lt;Field id=&quot;Publisher&quot;&gt;BioMed Central&lt;/Field&gt;&lt;Field id=&quot;PublisherTrans&quot;&gt;&lt;/Field&gt;&lt;Field id=&quot;TITrans&quot;&gt;代谢相关指标和乳腺癌风险的纵向变化:一项一般人群研究&lt;/Field&gt;&lt;Field id=&quot;Title&quot;&gt;Longitudinal changes in metabolism-related metrics and breast cancer risk: a general population study&lt;/Field&gt;&lt;Field id=&quot;Translator&quot;&gt;&lt;/Field&gt;&lt;Field id=&quot;Type&quot;&gt;{041D4F77-279E-4405-0002-4388361B9CFF}&lt;/Field&gt;&lt;Field id=&quot;Version&quot;&gt;&lt;/Field&gt;&lt;Field id=&quot;Vol&quot;&gt;27&lt;/Field&gt;&lt;Field id=&quot;Factor&quot;&gt;5.6&lt;/Field&gt;&lt;Field id=&quot;Author2&quot;&gt;Zhang,Fan;de Bock,Geertruida H;Landman,Gijs W;&lt;/Field&gt;&lt;/Data&gt;&lt;Ref&gt;&lt;Display&gt;&lt;Text StringText=&quot;「RefIndex」&quot; StringTextOri=&quot;「RefIndex」&quot; SuperScript=&quot;true&quot;/&gt;&lt;/Display&gt;&lt;/Ref&gt;&lt;Doc&gt;&lt;Display&gt;&lt;Text StringText=&quot;Zhang, Fan, de Bock, Geertruida H, Landman, Gijs W, et al&quot; StringGroup=&quot;Author&quot;/&gt;_x000d__x000a_   &lt;Text StringText=&quot;. &quot; StringGroup=&quot;Author&quot;/&gt;_x000d__x000a_   &lt;Text StringText=&quot;Longitudinal changes in metabolism-related metrics and breast cancer risk: a general population study&quot; StringGroup=&quot;Title&quot;/&gt;_x000d__x000a_   &lt;Text StringText=&quot;[J]. &quot; StringGroup=&quot;Title&quot;/&gt;_x000d__x000a_   &lt;Text StringText=&quot;Breast Cancer Res&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27&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155&quot; StringGroup=&quot;PageNum&quot;/&gt;_x000d__x000a_   &lt;Text StringText=&quot;.&quot; StringGroup=&quot;none&quot;/&gt;_x000d__x000a_  &lt;/Display&gt;&lt;/Doc&gt;&lt;/KyMRNote&gt;"/>
    <w:docVar w:name="KY.MR.DATA{96D92876-0348-451D-8565-038C0D43D940}1155" w:val="&lt;KyMRNote dbid=&quot;{96D92876-0348-451D-8565-038C0D43D940}&quot; recid=&quot;1155&quot;&gt;&lt;Data&gt;&lt;Field id=&quot;AccessNum&quot;&gt;&lt;/Field&gt;&lt;Field id=&quot;Author&quot; FirstData=&quot;0&quot; FirstStyle=&quot;196608&quot; OtherStyle=&quot;0&quot;&gt;张婷;崔戈;冯文明;石麒麟;崔杰;李希宁;王旗春;沈洪&lt;/Field&gt;&lt;Field id=&quot;AuthorTrans&quot;&gt;&lt;/Field&gt;&lt;Field id=&quot;DOI&quot;&gt;10.3760/cma.j.issn.0376-2491.2016.32.006&lt;/Field&gt;&lt;Field id=&quot;Editor&quot;&gt;&lt;/Field&gt;&lt;Field id=&quot;FmtTitle&quot;&gt;&lt;/Field&gt;&lt;Field id=&quot;FullAuthor&quot;&gt;&lt;/Field&gt;&lt;Field id=&quot;ISSN&quot;&gt;0376-2491&lt;/Field&gt;&lt;Field id=&quot;Issue&quot;&gt;32&lt;/Field&gt;&lt;Field id=&quot;LIID&quot;&gt;1155&lt;/Field&gt;&lt;Field id=&quot;Magazine&quot;&gt;中华医学杂志&lt;/Field&gt;&lt;Field id=&quot;MagazineAB&quot;&gt;&lt;/Field&gt;&lt;Field id=&quot;MagazineTrans&quot;&gt;Natl Med J China&lt;/Field&gt;&lt;Field id=&quot;PageNum&quot;&gt;2545-2547&lt;/Field&gt;&lt;Field id=&quot;PubDate&quot;&gt;&lt;/Field&gt;&lt;Field id=&quot;PubPlace&quot;&gt;其他&lt;/Field&gt;&lt;Field id=&quot;PubPlaceTrans&quot;&gt;&lt;/Field&gt;&lt;Field id=&quot;PubYear&quot;&gt;2016&lt;/Field&gt;&lt;Field id=&quot;Publisher&quot;&gt; 中华医学会 &lt;/Field&gt;&lt;Field id=&quot;PublisherTrans&quot;&gt;&lt;/Field&gt;&lt;Field id=&quot;TITrans&quot;&gt;Correlation analysis between glycolipids metabolism and clinicopathologic features in patients with gastric cancer&lt;/Field&gt;&lt;Field id=&quot;Title&quot;&gt;胃癌患者糖脂代谢指标与临床病理学特征的相关性分析&lt;/Field&gt;&lt;Field id=&quot;Translator&quot;&gt;&lt;/Field&gt;&lt;Field id=&quot;Type&quot;&gt;{041D4F77-279E-4405-0002-4388361B9CFF}&lt;/Field&gt;&lt;Field id=&quot;Version&quot;&gt;&lt;/Field&gt;&lt;Field id=&quot;Vol&quot;&gt;&lt;/Field&gt;&lt;Field id=&quot;Factor&quot;/&gt;&lt;Field id=&quot;Author2&quot;&gt;张婷,;崔戈,;冯文明,;&lt;/Field&gt;&lt;/Data&gt;&lt;Ref&gt;&lt;Display&gt;&lt;Text StringText=&quot;「RefIndex」&quot; StringTextOri=&quot;「RefIndex」&quot; SuperScript=&quot;true&quot;/&gt;&lt;/Display&gt;&lt;/Ref&gt;&lt;Doc&gt;&lt;Display&gt;&lt;Text StringText=&quot;张婷, 崔戈, 冯文明, 等.&quot; StringGroup=&quot;Author&quot;/&gt;_x000d__x000a_   &lt;Text StringText=&quot; &quot; StringGroup=&quot;Author&quot;/&gt;_x000d__x000a_   &lt;Text StringText=&quot;胃癌患者糖脂代谢指标与临床病理学特征的相关性分析&quot; StringGroup=&quot;Title&quot;/&gt;_x000d__x000a_   &lt;Text StringText=&quot;[J]. &quot; StringGroup=&quot;Title&quot;/&gt;_x000d__x000a_   &lt;Text StringText=&quot;中华医学杂志&quot; StringGroup=&quot;Magazine&quot;/&gt;_x000d__x000a_   &lt;Text StringText=&quot;, &quot; StringGroup=&quot;Magazine&quot;/&gt;_x000d__x000a_   &lt;Text StringText=&quot;2016&quot; StringGroup=&quot;PubYear&quot;/&gt;_x000d__x000a_   &lt;Text StringText=&quot;,&quot; StringGroup=&quot;PubYear&quot;/&gt;_x000d__x000a_   &lt;Text StringText=&quot;(&quot; StringGroup=&quot;Issue&quot;/&gt;_x000d__x000a_   &lt;Text StringText=&quot;32&quot; StringGroup=&quot;Issue&quot;/&gt;_x000d__x000a_   &lt;Text StringText=&quot;)&quot; StringGroup=&quot;Issue&quot;/&gt;_x000d__x000a_   &lt;Text StringText=&quot;:&quot; StringGroup=&quot;PageNum&quot;/&gt;_x000d__x000a_   &lt;Text StringText=&quot;2545-2547&quot; StringGroup=&quot;PageNum&quot;/&gt;_x000d__x000a_   &lt;Text StringText=&quot;.&quot; StringGroup=&quot;none&quot;/&gt;_x000d__x000a_  &lt;/Display&gt;&lt;/Doc&gt;&lt;/KyMRNote&gt;"/>
    <w:docVar w:name="KY.MR.DATA{96D92876-0348-451D-8565-038C0D43D940}1156" w:val="&lt;KyMRNote dbid=&quot;{96D92876-0348-451D-8565-038C0D43D940}&quot; recid=&quot;1156&quot;&gt;&lt;Data&gt;&lt;Field id=&quot;AccessNum&quot;&gt;40483484&lt;/Field&gt;&lt;Field id=&quot;Author&quot; FirstData=&quot;0&quot; FirstStyle=&quot;524288&quot; OtherStyle=&quot;0&quot;&gt;Tao Wu;Lingna Zhang;Jiao Tian;Yuyuan Lu;Yan Yang;Xin Yang;Penghui Jin;Yuanhui Gu;Xiaoke Wang;Lin Yi&lt;/Field&gt;&lt;Field id=&quot;AuthorTrans&quot;&gt;&lt;/Field&gt;&lt;Field id=&quot;DOI&quot;&gt;10.1186/s12944-025-02625-3&lt;/Field&gt;&lt;Field id=&quot;Editor&quot;&gt;&lt;/Field&gt;&lt;Field id=&quot;FmtTitle&quot;&gt;&lt;/Field&gt;&lt;Field id=&quot;FullAuthor&quot;&gt;&lt;/Field&gt;&lt;Field id=&quot;ISSN&quot;&gt;&lt;/Field&gt;&lt;Field id=&quot;Issue&quot;&gt;1&lt;/Field&gt;&lt;Field id=&quot;LIID&quot;&gt;1156&lt;/Field&gt;&lt;Field id=&quot;Magazine&quot;&gt;Lipids in health and disease&lt;/Field&gt;&lt;Field id=&quot;MagazineAB&quot;&gt;Lipids Health Dis&lt;/Field&gt;&lt;Field id=&quot;MagazineTrans&quot;&gt;&lt;/Field&gt;&lt;Field id=&quot;PageNum&quot;&gt;204&lt;/Field&gt;&lt;Field id=&quot;PubDate&quot;&gt;&lt;/Field&gt;&lt;Field id=&quot;PubPlace&quot;&gt;[London] &lt;/Field&gt;&lt;Field id=&quot;PubPlaceTrans&quot;&gt;&lt;/Field&gt;&lt;Field id=&quot;PubYear&quot;&gt;2025&lt;/Field&gt;&lt;Field id=&quot;Publisher&quot;&gt;BioMed Central&lt;/Field&gt;&lt;Field id=&quot;PublisherTrans&quot;&gt;&lt;/Field&gt;&lt;Field id=&quot;TITrans&quot;&gt;血脂异常与胃癌之间的相关性:发病机制与预防和治疗策略&lt;/Field&gt;&lt;Field id=&quot;Title&quot;&gt;Correlation between dyslipidaemia and gastric cancer: pathogenesis to prevention and treatment strategies&lt;/Field&gt;&lt;Field id=&quot;Translator&quot;&gt;&lt;/Field&gt;&lt;Field id=&quot;Type&quot;&gt;{041D4F77-279E-4405-0002-4388361B9CFF}&lt;/Field&gt;&lt;Field id=&quot;Version&quot;&gt;&lt;/Field&gt;&lt;Field id=&quot;Vol&quot;&gt;24&lt;/Field&gt;&lt;Field id=&quot;Factor&quot;&gt;4.2&lt;/Field&gt;&lt;Field id=&quot;Author2&quot;&gt;Wu,Tao;Zhang,Lingna;Tian,Jiao;&lt;/Field&gt;&lt;/Data&gt;&lt;Ref&gt;&lt;Display&gt;&lt;Text StringText=&quot;「RefIndex」&quot; StringTextOri=&quot;「RefIndex」&quot; SuperScript=&quot;true&quot;/&gt;&lt;/Display&gt;&lt;/Ref&gt;&lt;Doc&gt;&lt;Display&gt;&lt;Text StringText=&quot;Wu, Tao, Zhang, Lingna, Tian, Jiao, et al&quot; StringGroup=&quot;Author&quot;/&gt;_x000d__x000a_   &lt;Text StringText=&quot;. &quot; StringGroup=&quot;Author&quot;/&gt;_x000d__x000a_   &lt;Text StringText=&quot;Correlation between dyslipidaemia and gastric cancer: pathogenesis to prevention and treatment strategies&quot; StringGroup=&quot;Title&quot;/&gt;_x000d__x000a_   &lt;Text StringText=&quot;[J]. &quot; StringGroup=&quot;Title&quot;/&gt;_x000d__x000a_   &lt;Text StringText=&quot;Lipids Health Dis&quot; StringGroup=&quot;Magazine&quot;/&gt;_x000d__x000a_   &lt;Text StringText=&quot;, &quot; StringGroup=&quot;Magazine&quot;/&gt;_x000d__x000a_   &lt;Text StringText=&quot;2025&quot; StringGroup=&quot;PubYear&quot;/&gt;_x000d__x000a_   &lt;Text StringText=&quot;,&quot; StringGroup=&quot;PubYear&quot;/&gt;_x000d__x000a_   &lt;Text StringText=&quot;24&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204&quot; StringGroup=&quot;PageNum&quot;/&gt;_x000d__x000a_   &lt;Text StringText=&quot;.&quot; StringGroup=&quot;none&quot;/&gt;_x000d__x000a_  &lt;/Display&gt;&lt;/Doc&gt;&lt;/KyMRNote&gt;"/>
    <w:docVar w:name="KY.MR.DATA{96D92876-0348-451D-8565-038C0D43D940}1157" w:val="&lt;KyMRNote dbid=&quot;{96D92876-0348-451D-8565-038C0D43D940}&quot; recid=&quot;1157&quot;&gt;&lt;Data&gt;&lt;Field id=&quot;AccessNum&quot;&gt;37418353&lt;/Field&gt;&lt;Field id=&quot;Author&quot; FirstData=&quot;0&quot; FirstStyle=&quot;786432&quot; OtherStyle=&quot;0&quot;&gt;Shicong Xu;Ying Fan;Yuyue Tan;Ling Zhang;Xianrong Li&lt;/Field&gt;&lt;Field id=&quot;AuthorTrans&quot;&gt;&lt;/Field&gt;&lt;Field id=&quot;DOI&quot;&gt;10.1371/journal.pone.0288111&lt;/Field&gt;&lt;Field id=&quot;Editor&quot;&gt;&lt;/Field&gt;&lt;Field id=&quot;FmtTitle&quot;&gt;&lt;/Field&gt;&lt;Field id=&quot;FullAuthor&quot;&gt;&lt;/Field&gt;&lt;Field id=&quot;ISSN&quot;&gt;&lt;/Field&gt;&lt;Field id=&quot;Issue&quot;&gt;7&lt;/Field&gt;&lt;Field id=&quot;LIID&quot;&gt;1157&lt;/Field&gt;&lt;Field id=&quot;Magazine&quot;&gt;PloS one&lt;/Field&gt;&lt;Field id=&quot;MagazineAB&quot;&gt;PLoS One&lt;/Field&gt;&lt;Field id=&quot;MagazineTrans&quot;&gt;&lt;/Field&gt;&lt;Field id=&quot;PageNum&quot;&gt;e0288111&lt;/Field&gt;&lt;Field id=&quot;PubDate&quot;&gt;&lt;/Field&gt;&lt;Field id=&quot;PubPlace&quot;&gt;San Francisco, CA &lt;/Field&gt;&lt;Field id=&quot;PubPlaceTrans&quot;&gt;&lt;/Field&gt;&lt;Field id=&quot;PubYear&quot;&gt;2023&lt;/Field&gt;&lt;Field id=&quot;Publisher&quot;&gt;Public Library of Science&lt;/Field&gt;&lt;Field id=&quot;PublisherTrans&quot;&gt;&lt;/Field&gt;&lt;Field id=&quot;TITrans&quot;&gt;血脂水平与胃癌风险之间的关联:系统评价和荟萃分析&lt;/Field&gt;&lt;Field id=&quot;Title&quot;&gt;Association between blood lipid levels and risk of gastric cancer: A systematic review and meta-analysis&lt;/Field&gt;&lt;Field id=&quot;Translator&quot;&gt;&lt;/Field&gt;&lt;Field id=&quot;Type&quot;&gt;{041D4F77-279E-4405-0002-4388361B9CFF}&lt;/Field&gt;&lt;Field id=&quot;Version&quot;&gt;&lt;/Field&gt;&lt;Field id=&quot;Vol&quot;&gt;18&lt;/Field&gt;&lt;Field id=&quot;Factor&quot;&gt;2.6&lt;/Field&gt;&lt;Field id=&quot;Author2&quot;&gt;Xu,Shicong;Fan,Ying;Tan,Yuyue;&lt;/Field&gt;&lt;/Data&gt;&lt;Ref&gt;&lt;Display&gt;&lt;Text StringText=&quot;「RefIndex」&quot; StringTextOri=&quot;「RefIndex」&quot; SuperScript=&quot;true&quot;/&gt;&lt;/Display&gt;&lt;/Ref&gt;&lt;Doc&gt;&lt;Display&gt;&lt;Text StringText=&quot;Xu, Shicong, Fan, Ying, Tan, Yuyue, et al&quot; StringGroup=&quot;Author&quot;/&gt;_x000d__x000a_   &lt;Text StringText=&quot;. &quot; StringGroup=&quot;Author&quot;/&gt;_x000d__x000a_   &lt;Text StringText=&quot;Association between blood lipid levels and risk of gastric cancer: A systematic review and meta-analysis&quot; StringGroup=&quot;Title&quot;/&gt;_x000d__x000a_   &lt;Text StringText=&quot;[J]. &quot; StringGroup=&quot;Title&quot;/&gt;_x000d__x000a_   &lt;Text StringText=&quot;PLoS One&quot; StringGroup=&quot;Magazine&quot;/&gt;_x000d__x000a_   &lt;Text StringText=&quot;, &quot; StringGroup=&quot;Magazine&quot;/&gt;_x000d__x000a_   &lt;Text StringText=&quot;2023&quot; StringGroup=&quot;PubYear&quot;/&gt;_x000d__x000a_   &lt;Text StringText=&quot;,&quot; StringGroup=&quot;PubYear&quot;/&gt;_x000d__x000a_   &lt;Text StringText=&quot;18&quot; StringGroup=&quot;Vol&quot;/&gt;_x000d__x000a_   &lt;Text StringText=&quot;(&quot; StringGroup=&quot;Issue&quot;/&gt;_x000d__x000a_   &lt;Text StringText=&quot;7&quot; StringGroup=&quot;Issue&quot;/&gt;_x000d__x000a_   &lt;Text StringText=&quot;)&quot; StringGroup=&quot;Issue&quot;/&gt;_x000d__x000a_   &lt;Text StringText=&quot;:&quot; StringGroup=&quot;PageNum&quot;/&gt;_x000d__x000a_   &lt;Text StringText=&quot;e0288111&quot; StringGroup=&quot;PageNum&quot;/&gt;_x000d__x000a_   &lt;Text StringText=&quot;.&quot; StringGroup=&quot;none&quot;/&gt;_x000d__x000a_  &lt;/Display&gt;&lt;/Doc&gt;&lt;/KyMRNote&gt;"/>
    <w:docVar w:name="KY.MR.DATA{96D92876-0348-451D-8565-038C0D43D940}1158" w:val="&lt;KyMRNote dbid=&quot;{96D92876-0348-451D-8565-038C0D43D940}&quot; recid=&quot;1158&quot;&gt;&lt;Data&gt;&lt;Field id=&quot;AccessNum&quot;&gt;39256541&lt;/Field&gt;&lt;Field id=&quot;Author&quot; FirstData=&quot;0&quot; FirstStyle=&quot;786432&quot; OtherStyle=&quot;0&quot;&gt;Feng X;Zhu J;Hua Z;Yao S;Yin H;Shi Q;Zhou J;&lt;/Field&gt;&lt;Field id=&quot;AuthorTrans&quot;&gt;&lt;/Field&gt;&lt;Field id=&quot;DOI&quot;&gt;10.1038/s41598-024-72313-2&lt;/Field&gt;&lt;Field id=&quot;Editor&quot;&gt;&lt;/Field&gt;&lt;Field id=&quot;FmtTitle&quot;&gt;&lt;/Field&gt;&lt;Field id=&quot;FullAuthor&quot;&gt;Feng, Xiang;Zhu, Jinhua;Hua, Zhaolai;Yao, Shenghua;Yin, Hongjun;Shi, Qiuping;Zhou, Jinyi;&lt;/Field&gt;&lt;Field id=&quot;ISSN&quot;&gt;2045-2322&lt;/Field&gt;&lt;Field id=&quot;Issue&quot;&gt;1&lt;/Field&gt;&lt;Field id=&quot;LIID&quot;&gt;1158&lt;/Field&gt;&lt;Field id=&quot;Magazine&quot;&gt;Scientific reports&lt;/Field&gt;&lt;Field id=&quot;MagazineAB&quot;&gt;Sci Rep&lt;/Field&gt;&lt;Field id=&quot;MagazineTrans&quot;&gt;&lt;/Field&gt;&lt;Field id=&quot;PageNum&quot;&gt;21153&lt;/Field&gt;&lt;Field id=&quot;PubDate&quot;&gt;Sep 10&lt;/Field&gt;&lt;Field id=&quot;PubPlace&quot;&gt;England&lt;/Field&gt;&lt;Field id=&quot;PubPlaceTrans&quot;&gt;&lt;/Field&gt;&lt;Field id=&quot;PubYear&quot;&gt;2024&lt;/Field&gt;&lt;Field id=&quot;Publisher&quot;&gt;Springer Nature&lt;/Field&gt;&lt;Field id=&quot;PublisherTrans&quot;&gt;&lt;/Field&gt;&lt;Field id=&quot;TITrans&quot;&gt;东南部扬中地区 40-69 岁人群肥胖患病率和决定因素及其与上消化道疾病的关系&lt;/Field&gt;&lt;Field id=&quot;Title&quot;&gt;Prevalence and determinants of obesity and its association with upper gastrointestinal diseases in people aged 40-69 years in Yangzhong, southeast China&lt;/Field&gt;&lt;Field id=&quot;Translator&quot;&gt;&lt;/Field&gt;&lt;Field id=&quot;Type&quot;&gt;{041D4F77-279E-4405-0002-4388361B9CFF}&lt;/Field&gt;&lt;Field id=&quot;Version&quot;&gt;&lt;/Field&gt;&lt;Field id=&quot;Vol&quot;&gt;14&lt;/Field&gt;&lt;Field id=&quot;Factor&quot;&gt;3.9&lt;/Field&gt;&lt;Field id=&quot;Author2&quot;&gt;Feng,Xiang;Zhu,Jinhua;Hua,Zhaolai;&lt;/Field&gt;&lt;/Data&gt;&lt;Ref&gt;&lt;Display&gt;&lt;Text StringText=&quot;「RefIndex」&quot; StringTextOri=&quot;「RefIndex」&quot; SuperScript=&quot;true&quot;/&gt;&lt;/Display&gt;&lt;/Ref&gt;&lt;Doc&gt;&lt;Display&gt;&lt;Text StringText=&quot;Feng, Xiang, Zhu, Jinhua, Hua, Zhaolai, et al&quot; StringGroup=&quot;Author&quot;/&gt;_x000d__x000a_   &lt;Text StringText=&quot;. &quot; StringGroup=&quot;Author&quot;/&gt;_x000d__x000a_   &lt;Text StringText=&quot;Prevalence and determinants of obesity and its association with upper gastrointestinal diseases in people aged 40-69 years in Yangzhong, southeast China&quot; StringGroup=&quot;Title&quot;/&gt;_x000d__x000a_   &lt;Text StringText=&quot;[J]. &quot; StringGroup=&quot;Title&quot;/&gt;_x000d__x000a_   &lt;Text StringText=&quot;Sci Rep&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14&quot; StringGroup=&quot;Vol&quot;/&gt;_x000d__x000a_   &lt;Text StringText=&quot;(&quot; StringGroup=&quot;Issue&quot;/&gt;_x000d__x000a_   &lt;Text StringText=&quot;1&quot; StringGroup=&quot;Issue&quot;/&gt;_x000d__x000a_   &lt;Text StringText=&quot;)&quot; StringGroup=&quot;Issue&quot;/&gt;_x000d__x000a_   &lt;Text StringText=&quot;:&quot; StringGroup=&quot;PageNum&quot;/&gt;_x000d__x000a_   &lt;Text StringText=&quot;21153&quot; StringGroup=&quot;PageNum&quot;/&gt;_x000d__x000a_   &lt;Text StringText=&quot;.&quot; StringGroup=&quot;none&quot;/&gt;_x000d__x000a_  &lt;/Display&gt;&lt;/Doc&gt;&lt;/KyMRNote&gt;"/>
    <w:docVar w:name="KY.MR.DATA{96D92876-0348-451D-8565-038C0D43D940}1162" w:val="&lt;KyMRNote dbid=&quot;{96D92876-0348-451D-8565-038C0D43D940}&quot; recid=&quot;1162&quot;&gt;&lt;Data&gt;&lt;Field id=&quot;AccessNum&quot;&gt;&lt;/Field&gt;&lt;Field id=&quot;Author&quot; FirstData=&quot;0&quot; FirstStyle=&quot;262144&quot; OtherStyle=&quot;0&quot;&gt;印红军;冯祥;华召来;陈梦星;仝海员;朱进华&lt;/Field&gt;&lt;Field id=&quot;AuthorTrans&quot;&gt;&lt;/Field&gt;&lt;Field id=&quot;DOI&quot;&gt;10.20043/j.cnki.MPM.202403524&lt;/Field&gt;&lt;Field id=&quot;Editor&quot;&gt;&lt;/Field&gt;&lt;Field id=&quot;FmtTitle&quot;&gt;&lt;/Field&gt;&lt;Field id=&quot;FullAuthor&quot;&gt;&lt;/Field&gt;&lt;Field id=&quot;ISSN&quot;&gt;1003-8507&lt;/Field&gt;&lt;Field id=&quot;Issue&quot;&gt;16&lt;/Field&gt;&lt;Field id=&quot;LIID&quot;&gt;1162&lt;/Field&gt;&lt;Field id=&quot;Magazine&quot;&gt;现代预防医学&lt;/Field&gt;&lt;Field id=&quot;MagazineAB&quot;&gt;&lt;/Field&gt;&lt;Field id=&quot;MagazineTrans&quot;&gt;&lt;/Field&gt;&lt;Field id=&quot;PageNum&quot;&gt;3022-3028+3061&lt;/Field&gt;&lt;Field id=&quot;PubDate&quot;&gt;&lt;/Field&gt;&lt;Field id=&quot;PubPlace&quot;&gt;四川省成都市&lt;/Field&gt;&lt;Field id=&quot;PubPlaceTrans&quot;&gt;&lt;/Field&gt;&lt;Field id=&quot;PubYear&quot;&gt;2024&lt;/Field&gt;&lt;Field id=&quot;Publisher&quot;&gt; 中华预防医学会中华预防医学会 四川大学华西公共卫生学院四川大学华西公共卫生学院&lt;/Field&gt;&lt;Field id=&quot;PublisherTrans&quot;&gt;&lt;/Field&gt;&lt;Field id=&quot;TITrans&quot;&gt;&lt;/Field&gt;&lt;Field id=&quot;Title&quot;&gt;扬中市40～69岁居民人体测量指标与胃癌及癌前病变的关联分析&lt;/Field&gt;&lt;Field id=&quot;Translator&quot;&gt;&lt;/Field&gt;&lt;Field id=&quot;Type&quot;&gt;{041D4F77-279E-4405-0002-4388361B9CFF}&lt;/Field&gt;&lt;Field id=&quot;Version&quot;&gt;&lt;/Field&gt;&lt;Field id=&quot;Vol&quot;&gt;51&lt;/Field&gt;&lt;Field id=&quot;Factor&quot;/&gt;&lt;Field id=&quot;Author2&quot;&gt;印红军,;冯祥,;华召来,;&lt;/Field&gt;&lt;/Data&gt;&lt;Ref&gt;&lt;Display&gt;&lt;Text StringText=&quot;「RefIndex」&quot; StringTextOri=&quot;「RefIndex」&quot; SuperScript=&quot;true&quot;/&gt;&lt;/Display&gt;&lt;/Ref&gt;&lt;Doc&gt;&lt;Display&gt;&lt;Text StringText=&quot;印红军, 冯祥, 华召来, 等.&quot; StringGroup=&quot;Author&quot;/&gt;_x000d__x000a_   &lt;Text StringText=&quot; &quot; StringGroup=&quot;Author&quot;/&gt;_x000d__x000a_   &lt;Text StringText=&quot;扬中市40～69岁居民人体测量指标与胃癌及癌前病变的关联分析&quot; StringGroup=&quot;Title&quot;/&gt;_x000d__x000a_   &lt;Text StringText=&quot;[J]. &quot; StringGroup=&quot;Title&quot;/&gt;_x000d__x000a_   &lt;Text StringText=&quot;现代预防医学&quot; StringGroup=&quot;Magazine&quot;/&gt;_x000d__x000a_   &lt;Text StringText=&quot;, &quot; StringGroup=&quot;Magazine&quot;/&gt;_x000d__x000a_   &lt;Text StringText=&quot;2024&quot; StringGroup=&quot;PubYear&quot;/&gt;_x000d__x000a_   &lt;Text StringText=&quot;,&quot; StringGroup=&quot;PubYear&quot;/&gt;_x000d__x000a_   &lt;Text StringText=&quot;51&quot; StringGroup=&quot;Vol&quot;/&gt;_x000d__x000a_   &lt;Text StringText=&quot;(&quot; StringGroup=&quot;Issue&quot;/&gt;_x000d__x000a_   &lt;Text StringText=&quot;16&quot; StringGroup=&quot;Issue&quot;/&gt;_x000d__x000a_   &lt;Text StringText=&quot;)&quot; StringGroup=&quot;Issue&quot;/&gt;_x000d__x000a_   &lt;Text StringText=&quot;:&quot; StringGroup=&quot;PageNum&quot;/&gt;_x000d__x000a_   &lt;Text StringText=&quot;3022-3028+3061&quot; StringGroup=&quot;PageNum&quot;/&gt;_x000d__x000a_   &lt;Text StringText=&quot;.&quot; StringGroup=&quot;none&quot;/&gt;_x000d__x000a_  &lt;/Display&gt;&lt;/Doc&gt;&lt;/KyMRNote&gt;"/>
    <w:docVar w:name="KY_MEDREF_CITTEMPLATE" w:val="{FE5792F5-C3D7-49FC-B084-FE6D3A2980B1}"/>
    <w:docVar w:name="KY_MEDREF_DOCUID" w:val="{F8068002-3CE9-485E-A58B-98673FDCB85B}"/>
    <w:docVar w:name="KY_MEDREF_VERSION" w:val="3"/>
  </w:docVars>
  <w:rsids>
    <w:rsidRoot w:val="00000000"/>
    <w:rsid w:val="00076791"/>
    <w:rsid w:val="000E2BEF"/>
    <w:rsid w:val="00125861"/>
    <w:rsid w:val="00207852"/>
    <w:rsid w:val="002B49EE"/>
    <w:rsid w:val="002F741B"/>
    <w:rsid w:val="00496DA9"/>
    <w:rsid w:val="00661709"/>
    <w:rsid w:val="00767ED3"/>
    <w:rsid w:val="008E0C60"/>
    <w:rsid w:val="009E5347"/>
    <w:rsid w:val="00A73E16"/>
    <w:rsid w:val="00AD10E6"/>
    <w:rsid w:val="00BA7CA7"/>
    <w:rsid w:val="00DA5C53"/>
    <w:rsid w:val="00DC5E6F"/>
    <w:rsid w:val="0100390C"/>
    <w:rsid w:val="01017684"/>
    <w:rsid w:val="01121891"/>
    <w:rsid w:val="01145609"/>
    <w:rsid w:val="012C3E85"/>
    <w:rsid w:val="01325A8F"/>
    <w:rsid w:val="01347A59"/>
    <w:rsid w:val="013F77F9"/>
    <w:rsid w:val="019329D2"/>
    <w:rsid w:val="019C45B0"/>
    <w:rsid w:val="01A461D0"/>
    <w:rsid w:val="01BF5575"/>
    <w:rsid w:val="01E711F6"/>
    <w:rsid w:val="01F114A6"/>
    <w:rsid w:val="01F25CB3"/>
    <w:rsid w:val="0250441F"/>
    <w:rsid w:val="025C1016"/>
    <w:rsid w:val="02601F6E"/>
    <w:rsid w:val="026F4645"/>
    <w:rsid w:val="027A149C"/>
    <w:rsid w:val="027F6AB2"/>
    <w:rsid w:val="02810A7C"/>
    <w:rsid w:val="028B36A9"/>
    <w:rsid w:val="028B5457"/>
    <w:rsid w:val="02902A6D"/>
    <w:rsid w:val="02961FB0"/>
    <w:rsid w:val="02AB5AF9"/>
    <w:rsid w:val="02AD1871"/>
    <w:rsid w:val="02CF1366"/>
    <w:rsid w:val="02DD1A2B"/>
    <w:rsid w:val="02E35293"/>
    <w:rsid w:val="02E63F82"/>
    <w:rsid w:val="02E83F8A"/>
    <w:rsid w:val="02E9000B"/>
    <w:rsid w:val="031C2553"/>
    <w:rsid w:val="03231B33"/>
    <w:rsid w:val="032C4E8C"/>
    <w:rsid w:val="0334789D"/>
    <w:rsid w:val="03394F93"/>
    <w:rsid w:val="035241C7"/>
    <w:rsid w:val="0371289F"/>
    <w:rsid w:val="037B54CB"/>
    <w:rsid w:val="038F71C9"/>
    <w:rsid w:val="03921130"/>
    <w:rsid w:val="03987A57"/>
    <w:rsid w:val="03A569EC"/>
    <w:rsid w:val="03CC07D2"/>
    <w:rsid w:val="03E017D2"/>
    <w:rsid w:val="0406595C"/>
    <w:rsid w:val="040A4AA1"/>
    <w:rsid w:val="04163446"/>
    <w:rsid w:val="044C0C16"/>
    <w:rsid w:val="046E3282"/>
    <w:rsid w:val="04844854"/>
    <w:rsid w:val="048F5D82"/>
    <w:rsid w:val="049037A2"/>
    <w:rsid w:val="049D5915"/>
    <w:rsid w:val="04B36EE7"/>
    <w:rsid w:val="04C04179"/>
    <w:rsid w:val="04DD5D12"/>
    <w:rsid w:val="04E2157A"/>
    <w:rsid w:val="04E62E18"/>
    <w:rsid w:val="04ED41A7"/>
    <w:rsid w:val="04F03C97"/>
    <w:rsid w:val="04F512AE"/>
    <w:rsid w:val="05002624"/>
    <w:rsid w:val="050B2FCD"/>
    <w:rsid w:val="050E236F"/>
    <w:rsid w:val="05157BA2"/>
    <w:rsid w:val="051931EE"/>
    <w:rsid w:val="051A0D14"/>
    <w:rsid w:val="05377B18"/>
    <w:rsid w:val="05776166"/>
    <w:rsid w:val="057C552B"/>
    <w:rsid w:val="05883ED0"/>
    <w:rsid w:val="058A5E9A"/>
    <w:rsid w:val="058E7D29"/>
    <w:rsid w:val="0594336F"/>
    <w:rsid w:val="05B60A3D"/>
    <w:rsid w:val="05CA6C5F"/>
    <w:rsid w:val="05EA4B8A"/>
    <w:rsid w:val="060A7AD4"/>
    <w:rsid w:val="060E76BB"/>
    <w:rsid w:val="0616772D"/>
    <w:rsid w:val="06284FC0"/>
    <w:rsid w:val="06502589"/>
    <w:rsid w:val="065F7326"/>
    <w:rsid w:val="06620103"/>
    <w:rsid w:val="066E0B41"/>
    <w:rsid w:val="06793704"/>
    <w:rsid w:val="067D155B"/>
    <w:rsid w:val="067F41B9"/>
    <w:rsid w:val="06B31420"/>
    <w:rsid w:val="06B45919"/>
    <w:rsid w:val="06B64A6C"/>
    <w:rsid w:val="06C83B4C"/>
    <w:rsid w:val="06DA4BFF"/>
    <w:rsid w:val="06E635A4"/>
    <w:rsid w:val="070B125C"/>
    <w:rsid w:val="072527DD"/>
    <w:rsid w:val="07351E35"/>
    <w:rsid w:val="073C31C4"/>
    <w:rsid w:val="074A3B33"/>
    <w:rsid w:val="07554732"/>
    <w:rsid w:val="075C3866"/>
    <w:rsid w:val="075F6EB2"/>
    <w:rsid w:val="07634BF4"/>
    <w:rsid w:val="076C043D"/>
    <w:rsid w:val="07866CDC"/>
    <w:rsid w:val="078801B7"/>
    <w:rsid w:val="079254DA"/>
    <w:rsid w:val="07C1191B"/>
    <w:rsid w:val="07CD206E"/>
    <w:rsid w:val="07E775D3"/>
    <w:rsid w:val="07EC2E3C"/>
    <w:rsid w:val="07F41CF0"/>
    <w:rsid w:val="081465CD"/>
    <w:rsid w:val="0828199A"/>
    <w:rsid w:val="082F0F7A"/>
    <w:rsid w:val="08332819"/>
    <w:rsid w:val="08400A92"/>
    <w:rsid w:val="0849203C"/>
    <w:rsid w:val="084C5688"/>
    <w:rsid w:val="08572765"/>
    <w:rsid w:val="085A0624"/>
    <w:rsid w:val="08843074"/>
    <w:rsid w:val="08B03E69"/>
    <w:rsid w:val="08C96CD9"/>
    <w:rsid w:val="08CE609D"/>
    <w:rsid w:val="08D13DE0"/>
    <w:rsid w:val="08D77648"/>
    <w:rsid w:val="08D833C0"/>
    <w:rsid w:val="08DF474E"/>
    <w:rsid w:val="08F63846"/>
    <w:rsid w:val="08FD6983"/>
    <w:rsid w:val="0926412B"/>
    <w:rsid w:val="09390B2F"/>
    <w:rsid w:val="093C56FD"/>
    <w:rsid w:val="093D4FB7"/>
    <w:rsid w:val="09554A11"/>
    <w:rsid w:val="097513F5"/>
    <w:rsid w:val="097F55EA"/>
    <w:rsid w:val="098822A2"/>
    <w:rsid w:val="09A908B8"/>
    <w:rsid w:val="09C730D7"/>
    <w:rsid w:val="09E85885"/>
    <w:rsid w:val="09F51709"/>
    <w:rsid w:val="0A073F5D"/>
    <w:rsid w:val="0A0E39F9"/>
    <w:rsid w:val="0A1E3055"/>
    <w:rsid w:val="0A2763AD"/>
    <w:rsid w:val="0A302693"/>
    <w:rsid w:val="0A424F95"/>
    <w:rsid w:val="0A466107"/>
    <w:rsid w:val="0A564932"/>
    <w:rsid w:val="0A622F41"/>
    <w:rsid w:val="0A6509CC"/>
    <w:rsid w:val="0A726EFC"/>
    <w:rsid w:val="0A7333A0"/>
    <w:rsid w:val="0AB77B8E"/>
    <w:rsid w:val="0AD019C3"/>
    <w:rsid w:val="0AD6392F"/>
    <w:rsid w:val="0AD83203"/>
    <w:rsid w:val="0AE93662"/>
    <w:rsid w:val="0AFA5870"/>
    <w:rsid w:val="0B077F8D"/>
    <w:rsid w:val="0B260171"/>
    <w:rsid w:val="0B333621"/>
    <w:rsid w:val="0B3F7726"/>
    <w:rsid w:val="0B4963E3"/>
    <w:rsid w:val="0B682A47"/>
    <w:rsid w:val="0B707439"/>
    <w:rsid w:val="0B7958BA"/>
    <w:rsid w:val="0B8D0492"/>
    <w:rsid w:val="0B925AA8"/>
    <w:rsid w:val="0B941820"/>
    <w:rsid w:val="0BA13F3D"/>
    <w:rsid w:val="0BB73761"/>
    <w:rsid w:val="0BC814CA"/>
    <w:rsid w:val="0BD53BE7"/>
    <w:rsid w:val="0BD7170D"/>
    <w:rsid w:val="0BD95485"/>
    <w:rsid w:val="0BFA2D21"/>
    <w:rsid w:val="0BFE6C9A"/>
    <w:rsid w:val="0C181139"/>
    <w:rsid w:val="0C230DF6"/>
    <w:rsid w:val="0C360B29"/>
    <w:rsid w:val="0C395F24"/>
    <w:rsid w:val="0C43716A"/>
    <w:rsid w:val="0C5B0590"/>
    <w:rsid w:val="0C6C62F9"/>
    <w:rsid w:val="0C6C7D25"/>
    <w:rsid w:val="0C8A2C23"/>
    <w:rsid w:val="0C962AA7"/>
    <w:rsid w:val="0CA43CE5"/>
    <w:rsid w:val="0CB3217A"/>
    <w:rsid w:val="0CB57365"/>
    <w:rsid w:val="0CBB2DDD"/>
    <w:rsid w:val="0CD12EDD"/>
    <w:rsid w:val="0CDB522D"/>
    <w:rsid w:val="0CDF3610"/>
    <w:rsid w:val="0CF307C8"/>
    <w:rsid w:val="0D0B68B3"/>
    <w:rsid w:val="0D156991"/>
    <w:rsid w:val="0D350DE1"/>
    <w:rsid w:val="0D3B27F3"/>
    <w:rsid w:val="0D3B5CCB"/>
    <w:rsid w:val="0D5B5BA3"/>
    <w:rsid w:val="0D71793F"/>
    <w:rsid w:val="0D9378B6"/>
    <w:rsid w:val="0D985311"/>
    <w:rsid w:val="0DA33F9D"/>
    <w:rsid w:val="0DAE6A7F"/>
    <w:rsid w:val="0DBE2B84"/>
    <w:rsid w:val="0DC363ED"/>
    <w:rsid w:val="0DCB13F4"/>
    <w:rsid w:val="0DCB704F"/>
    <w:rsid w:val="0DCE6B40"/>
    <w:rsid w:val="0DF234A1"/>
    <w:rsid w:val="0DF40070"/>
    <w:rsid w:val="0E037236"/>
    <w:rsid w:val="0E082052"/>
    <w:rsid w:val="0E0D58BA"/>
    <w:rsid w:val="0E1C5AFD"/>
    <w:rsid w:val="0E2F4A8A"/>
    <w:rsid w:val="0E323572"/>
    <w:rsid w:val="0E5E6115"/>
    <w:rsid w:val="0E7573C9"/>
    <w:rsid w:val="0E7F0DB1"/>
    <w:rsid w:val="0EA0672E"/>
    <w:rsid w:val="0EAA3109"/>
    <w:rsid w:val="0EAE0E4B"/>
    <w:rsid w:val="0EAE5466"/>
    <w:rsid w:val="0EAF327B"/>
    <w:rsid w:val="0EC73CBB"/>
    <w:rsid w:val="0ECC4E23"/>
    <w:rsid w:val="0EF91B74"/>
    <w:rsid w:val="0F1B3382"/>
    <w:rsid w:val="0F452E31"/>
    <w:rsid w:val="0F582B65"/>
    <w:rsid w:val="0F630BD4"/>
    <w:rsid w:val="0FA44DF3"/>
    <w:rsid w:val="0FA77648"/>
    <w:rsid w:val="0FB20025"/>
    <w:rsid w:val="0FB81855"/>
    <w:rsid w:val="0FC24482"/>
    <w:rsid w:val="0FC30926"/>
    <w:rsid w:val="0FC91CB4"/>
    <w:rsid w:val="0FE8038D"/>
    <w:rsid w:val="0FF26B15"/>
    <w:rsid w:val="10120F66"/>
    <w:rsid w:val="101D6023"/>
    <w:rsid w:val="10250A70"/>
    <w:rsid w:val="102D2243"/>
    <w:rsid w:val="102F7D69"/>
    <w:rsid w:val="103449ED"/>
    <w:rsid w:val="103709CC"/>
    <w:rsid w:val="10390BE8"/>
    <w:rsid w:val="10482E63"/>
    <w:rsid w:val="104E5D16"/>
    <w:rsid w:val="10565DB7"/>
    <w:rsid w:val="10596B94"/>
    <w:rsid w:val="105A46BB"/>
    <w:rsid w:val="10714BF2"/>
    <w:rsid w:val="10716466"/>
    <w:rsid w:val="10781DEB"/>
    <w:rsid w:val="107E484D"/>
    <w:rsid w:val="1088161D"/>
    <w:rsid w:val="108856CC"/>
    <w:rsid w:val="109126E2"/>
    <w:rsid w:val="109B002E"/>
    <w:rsid w:val="10A818CA"/>
    <w:rsid w:val="10AC760C"/>
    <w:rsid w:val="10AF2C58"/>
    <w:rsid w:val="10B1077E"/>
    <w:rsid w:val="10B93AD7"/>
    <w:rsid w:val="10BC7123"/>
    <w:rsid w:val="10E24DDC"/>
    <w:rsid w:val="111207D9"/>
    <w:rsid w:val="112371A2"/>
    <w:rsid w:val="113B44EC"/>
    <w:rsid w:val="114516A2"/>
    <w:rsid w:val="11457119"/>
    <w:rsid w:val="117568FF"/>
    <w:rsid w:val="118063A3"/>
    <w:rsid w:val="11A007F3"/>
    <w:rsid w:val="11B03A9A"/>
    <w:rsid w:val="11CC15E8"/>
    <w:rsid w:val="11CC3396"/>
    <w:rsid w:val="11D706B9"/>
    <w:rsid w:val="11D87F8D"/>
    <w:rsid w:val="11E3705D"/>
    <w:rsid w:val="11EC57E6"/>
    <w:rsid w:val="121A2353"/>
    <w:rsid w:val="121F3E0E"/>
    <w:rsid w:val="12333A03"/>
    <w:rsid w:val="12445622"/>
    <w:rsid w:val="124A2691"/>
    <w:rsid w:val="12655CC4"/>
    <w:rsid w:val="12675A01"/>
    <w:rsid w:val="126D40D3"/>
    <w:rsid w:val="127A64E3"/>
    <w:rsid w:val="127F665A"/>
    <w:rsid w:val="12850115"/>
    <w:rsid w:val="12AB31E8"/>
    <w:rsid w:val="12BB5DB5"/>
    <w:rsid w:val="12CA0550"/>
    <w:rsid w:val="12E82452"/>
    <w:rsid w:val="12EF37E0"/>
    <w:rsid w:val="12F86B39"/>
    <w:rsid w:val="12FB03D7"/>
    <w:rsid w:val="1300779B"/>
    <w:rsid w:val="130D3782"/>
    <w:rsid w:val="131165A9"/>
    <w:rsid w:val="13135720"/>
    <w:rsid w:val="13274D28"/>
    <w:rsid w:val="132C233E"/>
    <w:rsid w:val="13545D39"/>
    <w:rsid w:val="135B0E75"/>
    <w:rsid w:val="1360617B"/>
    <w:rsid w:val="136E2957"/>
    <w:rsid w:val="13767A5D"/>
    <w:rsid w:val="1399374C"/>
    <w:rsid w:val="139B1B3C"/>
    <w:rsid w:val="13A20852"/>
    <w:rsid w:val="13AA21BF"/>
    <w:rsid w:val="13AC7EF0"/>
    <w:rsid w:val="13B028D2"/>
    <w:rsid w:val="13BF7656"/>
    <w:rsid w:val="13D80718"/>
    <w:rsid w:val="13E470BD"/>
    <w:rsid w:val="13EE77BF"/>
    <w:rsid w:val="14317BE2"/>
    <w:rsid w:val="145F04F1"/>
    <w:rsid w:val="146401FE"/>
    <w:rsid w:val="146A5814"/>
    <w:rsid w:val="147815B3"/>
    <w:rsid w:val="148F7B0B"/>
    <w:rsid w:val="14AA20B4"/>
    <w:rsid w:val="14B05B25"/>
    <w:rsid w:val="14BC5944"/>
    <w:rsid w:val="14C64A14"/>
    <w:rsid w:val="14E86739"/>
    <w:rsid w:val="14ED01F3"/>
    <w:rsid w:val="14ED2FA2"/>
    <w:rsid w:val="15015466"/>
    <w:rsid w:val="15086DDB"/>
    <w:rsid w:val="15131425"/>
    <w:rsid w:val="15261B20"/>
    <w:rsid w:val="154716B1"/>
    <w:rsid w:val="155604DD"/>
    <w:rsid w:val="155C2C83"/>
    <w:rsid w:val="156F0C08"/>
    <w:rsid w:val="157601E9"/>
    <w:rsid w:val="15877D00"/>
    <w:rsid w:val="159D7523"/>
    <w:rsid w:val="159E5735"/>
    <w:rsid w:val="161865F8"/>
    <w:rsid w:val="16281367"/>
    <w:rsid w:val="163A2FC4"/>
    <w:rsid w:val="16421E79"/>
    <w:rsid w:val="16500A3A"/>
    <w:rsid w:val="165610F9"/>
    <w:rsid w:val="165F6ECF"/>
    <w:rsid w:val="16A14DF1"/>
    <w:rsid w:val="16CB1E6E"/>
    <w:rsid w:val="16D577B3"/>
    <w:rsid w:val="16D62C3F"/>
    <w:rsid w:val="16DE7C58"/>
    <w:rsid w:val="16EF0253"/>
    <w:rsid w:val="16FE7FF8"/>
    <w:rsid w:val="1715509B"/>
    <w:rsid w:val="172B0B5F"/>
    <w:rsid w:val="17365E81"/>
    <w:rsid w:val="174C483D"/>
    <w:rsid w:val="174E5F82"/>
    <w:rsid w:val="174F484D"/>
    <w:rsid w:val="176A5B2B"/>
    <w:rsid w:val="17773DA4"/>
    <w:rsid w:val="17854713"/>
    <w:rsid w:val="178D5376"/>
    <w:rsid w:val="17935D19"/>
    <w:rsid w:val="179E7583"/>
    <w:rsid w:val="17A0154D"/>
    <w:rsid w:val="17AE3C6A"/>
    <w:rsid w:val="17B943BD"/>
    <w:rsid w:val="17C84600"/>
    <w:rsid w:val="17D46E1F"/>
    <w:rsid w:val="17EA0A1A"/>
    <w:rsid w:val="17F3167D"/>
    <w:rsid w:val="180B10BC"/>
    <w:rsid w:val="18133ACD"/>
    <w:rsid w:val="183B3024"/>
    <w:rsid w:val="1844114A"/>
    <w:rsid w:val="18470786"/>
    <w:rsid w:val="18547D07"/>
    <w:rsid w:val="18667314"/>
    <w:rsid w:val="186802BC"/>
    <w:rsid w:val="18797CF6"/>
    <w:rsid w:val="187A1D9E"/>
    <w:rsid w:val="18925339"/>
    <w:rsid w:val="189A618D"/>
    <w:rsid w:val="189F1804"/>
    <w:rsid w:val="18D84845"/>
    <w:rsid w:val="18FA6A3B"/>
    <w:rsid w:val="18FF04F5"/>
    <w:rsid w:val="19063631"/>
    <w:rsid w:val="190B7602"/>
    <w:rsid w:val="19127B31"/>
    <w:rsid w:val="19193365"/>
    <w:rsid w:val="191A70DD"/>
    <w:rsid w:val="19297320"/>
    <w:rsid w:val="192B3098"/>
    <w:rsid w:val="19406B43"/>
    <w:rsid w:val="1941139F"/>
    <w:rsid w:val="194303E2"/>
    <w:rsid w:val="19486528"/>
    <w:rsid w:val="19570331"/>
    <w:rsid w:val="19636CD6"/>
    <w:rsid w:val="19722A75"/>
    <w:rsid w:val="197C04AA"/>
    <w:rsid w:val="199155F1"/>
    <w:rsid w:val="19925B38"/>
    <w:rsid w:val="19A242CF"/>
    <w:rsid w:val="19B17A41"/>
    <w:rsid w:val="19B80DD0"/>
    <w:rsid w:val="19E94311"/>
    <w:rsid w:val="1A2B77F4"/>
    <w:rsid w:val="1A444411"/>
    <w:rsid w:val="1A4533A6"/>
    <w:rsid w:val="1A554870"/>
    <w:rsid w:val="1A732F49"/>
    <w:rsid w:val="1A9A04D5"/>
    <w:rsid w:val="1AD339E7"/>
    <w:rsid w:val="1AF23E6D"/>
    <w:rsid w:val="1B0B1602"/>
    <w:rsid w:val="1B122762"/>
    <w:rsid w:val="1B216501"/>
    <w:rsid w:val="1B3426D8"/>
    <w:rsid w:val="1B3A5814"/>
    <w:rsid w:val="1B3C158C"/>
    <w:rsid w:val="1B3E29D3"/>
    <w:rsid w:val="1B40570F"/>
    <w:rsid w:val="1B4D5548"/>
    <w:rsid w:val="1B5C39DD"/>
    <w:rsid w:val="1B6D0075"/>
    <w:rsid w:val="1B822DE7"/>
    <w:rsid w:val="1B8765A5"/>
    <w:rsid w:val="1B970EB9"/>
    <w:rsid w:val="1B9C027D"/>
    <w:rsid w:val="1BA01B1B"/>
    <w:rsid w:val="1BB17C69"/>
    <w:rsid w:val="1BB43819"/>
    <w:rsid w:val="1BB74ECA"/>
    <w:rsid w:val="1BC24FBD"/>
    <w:rsid w:val="1BE22134"/>
    <w:rsid w:val="1BF6798D"/>
    <w:rsid w:val="1C0261E6"/>
    <w:rsid w:val="1C035BCE"/>
    <w:rsid w:val="1C2269D4"/>
    <w:rsid w:val="1C6A6742"/>
    <w:rsid w:val="1C6C40F3"/>
    <w:rsid w:val="1C7B5895"/>
    <w:rsid w:val="1C84143D"/>
    <w:rsid w:val="1C876837"/>
    <w:rsid w:val="1CA70C88"/>
    <w:rsid w:val="1CBB2985"/>
    <w:rsid w:val="1CD6156D"/>
    <w:rsid w:val="1CDB6B83"/>
    <w:rsid w:val="1CFC2B1B"/>
    <w:rsid w:val="1D0B7468"/>
    <w:rsid w:val="1D1F2520"/>
    <w:rsid w:val="1D3A1AFC"/>
    <w:rsid w:val="1D3A7D4E"/>
    <w:rsid w:val="1D440BCC"/>
    <w:rsid w:val="1D525097"/>
    <w:rsid w:val="1D5C1A72"/>
    <w:rsid w:val="1D6B43AB"/>
    <w:rsid w:val="1DA022A7"/>
    <w:rsid w:val="1DA60D9B"/>
    <w:rsid w:val="1DB072F2"/>
    <w:rsid w:val="1DB96EC4"/>
    <w:rsid w:val="1DE6676D"/>
    <w:rsid w:val="1E0A3BC4"/>
    <w:rsid w:val="1E217E45"/>
    <w:rsid w:val="1E3D7AF5"/>
    <w:rsid w:val="1E431C42"/>
    <w:rsid w:val="1E480248"/>
    <w:rsid w:val="1E5168F6"/>
    <w:rsid w:val="1E5310C7"/>
    <w:rsid w:val="1E562965"/>
    <w:rsid w:val="1E5D0198"/>
    <w:rsid w:val="1E82375A"/>
    <w:rsid w:val="1E956402"/>
    <w:rsid w:val="1EB853CE"/>
    <w:rsid w:val="1EC975DB"/>
    <w:rsid w:val="1ED33FB6"/>
    <w:rsid w:val="1ED400C9"/>
    <w:rsid w:val="1EDF482A"/>
    <w:rsid w:val="1EED5E8C"/>
    <w:rsid w:val="1F0423C1"/>
    <w:rsid w:val="1F195651"/>
    <w:rsid w:val="1F297729"/>
    <w:rsid w:val="1F374545"/>
    <w:rsid w:val="1F413615"/>
    <w:rsid w:val="1F964CC8"/>
    <w:rsid w:val="1FA12F8C"/>
    <w:rsid w:val="1FBC4A4A"/>
    <w:rsid w:val="1FBE6A14"/>
    <w:rsid w:val="1FCD4EA9"/>
    <w:rsid w:val="1FD77AD6"/>
    <w:rsid w:val="1FD91AA0"/>
    <w:rsid w:val="1FE02E2E"/>
    <w:rsid w:val="1FE83A91"/>
    <w:rsid w:val="1FF561AE"/>
    <w:rsid w:val="20054643"/>
    <w:rsid w:val="20062D79"/>
    <w:rsid w:val="201C7BDE"/>
    <w:rsid w:val="2020147D"/>
    <w:rsid w:val="202A22FB"/>
    <w:rsid w:val="203172D5"/>
    <w:rsid w:val="204F6E78"/>
    <w:rsid w:val="20566C4C"/>
    <w:rsid w:val="206415BC"/>
    <w:rsid w:val="206C6470"/>
    <w:rsid w:val="206F7D0E"/>
    <w:rsid w:val="207D46DD"/>
    <w:rsid w:val="208E288A"/>
    <w:rsid w:val="20980004"/>
    <w:rsid w:val="209E05F3"/>
    <w:rsid w:val="20A756FA"/>
    <w:rsid w:val="20BA367F"/>
    <w:rsid w:val="20C07AF3"/>
    <w:rsid w:val="20E24984"/>
    <w:rsid w:val="20EA55E7"/>
    <w:rsid w:val="20EE157B"/>
    <w:rsid w:val="20F46465"/>
    <w:rsid w:val="20FF0003"/>
    <w:rsid w:val="21001EC3"/>
    <w:rsid w:val="2107263D"/>
    <w:rsid w:val="210B5C89"/>
    <w:rsid w:val="210F504D"/>
    <w:rsid w:val="21180413"/>
    <w:rsid w:val="21241E6D"/>
    <w:rsid w:val="21423675"/>
    <w:rsid w:val="21555156"/>
    <w:rsid w:val="2155665E"/>
    <w:rsid w:val="21893C3E"/>
    <w:rsid w:val="21960099"/>
    <w:rsid w:val="219A0DBB"/>
    <w:rsid w:val="21AE4866"/>
    <w:rsid w:val="21B24356"/>
    <w:rsid w:val="21DF0EC4"/>
    <w:rsid w:val="220A5F40"/>
    <w:rsid w:val="220D77DF"/>
    <w:rsid w:val="221D1D08"/>
    <w:rsid w:val="222D5B7B"/>
    <w:rsid w:val="223905D4"/>
    <w:rsid w:val="22392043"/>
    <w:rsid w:val="224C6559"/>
    <w:rsid w:val="22B30F72"/>
    <w:rsid w:val="22BB36DF"/>
    <w:rsid w:val="22D85402"/>
    <w:rsid w:val="22DA1DB7"/>
    <w:rsid w:val="22EE5862"/>
    <w:rsid w:val="230307BE"/>
    <w:rsid w:val="23123443"/>
    <w:rsid w:val="23200C0C"/>
    <w:rsid w:val="232B0864"/>
    <w:rsid w:val="2335523F"/>
    <w:rsid w:val="23583A1F"/>
    <w:rsid w:val="235B4E65"/>
    <w:rsid w:val="23AD3718"/>
    <w:rsid w:val="23BF0FAD"/>
    <w:rsid w:val="23C6058D"/>
    <w:rsid w:val="23C91E2B"/>
    <w:rsid w:val="23CF0B19"/>
    <w:rsid w:val="23DF233A"/>
    <w:rsid w:val="23E4167E"/>
    <w:rsid w:val="23E97DD8"/>
    <w:rsid w:val="23FD4CA4"/>
    <w:rsid w:val="24003A9F"/>
    <w:rsid w:val="24044C11"/>
    <w:rsid w:val="24082954"/>
    <w:rsid w:val="24170DE9"/>
    <w:rsid w:val="241755D5"/>
    <w:rsid w:val="242D23BA"/>
    <w:rsid w:val="2447444D"/>
    <w:rsid w:val="24741D97"/>
    <w:rsid w:val="24A36BD0"/>
    <w:rsid w:val="24A7216D"/>
    <w:rsid w:val="24A8657A"/>
    <w:rsid w:val="24B16B47"/>
    <w:rsid w:val="24C04FDC"/>
    <w:rsid w:val="24D80578"/>
    <w:rsid w:val="24D942F0"/>
    <w:rsid w:val="24DB0068"/>
    <w:rsid w:val="24DD5B8E"/>
    <w:rsid w:val="24E567F1"/>
    <w:rsid w:val="24E8008F"/>
    <w:rsid w:val="24EF141E"/>
    <w:rsid w:val="24F37160"/>
    <w:rsid w:val="250F386E"/>
    <w:rsid w:val="25115838"/>
    <w:rsid w:val="25137802"/>
    <w:rsid w:val="252E6849"/>
    <w:rsid w:val="253A4D8F"/>
    <w:rsid w:val="254554E2"/>
    <w:rsid w:val="2551032A"/>
    <w:rsid w:val="25551BC9"/>
    <w:rsid w:val="2556149D"/>
    <w:rsid w:val="25620D48"/>
    <w:rsid w:val="2579128A"/>
    <w:rsid w:val="257D0110"/>
    <w:rsid w:val="25870F91"/>
    <w:rsid w:val="258C4EBE"/>
    <w:rsid w:val="258D66B7"/>
    <w:rsid w:val="25AE752B"/>
    <w:rsid w:val="25B032A3"/>
    <w:rsid w:val="25C7239A"/>
    <w:rsid w:val="25CE486A"/>
    <w:rsid w:val="25D56F00"/>
    <w:rsid w:val="25D80104"/>
    <w:rsid w:val="25D90DF9"/>
    <w:rsid w:val="2601765A"/>
    <w:rsid w:val="26092E0C"/>
    <w:rsid w:val="260D24A3"/>
    <w:rsid w:val="261E05A1"/>
    <w:rsid w:val="262B152D"/>
    <w:rsid w:val="263C0693"/>
    <w:rsid w:val="26434D40"/>
    <w:rsid w:val="265D1D80"/>
    <w:rsid w:val="268B33C8"/>
    <w:rsid w:val="268C18A6"/>
    <w:rsid w:val="26AF70B6"/>
    <w:rsid w:val="26B25CCB"/>
    <w:rsid w:val="26BE19EF"/>
    <w:rsid w:val="26E34FB2"/>
    <w:rsid w:val="26ED5E31"/>
    <w:rsid w:val="26F31699"/>
    <w:rsid w:val="27170853"/>
    <w:rsid w:val="271D04C4"/>
    <w:rsid w:val="273B3040"/>
    <w:rsid w:val="273D0B66"/>
    <w:rsid w:val="27457A1B"/>
    <w:rsid w:val="277537EB"/>
    <w:rsid w:val="27765E26"/>
    <w:rsid w:val="27912C60"/>
    <w:rsid w:val="279B3ADF"/>
    <w:rsid w:val="27B77ACB"/>
    <w:rsid w:val="27CB04BB"/>
    <w:rsid w:val="27D03788"/>
    <w:rsid w:val="27D25752"/>
    <w:rsid w:val="27E17743"/>
    <w:rsid w:val="281F64BE"/>
    <w:rsid w:val="28277120"/>
    <w:rsid w:val="283359BC"/>
    <w:rsid w:val="28681C13"/>
    <w:rsid w:val="286839C1"/>
    <w:rsid w:val="287F75E3"/>
    <w:rsid w:val="288A7DDB"/>
    <w:rsid w:val="288F719F"/>
    <w:rsid w:val="28924EE2"/>
    <w:rsid w:val="2894416C"/>
    <w:rsid w:val="28B10F71"/>
    <w:rsid w:val="28BE7A85"/>
    <w:rsid w:val="28D92B11"/>
    <w:rsid w:val="28E63353"/>
    <w:rsid w:val="28ED45B4"/>
    <w:rsid w:val="290B3EF8"/>
    <w:rsid w:val="29986528"/>
    <w:rsid w:val="29AC1FD3"/>
    <w:rsid w:val="29AE2ACE"/>
    <w:rsid w:val="29BB2216"/>
    <w:rsid w:val="29CA2459"/>
    <w:rsid w:val="29CC7F7F"/>
    <w:rsid w:val="29E277A3"/>
    <w:rsid w:val="29F15C38"/>
    <w:rsid w:val="2A135BAE"/>
    <w:rsid w:val="2A1A0CEB"/>
    <w:rsid w:val="2A3E70CF"/>
    <w:rsid w:val="2A473AAA"/>
    <w:rsid w:val="2A48173F"/>
    <w:rsid w:val="2A59450E"/>
    <w:rsid w:val="2A68414C"/>
    <w:rsid w:val="2A7E68ED"/>
    <w:rsid w:val="2A9140FC"/>
    <w:rsid w:val="2AB06457"/>
    <w:rsid w:val="2AC05D36"/>
    <w:rsid w:val="2AC31382"/>
    <w:rsid w:val="2AC44BC8"/>
    <w:rsid w:val="2AC944BF"/>
    <w:rsid w:val="2ACB6489"/>
    <w:rsid w:val="2ADE61BC"/>
    <w:rsid w:val="2AE15CAC"/>
    <w:rsid w:val="2AE5579D"/>
    <w:rsid w:val="2AFB4FC0"/>
    <w:rsid w:val="2B033E75"/>
    <w:rsid w:val="2B0A5203"/>
    <w:rsid w:val="2B116592"/>
    <w:rsid w:val="2B3D7387"/>
    <w:rsid w:val="2B560448"/>
    <w:rsid w:val="2B606BD1"/>
    <w:rsid w:val="2B667F60"/>
    <w:rsid w:val="2B6F5066"/>
    <w:rsid w:val="2B74267D"/>
    <w:rsid w:val="2BB92154"/>
    <w:rsid w:val="2BC02A48"/>
    <w:rsid w:val="2BC9706F"/>
    <w:rsid w:val="2C047EA4"/>
    <w:rsid w:val="2C0954BB"/>
    <w:rsid w:val="2C0958B5"/>
    <w:rsid w:val="2C0B2FE1"/>
    <w:rsid w:val="2C7124AA"/>
    <w:rsid w:val="2C732934"/>
    <w:rsid w:val="2C7A1F15"/>
    <w:rsid w:val="2C870B22"/>
    <w:rsid w:val="2C9C1E8B"/>
    <w:rsid w:val="2CA13945"/>
    <w:rsid w:val="2CA156F3"/>
    <w:rsid w:val="2CAF637E"/>
    <w:rsid w:val="2CD77367"/>
    <w:rsid w:val="2CE13D42"/>
    <w:rsid w:val="2CEE0628"/>
    <w:rsid w:val="2CF15526"/>
    <w:rsid w:val="2D0637A8"/>
    <w:rsid w:val="2D162F38"/>
    <w:rsid w:val="2D1660E1"/>
    <w:rsid w:val="2D26209C"/>
    <w:rsid w:val="2D263E4A"/>
    <w:rsid w:val="2D574004"/>
    <w:rsid w:val="2D6100FE"/>
    <w:rsid w:val="2D760F49"/>
    <w:rsid w:val="2D806BDB"/>
    <w:rsid w:val="2DA52FC1"/>
    <w:rsid w:val="2DCC29BC"/>
    <w:rsid w:val="2DD37B2E"/>
    <w:rsid w:val="2E0917A2"/>
    <w:rsid w:val="2E1B3283"/>
    <w:rsid w:val="2E2A34C6"/>
    <w:rsid w:val="2E632004"/>
    <w:rsid w:val="2E6609A2"/>
    <w:rsid w:val="2E782484"/>
    <w:rsid w:val="2E7F0BCF"/>
    <w:rsid w:val="2E8C76CD"/>
    <w:rsid w:val="2E9F2106"/>
    <w:rsid w:val="2EA26DF5"/>
    <w:rsid w:val="2EBF3662"/>
    <w:rsid w:val="2EC648F2"/>
    <w:rsid w:val="2ED51684"/>
    <w:rsid w:val="2EDA4EED"/>
    <w:rsid w:val="2EE87609"/>
    <w:rsid w:val="2EF02962"/>
    <w:rsid w:val="2EFA733D"/>
    <w:rsid w:val="2F0C6789"/>
    <w:rsid w:val="2F104DB2"/>
    <w:rsid w:val="2F124686"/>
    <w:rsid w:val="2F1E302B"/>
    <w:rsid w:val="2F212B1B"/>
    <w:rsid w:val="2F44633D"/>
    <w:rsid w:val="2F4F4678"/>
    <w:rsid w:val="2F6D5D61"/>
    <w:rsid w:val="2F7470EF"/>
    <w:rsid w:val="2F7E1D1C"/>
    <w:rsid w:val="2F823329"/>
    <w:rsid w:val="2F950F79"/>
    <w:rsid w:val="2F996B56"/>
    <w:rsid w:val="2FD06F3F"/>
    <w:rsid w:val="2FE80DEF"/>
    <w:rsid w:val="2FEE6EA1"/>
    <w:rsid w:val="2FF26266"/>
    <w:rsid w:val="2FF64EAE"/>
    <w:rsid w:val="2FFB6311"/>
    <w:rsid w:val="30185CCC"/>
    <w:rsid w:val="30191A45"/>
    <w:rsid w:val="30450A8C"/>
    <w:rsid w:val="304A7E50"/>
    <w:rsid w:val="30545571"/>
    <w:rsid w:val="30687E79"/>
    <w:rsid w:val="306C7DC6"/>
    <w:rsid w:val="307373A7"/>
    <w:rsid w:val="30771415"/>
    <w:rsid w:val="308169DE"/>
    <w:rsid w:val="30937A49"/>
    <w:rsid w:val="309F63EE"/>
    <w:rsid w:val="30AA338A"/>
    <w:rsid w:val="30BE03A6"/>
    <w:rsid w:val="30C85944"/>
    <w:rsid w:val="30F2476F"/>
    <w:rsid w:val="31046251"/>
    <w:rsid w:val="310F6C24"/>
    <w:rsid w:val="3126266B"/>
    <w:rsid w:val="31523460"/>
    <w:rsid w:val="31572824"/>
    <w:rsid w:val="315E709A"/>
    <w:rsid w:val="316A69FC"/>
    <w:rsid w:val="31741628"/>
    <w:rsid w:val="318873D1"/>
    <w:rsid w:val="31905D36"/>
    <w:rsid w:val="319E0453"/>
    <w:rsid w:val="31B41A25"/>
    <w:rsid w:val="31B77767"/>
    <w:rsid w:val="31C37EBA"/>
    <w:rsid w:val="31CF45BA"/>
    <w:rsid w:val="32056724"/>
    <w:rsid w:val="321626E0"/>
    <w:rsid w:val="3239017C"/>
    <w:rsid w:val="323A4620"/>
    <w:rsid w:val="323E39E4"/>
    <w:rsid w:val="32510286"/>
    <w:rsid w:val="32594A1C"/>
    <w:rsid w:val="32672F3B"/>
    <w:rsid w:val="3272107A"/>
    <w:rsid w:val="32827D75"/>
    <w:rsid w:val="32907C03"/>
    <w:rsid w:val="329B4993"/>
    <w:rsid w:val="32A63A63"/>
    <w:rsid w:val="32BD6FFF"/>
    <w:rsid w:val="32E93950"/>
    <w:rsid w:val="32FA5275"/>
    <w:rsid w:val="32FE2CD7"/>
    <w:rsid w:val="33173403"/>
    <w:rsid w:val="333D3C9C"/>
    <w:rsid w:val="333F226C"/>
    <w:rsid w:val="33883169"/>
    <w:rsid w:val="33953AD8"/>
    <w:rsid w:val="339733AC"/>
    <w:rsid w:val="339F04B3"/>
    <w:rsid w:val="33AB32FB"/>
    <w:rsid w:val="33B97A34"/>
    <w:rsid w:val="33BE43F9"/>
    <w:rsid w:val="33D22636"/>
    <w:rsid w:val="33DD7975"/>
    <w:rsid w:val="33E74334"/>
    <w:rsid w:val="33E84374"/>
    <w:rsid w:val="33EF4F96"/>
    <w:rsid w:val="33F00D0E"/>
    <w:rsid w:val="33F95E15"/>
    <w:rsid w:val="33FF2095"/>
    <w:rsid w:val="341E587B"/>
    <w:rsid w:val="3426434C"/>
    <w:rsid w:val="34311A53"/>
    <w:rsid w:val="343C3F54"/>
    <w:rsid w:val="344352E2"/>
    <w:rsid w:val="345D63A4"/>
    <w:rsid w:val="345D7F7F"/>
    <w:rsid w:val="347B2CCE"/>
    <w:rsid w:val="348A0C7B"/>
    <w:rsid w:val="34935765"/>
    <w:rsid w:val="34963664"/>
    <w:rsid w:val="349B790C"/>
    <w:rsid w:val="34C114D4"/>
    <w:rsid w:val="34C46423"/>
    <w:rsid w:val="34D1493E"/>
    <w:rsid w:val="34DD1293"/>
    <w:rsid w:val="34F10559"/>
    <w:rsid w:val="34FD3BDC"/>
    <w:rsid w:val="34FF745B"/>
    <w:rsid w:val="351729F7"/>
    <w:rsid w:val="352974DA"/>
    <w:rsid w:val="353F5AA9"/>
    <w:rsid w:val="35466E38"/>
    <w:rsid w:val="35472BB0"/>
    <w:rsid w:val="3550415A"/>
    <w:rsid w:val="35527ED3"/>
    <w:rsid w:val="355F5634"/>
    <w:rsid w:val="357D65D2"/>
    <w:rsid w:val="35BB3B8B"/>
    <w:rsid w:val="35BF4E3C"/>
    <w:rsid w:val="35E30B2B"/>
    <w:rsid w:val="35EF797B"/>
    <w:rsid w:val="361B02C4"/>
    <w:rsid w:val="362F3D70"/>
    <w:rsid w:val="36383AB1"/>
    <w:rsid w:val="36397E99"/>
    <w:rsid w:val="36802077"/>
    <w:rsid w:val="36853990"/>
    <w:rsid w:val="369A12F2"/>
    <w:rsid w:val="36AF6C5F"/>
    <w:rsid w:val="36B97ADD"/>
    <w:rsid w:val="36D30B9F"/>
    <w:rsid w:val="36D861B6"/>
    <w:rsid w:val="36EB153E"/>
    <w:rsid w:val="36FD79CA"/>
    <w:rsid w:val="3701395E"/>
    <w:rsid w:val="37040D59"/>
    <w:rsid w:val="37114A05"/>
    <w:rsid w:val="37164FCA"/>
    <w:rsid w:val="371B2546"/>
    <w:rsid w:val="372633C5"/>
    <w:rsid w:val="372E5DD5"/>
    <w:rsid w:val="373553B6"/>
    <w:rsid w:val="37476E97"/>
    <w:rsid w:val="377C1237"/>
    <w:rsid w:val="37895702"/>
    <w:rsid w:val="37AB7B80"/>
    <w:rsid w:val="37C36E66"/>
    <w:rsid w:val="37F34F95"/>
    <w:rsid w:val="381274A5"/>
    <w:rsid w:val="38260235"/>
    <w:rsid w:val="38275EAB"/>
    <w:rsid w:val="38291B7A"/>
    <w:rsid w:val="382D0783"/>
    <w:rsid w:val="385E6B8E"/>
    <w:rsid w:val="38683569"/>
    <w:rsid w:val="386C3059"/>
    <w:rsid w:val="386D0B7F"/>
    <w:rsid w:val="38735A0D"/>
    <w:rsid w:val="388D1B6A"/>
    <w:rsid w:val="38912AC0"/>
    <w:rsid w:val="38A24CCD"/>
    <w:rsid w:val="38A8605B"/>
    <w:rsid w:val="38A91071"/>
    <w:rsid w:val="38C96299"/>
    <w:rsid w:val="38D1110E"/>
    <w:rsid w:val="38D8249D"/>
    <w:rsid w:val="3906414D"/>
    <w:rsid w:val="391334D5"/>
    <w:rsid w:val="392A081F"/>
    <w:rsid w:val="39641F82"/>
    <w:rsid w:val="39677CC5"/>
    <w:rsid w:val="396F2205"/>
    <w:rsid w:val="39730417"/>
    <w:rsid w:val="39AE1450"/>
    <w:rsid w:val="39B32F0A"/>
    <w:rsid w:val="39BA4298"/>
    <w:rsid w:val="39C101EC"/>
    <w:rsid w:val="39CB3DB0"/>
    <w:rsid w:val="39CF0DA2"/>
    <w:rsid w:val="39D05D57"/>
    <w:rsid w:val="39D709A6"/>
    <w:rsid w:val="39DE1D35"/>
    <w:rsid w:val="39EE3018"/>
    <w:rsid w:val="3A06303A"/>
    <w:rsid w:val="3A0C71FA"/>
    <w:rsid w:val="3A0D13C2"/>
    <w:rsid w:val="3A1A4D37"/>
    <w:rsid w:val="3A1B4490"/>
    <w:rsid w:val="3A323E2F"/>
    <w:rsid w:val="3A361B71"/>
    <w:rsid w:val="3A502507"/>
    <w:rsid w:val="3A5F274A"/>
    <w:rsid w:val="3A687850"/>
    <w:rsid w:val="3A6C0AFC"/>
    <w:rsid w:val="3A766411"/>
    <w:rsid w:val="3A8F1281"/>
    <w:rsid w:val="3A944AE9"/>
    <w:rsid w:val="3AB111F7"/>
    <w:rsid w:val="3AB605BC"/>
    <w:rsid w:val="3ABC194A"/>
    <w:rsid w:val="3AD153F6"/>
    <w:rsid w:val="3AD66EB0"/>
    <w:rsid w:val="3AD969A0"/>
    <w:rsid w:val="3AE07D2F"/>
    <w:rsid w:val="3AEC07A9"/>
    <w:rsid w:val="3AEC222F"/>
    <w:rsid w:val="3AF03F69"/>
    <w:rsid w:val="3AF37A62"/>
    <w:rsid w:val="3AF83641"/>
    <w:rsid w:val="3B1925BB"/>
    <w:rsid w:val="3B424545"/>
    <w:rsid w:val="3B510F96"/>
    <w:rsid w:val="3B7A3CDF"/>
    <w:rsid w:val="3B7A783B"/>
    <w:rsid w:val="3B7B1805"/>
    <w:rsid w:val="3B7D557D"/>
    <w:rsid w:val="3B972A87"/>
    <w:rsid w:val="3BD50F16"/>
    <w:rsid w:val="3BD95A5A"/>
    <w:rsid w:val="3BF910A8"/>
    <w:rsid w:val="3BFA15E8"/>
    <w:rsid w:val="3C082A43"/>
    <w:rsid w:val="3C0F3B85"/>
    <w:rsid w:val="3C1A7270"/>
    <w:rsid w:val="3C20015F"/>
    <w:rsid w:val="3C6D73A0"/>
    <w:rsid w:val="3C771FCD"/>
    <w:rsid w:val="3C866B0A"/>
    <w:rsid w:val="3C9767A1"/>
    <w:rsid w:val="3C9A5CBB"/>
    <w:rsid w:val="3CBE7BFC"/>
    <w:rsid w:val="3CC05722"/>
    <w:rsid w:val="3CC66AB0"/>
    <w:rsid w:val="3CD236A7"/>
    <w:rsid w:val="3CD92C87"/>
    <w:rsid w:val="3CE67855"/>
    <w:rsid w:val="3CEA279F"/>
    <w:rsid w:val="3CF74EBC"/>
    <w:rsid w:val="3D082AFA"/>
    <w:rsid w:val="3D0E0B83"/>
    <w:rsid w:val="3D115F7D"/>
    <w:rsid w:val="3D18695B"/>
    <w:rsid w:val="3D385606"/>
    <w:rsid w:val="3D580050"/>
    <w:rsid w:val="3D5D7415"/>
    <w:rsid w:val="3D627E53"/>
    <w:rsid w:val="3D9B2B19"/>
    <w:rsid w:val="3DB039E8"/>
    <w:rsid w:val="3DB1150E"/>
    <w:rsid w:val="3DB613B5"/>
    <w:rsid w:val="3DB86D41"/>
    <w:rsid w:val="3DC41242"/>
    <w:rsid w:val="3DC94AAA"/>
    <w:rsid w:val="3DEE4511"/>
    <w:rsid w:val="3E077380"/>
    <w:rsid w:val="3E0C2BE9"/>
    <w:rsid w:val="3E2B306F"/>
    <w:rsid w:val="3E2E7003"/>
    <w:rsid w:val="3E350391"/>
    <w:rsid w:val="3E4203B8"/>
    <w:rsid w:val="3E6001D1"/>
    <w:rsid w:val="3E686071"/>
    <w:rsid w:val="3E6B3DB3"/>
    <w:rsid w:val="3E6B790F"/>
    <w:rsid w:val="3E75078E"/>
    <w:rsid w:val="3E757674"/>
    <w:rsid w:val="3E864749"/>
    <w:rsid w:val="3E895FE7"/>
    <w:rsid w:val="3E8E5630"/>
    <w:rsid w:val="3E9C21BE"/>
    <w:rsid w:val="3EBB7937"/>
    <w:rsid w:val="3EBC63BD"/>
    <w:rsid w:val="3EDE4585"/>
    <w:rsid w:val="3EDF3E59"/>
    <w:rsid w:val="3EE55913"/>
    <w:rsid w:val="3EEB0A50"/>
    <w:rsid w:val="3F2A1578"/>
    <w:rsid w:val="3F5E7474"/>
    <w:rsid w:val="3F61485F"/>
    <w:rsid w:val="3F696F1A"/>
    <w:rsid w:val="3F860FB2"/>
    <w:rsid w:val="3F8C604C"/>
    <w:rsid w:val="40112738"/>
    <w:rsid w:val="401C5365"/>
    <w:rsid w:val="402056D3"/>
    <w:rsid w:val="40267F92"/>
    <w:rsid w:val="40363F4D"/>
    <w:rsid w:val="408D1DBF"/>
    <w:rsid w:val="40A1586A"/>
    <w:rsid w:val="40BC4452"/>
    <w:rsid w:val="40D00480"/>
    <w:rsid w:val="40E1035D"/>
    <w:rsid w:val="410D4CAE"/>
    <w:rsid w:val="412A1D04"/>
    <w:rsid w:val="41306BEE"/>
    <w:rsid w:val="4131376C"/>
    <w:rsid w:val="4134048C"/>
    <w:rsid w:val="41401BD6"/>
    <w:rsid w:val="41CC4B69"/>
    <w:rsid w:val="41EB396B"/>
    <w:rsid w:val="41F52311"/>
    <w:rsid w:val="420F6AD2"/>
    <w:rsid w:val="421107CE"/>
    <w:rsid w:val="42116A20"/>
    <w:rsid w:val="425208D5"/>
    <w:rsid w:val="42644DA1"/>
    <w:rsid w:val="42791D7B"/>
    <w:rsid w:val="429531AD"/>
    <w:rsid w:val="429C745A"/>
    <w:rsid w:val="42A32262"/>
    <w:rsid w:val="42A77656"/>
    <w:rsid w:val="42B0199B"/>
    <w:rsid w:val="42C121F4"/>
    <w:rsid w:val="42CD6DEA"/>
    <w:rsid w:val="42E67EAC"/>
    <w:rsid w:val="42F26851"/>
    <w:rsid w:val="43100A85"/>
    <w:rsid w:val="4352109E"/>
    <w:rsid w:val="43540053"/>
    <w:rsid w:val="435C3CCA"/>
    <w:rsid w:val="4367085D"/>
    <w:rsid w:val="437234EE"/>
    <w:rsid w:val="437E1E93"/>
    <w:rsid w:val="438D657A"/>
    <w:rsid w:val="4392593E"/>
    <w:rsid w:val="43AB123A"/>
    <w:rsid w:val="43B25C81"/>
    <w:rsid w:val="43B34232"/>
    <w:rsid w:val="43D146B8"/>
    <w:rsid w:val="43DB54D5"/>
    <w:rsid w:val="43E20674"/>
    <w:rsid w:val="43F62371"/>
    <w:rsid w:val="43F71A63"/>
    <w:rsid w:val="441B1DD7"/>
    <w:rsid w:val="441D08A0"/>
    <w:rsid w:val="441D16AC"/>
    <w:rsid w:val="442279DE"/>
    <w:rsid w:val="44380293"/>
    <w:rsid w:val="443E5A20"/>
    <w:rsid w:val="4455789A"/>
    <w:rsid w:val="448C05DF"/>
    <w:rsid w:val="448E4357"/>
    <w:rsid w:val="44B33DBE"/>
    <w:rsid w:val="44B95392"/>
    <w:rsid w:val="44E64535"/>
    <w:rsid w:val="44E97F1E"/>
    <w:rsid w:val="44EE4DF6"/>
    <w:rsid w:val="44F22B38"/>
    <w:rsid w:val="450B5ED4"/>
    <w:rsid w:val="45135F9D"/>
    <w:rsid w:val="451E1B7F"/>
    <w:rsid w:val="4520349E"/>
    <w:rsid w:val="452F78E8"/>
    <w:rsid w:val="45372C41"/>
    <w:rsid w:val="45392515"/>
    <w:rsid w:val="45486BFC"/>
    <w:rsid w:val="45576E3F"/>
    <w:rsid w:val="455A7AF1"/>
    <w:rsid w:val="455C6204"/>
    <w:rsid w:val="457263F7"/>
    <w:rsid w:val="4597723C"/>
    <w:rsid w:val="45AA3413"/>
    <w:rsid w:val="45C12D21"/>
    <w:rsid w:val="45C81AEB"/>
    <w:rsid w:val="45CD62E3"/>
    <w:rsid w:val="45E32481"/>
    <w:rsid w:val="45F6758C"/>
    <w:rsid w:val="45FE550D"/>
    <w:rsid w:val="46004DE1"/>
    <w:rsid w:val="4645313C"/>
    <w:rsid w:val="4669507C"/>
    <w:rsid w:val="467A1037"/>
    <w:rsid w:val="468123C6"/>
    <w:rsid w:val="46891585"/>
    <w:rsid w:val="46A165C4"/>
    <w:rsid w:val="46A75BA4"/>
    <w:rsid w:val="46B02CAB"/>
    <w:rsid w:val="46D06EA9"/>
    <w:rsid w:val="46E22739"/>
    <w:rsid w:val="471A6376"/>
    <w:rsid w:val="47213261"/>
    <w:rsid w:val="47264328"/>
    <w:rsid w:val="472C4C55"/>
    <w:rsid w:val="4739668B"/>
    <w:rsid w:val="474B6530"/>
    <w:rsid w:val="4760647F"/>
    <w:rsid w:val="477E6905"/>
    <w:rsid w:val="47833F1C"/>
    <w:rsid w:val="479F062A"/>
    <w:rsid w:val="479F0A2A"/>
    <w:rsid w:val="47A67C0A"/>
    <w:rsid w:val="47AF606B"/>
    <w:rsid w:val="47B2035D"/>
    <w:rsid w:val="47C22A8D"/>
    <w:rsid w:val="47CD163B"/>
    <w:rsid w:val="47CF0F0F"/>
    <w:rsid w:val="47E61A1C"/>
    <w:rsid w:val="482C010F"/>
    <w:rsid w:val="48316DCF"/>
    <w:rsid w:val="48A028AB"/>
    <w:rsid w:val="48B44C62"/>
    <w:rsid w:val="48C22822"/>
    <w:rsid w:val="48C42A3E"/>
    <w:rsid w:val="48C540C0"/>
    <w:rsid w:val="48FF3A76"/>
    <w:rsid w:val="490C1CEF"/>
    <w:rsid w:val="491F7C74"/>
    <w:rsid w:val="49311755"/>
    <w:rsid w:val="4941408E"/>
    <w:rsid w:val="494E5DA2"/>
    <w:rsid w:val="49523BA5"/>
    <w:rsid w:val="4957650F"/>
    <w:rsid w:val="495E5BA5"/>
    <w:rsid w:val="496B05B4"/>
    <w:rsid w:val="49877DA8"/>
    <w:rsid w:val="49B93C25"/>
    <w:rsid w:val="49CA5E32"/>
    <w:rsid w:val="49E54A1A"/>
    <w:rsid w:val="49FF6D87"/>
    <w:rsid w:val="4A001E90"/>
    <w:rsid w:val="4A0D3F70"/>
    <w:rsid w:val="4A1B465B"/>
    <w:rsid w:val="4A33616E"/>
    <w:rsid w:val="4A370FED"/>
    <w:rsid w:val="4A58168F"/>
    <w:rsid w:val="4A6873F9"/>
    <w:rsid w:val="4A6A4F1F"/>
    <w:rsid w:val="4A842484"/>
    <w:rsid w:val="4ABD14F2"/>
    <w:rsid w:val="4AC705C3"/>
    <w:rsid w:val="4ACB00B3"/>
    <w:rsid w:val="4AD36F68"/>
    <w:rsid w:val="4AE44CD1"/>
    <w:rsid w:val="4B0F1E12"/>
    <w:rsid w:val="4B103D18"/>
    <w:rsid w:val="4B344B67"/>
    <w:rsid w:val="4B3F45FD"/>
    <w:rsid w:val="4B63653E"/>
    <w:rsid w:val="4B700C5B"/>
    <w:rsid w:val="4B751DCD"/>
    <w:rsid w:val="4B7D6ED4"/>
    <w:rsid w:val="4B840262"/>
    <w:rsid w:val="4B8E10E1"/>
    <w:rsid w:val="4BA83F51"/>
    <w:rsid w:val="4C0010FD"/>
    <w:rsid w:val="4C03387D"/>
    <w:rsid w:val="4C0B6D51"/>
    <w:rsid w:val="4C1930A0"/>
    <w:rsid w:val="4C215AB1"/>
    <w:rsid w:val="4C3752D5"/>
    <w:rsid w:val="4C3B3017"/>
    <w:rsid w:val="4C435E96"/>
    <w:rsid w:val="4C63371B"/>
    <w:rsid w:val="4C6E7D48"/>
    <w:rsid w:val="4C6F4A09"/>
    <w:rsid w:val="4C7402D7"/>
    <w:rsid w:val="4C77128B"/>
    <w:rsid w:val="4C7958ED"/>
    <w:rsid w:val="4C83051A"/>
    <w:rsid w:val="4C855198"/>
    <w:rsid w:val="4C94319E"/>
    <w:rsid w:val="4C96649F"/>
    <w:rsid w:val="4CB93F3C"/>
    <w:rsid w:val="4CBD3A2C"/>
    <w:rsid w:val="4CD60F91"/>
    <w:rsid w:val="4CF136D5"/>
    <w:rsid w:val="4CF3569F"/>
    <w:rsid w:val="4D1B4BF6"/>
    <w:rsid w:val="4D302450"/>
    <w:rsid w:val="4D312395"/>
    <w:rsid w:val="4D320155"/>
    <w:rsid w:val="4D34294E"/>
    <w:rsid w:val="4D5015E7"/>
    <w:rsid w:val="4D51362F"/>
    <w:rsid w:val="4D52686A"/>
    <w:rsid w:val="4D5325E2"/>
    <w:rsid w:val="4D57657B"/>
    <w:rsid w:val="4D981DA3"/>
    <w:rsid w:val="4D9C5D37"/>
    <w:rsid w:val="4DFF1E22"/>
    <w:rsid w:val="4E0A0EF3"/>
    <w:rsid w:val="4E2B70BB"/>
    <w:rsid w:val="4E476C29"/>
    <w:rsid w:val="4E5B79A0"/>
    <w:rsid w:val="4E640BBD"/>
    <w:rsid w:val="4E710F72"/>
    <w:rsid w:val="4E810A89"/>
    <w:rsid w:val="4E8862BB"/>
    <w:rsid w:val="4E920EE8"/>
    <w:rsid w:val="4EA824BA"/>
    <w:rsid w:val="4EC065E3"/>
    <w:rsid w:val="4EC56BC8"/>
    <w:rsid w:val="4EC92B5C"/>
    <w:rsid w:val="4ECD3CCE"/>
    <w:rsid w:val="4EDE412D"/>
    <w:rsid w:val="4EDE5EDB"/>
    <w:rsid w:val="4EED0B13"/>
    <w:rsid w:val="4EF851EF"/>
    <w:rsid w:val="4EF86F9D"/>
    <w:rsid w:val="4F02606E"/>
    <w:rsid w:val="4F0B3174"/>
    <w:rsid w:val="4F0F3AB7"/>
    <w:rsid w:val="4F133DD7"/>
    <w:rsid w:val="4F1E452A"/>
    <w:rsid w:val="4F2E58FF"/>
    <w:rsid w:val="4F3E7FC5"/>
    <w:rsid w:val="4F560168"/>
    <w:rsid w:val="4F6208BA"/>
    <w:rsid w:val="4F7212D2"/>
    <w:rsid w:val="4F730D1A"/>
    <w:rsid w:val="4F7505EE"/>
    <w:rsid w:val="4F7C7BCE"/>
    <w:rsid w:val="4FA709C3"/>
    <w:rsid w:val="4FA823EF"/>
    <w:rsid w:val="4FA9473B"/>
    <w:rsid w:val="4FB8672C"/>
    <w:rsid w:val="4FCC21D8"/>
    <w:rsid w:val="4FCF2A0F"/>
    <w:rsid w:val="4FDA7A03"/>
    <w:rsid w:val="4FE237A9"/>
    <w:rsid w:val="4FEE0289"/>
    <w:rsid w:val="4FF21C3E"/>
    <w:rsid w:val="4FF27E90"/>
    <w:rsid w:val="4FFD1377"/>
    <w:rsid w:val="4FFF6109"/>
    <w:rsid w:val="50041972"/>
    <w:rsid w:val="50243DC2"/>
    <w:rsid w:val="503415A0"/>
    <w:rsid w:val="503E1327"/>
    <w:rsid w:val="5051105B"/>
    <w:rsid w:val="50577CF3"/>
    <w:rsid w:val="50597F0F"/>
    <w:rsid w:val="50615016"/>
    <w:rsid w:val="50876AFD"/>
    <w:rsid w:val="50946198"/>
    <w:rsid w:val="50AF7B2F"/>
    <w:rsid w:val="50BB2978"/>
    <w:rsid w:val="50D13F4A"/>
    <w:rsid w:val="50D4718B"/>
    <w:rsid w:val="50D77086"/>
    <w:rsid w:val="511D718F"/>
    <w:rsid w:val="5142059E"/>
    <w:rsid w:val="5160707C"/>
    <w:rsid w:val="51723FD8"/>
    <w:rsid w:val="51850854"/>
    <w:rsid w:val="5187285A"/>
    <w:rsid w:val="51983D9C"/>
    <w:rsid w:val="519A433C"/>
    <w:rsid w:val="519D5BDA"/>
    <w:rsid w:val="51C23892"/>
    <w:rsid w:val="51C55131"/>
    <w:rsid w:val="51D11D27"/>
    <w:rsid w:val="51E43809"/>
    <w:rsid w:val="52020133"/>
    <w:rsid w:val="520C2D5F"/>
    <w:rsid w:val="523D116B"/>
    <w:rsid w:val="524A2826"/>
    <w:rsid w:val="524F15CA"/>
    <w:rsid w:val="525070F0"/>
    <w:rsid w:val="52614E59"/>
    <w:rsid w:val="526B5CD8"/>
    <w:rsid w:val="52734B8D"/>
    <w:rsid w:val="52F520BB"/>
    <w:rsid w:val="530D4FE1"/>
    <w:rsid w:val="532A21E4"/>
    <w:rsid w:val="53320D37"/>
    <w:rsid w:val="53390EB3"/>
    <w:rsid w:val="533D58C6"/>
    <w:rsid w:val="533D7674"/>
    <w:rsid w:val="533F163E"/>
    <w:rsid w:val="53674D80"/>
    <w:rsid w:val="5394125E"/>
    <w:rsid w:val="53A94D0A"/>
    <w:rsid w:val="53AE40CE"/>
    <w:rsid w:val="53DA4EC3"/>
    <w:rsid w:val="53E67D0C"/>
    <w:rsid w:val="53F57F4F"/>
    <w:rsid w:val="540B4634"/>
    <w:rsid w:val="541C54DC"/>
    <w:rsid w:val="542603BD"/>
    <w:rsid w:val="542B571F"/>
    <w:rsid w:val="543A1E06"/>
    <w:rsid w:val="54660E4D"/>
    <w:rsid w:val="54745041"/>
    <w:rsid w:val="54920945"/>
    <w:rsid w:val="54A31759"/>
    <w:rsid w:val="54B25E40"/>
    <w:rsid w:val="54BA79EA"/>
    <w:rsid w:val="54C067AF"/>
    <w:rsid w:val="54C76AC5"/>
    <w:rsid w:val="54D062C6"/>
    <w:rsid w:val="54DA17D8"/>
    <w:rsid w:val="54E0748A"/>
    <w:rsid w:val="55230AEC"/>
    <w:rsid w:val="5523289A"/>
    <w:rsid w:val="55234D2A"/>
    <w:rsid w:val="553E5926"/>
    <w:rsid w:val="554967A4"/>
    <w:rsid w:val="55546ACE"/>
    <w:rsid w:val="55621614"/>
    <w:rsid w:val="558A2919"/>
    <w:rsid w:val="558B2CB6"/>
    <w:rsid w:val="55937A20"/>
    <w:rsid w:val="559A4947"/>
    <w:rsid w:val="559A7000"/>
    <w:rsid w:val="55A27C63"/>
    <w:rsid w:val="55B6370E"/>
    <w:rsid w:val="55B654BC"/>
    <w:rsid w:val="55B856D8"/>
    <w:rsid w:val="55B94FAC"/>
    <w:rsid w:val="55CA0F67"/>
    <w:rsid w:val="55DB4F23"/>
    <w:rsid w:val="55FF4B9F"/>
    <w:rsid w:val="5607370F"/>
    <w:rsid w:val="560C1580"/>
    <w:rsid w:val="5612303A"/>
    <w:rsid w:val="5613290E"/>
    <w:rsid w:val="5621502B"/>
    <w:rsid w:val="56222B52"/>
    <w:rsid w:val="5627519B"/>
    <w:rsid w:val="56356EA9"/>
    <w:rsid w:val="563D2B64"/>
    <w:rsid w:val="5640122A"/>
    <w:rsid w:val="564156CE"/>
    <w:rsid w:val="56464A92"/>
    <w:rsid w:val="56576C9F"/>
    <w:rsid w:val="565F384B"/>
    <w:rsid w:val="566273F2"/>
    <w:rsid w:val="56707D61"/>
    <w:rsid w:val="567358A7"/>
    <w:rsid w:val="568455BA"/>
    <w:rsid w:val="5689497F"/>
    <w:rsid w:val="569577C7"/>
    <w:rsid w:val="569E20FD"/>
    <w:rsid w:val="56AE2637"/>
    <w:rsid w:val="570A0D4E"/>
    <w:rsid w:val="57272B15"/>
    <w:rsid w:val="57315742"/>
    <w:rsid w:val="573174F0"/>
    <w:rsid w:val="57392849"/>
    <w:rsid w:val="57466D32"/>
    <w:rsid w:val="576C6348"/>
    <w:rsid w:val="5773022F"/>
    <w:rsid w:val="57793898"/>
    <w:rsid w:val="57A35F14"/>
    <w:rsid w:val="57C540DC"/>
    <w:rsid w:val="57D05678"/>
    <w:rsid w:val="57DB745C"/>
    <w:rsid w:val="57E04A72"/>
    <w:rsid w:val="57E704CA"/>
    <w:rsid w:val="57F549C2"/>
    <w:rsid w:val="580249E9"/>
    <w:rsid w:val="580469B3"/>
    <w:rsid w:val="581035A9"/>
    <w:rsid w:val="582C7CB7"/>
    <w:rsid w:val="58311772"/>
    <w:rsid w:val="584630B8"/>
    <w:rsid w:val="584B45E2"/>
    <w:rsid w:val="58711B6E"/>
    <w:rsid w:val="5875165E"/>
    <w:rsid w:val="587850B6"/>
    <w:rsid w:val="587C754A"/>
    <w:rsid w:val="587D0EB9"/>
    <w:rsid w:val="5898534D"/>
    <w:rsid w:val="58C67691"/>
    <w:rsid w:val="58D00F8B"/>
    <w:rsid w:val="58DC348C"/>
    <w:rsid w:val="590645DA"/>
    <w:rsid w:val="590B5B1F"/>
    <w:rsid w:val="59170968"/>
    <w:rsid w:val="59205A6E"/>
    <w:rsid w:val="59213594"/>
    <w:rsid w:val="59546E2D"/>
    <w:rsid w:val="59622495"/>
    <w:rsid w:val="596D0588"/>
    <w:rsid w:val="598A0241"/>
    <w:rsid w:val="59B12B6A"/>
    <w:rsid w:val="59BB2149"/>
    <w:rsid w:val="59C04B5B"/>
    <w:rsid w:val="59E00D5A"/>
    <w:rsid w:val="59E54F88"/>
    <w:rsid w:val="59EF5441"/>
    <w:rsid w:val="59F63514"/>
    <w:rsid w:val="59FD190B"/>
    <w:rsid w:val="59FD3921"/>
    <w:rsid w:val="5A032C9A"/>
    <w:rsid w:val="5A054C64"/>
    <w:rsid w:val="5A0A227A"/>
    <w:rsid w:val="5A1153B7"/>
    <w:rsid w:val="5A1F7AD4"/>
    <w:rsid w:val="5A315A59"/>
    <w:rsid w:val="5A582FE6"/>
    <w:rsid w:val="5A8B4A50"/>
    <w:rsid w:val="5A9102A6"/>
    <w:rsid w:val="5A9F6E67"/>
    <w:rsid w:val="5AAB47D0"/>
    <w:rsid w:val="5AB16BC9"/>
    <w:rsid w:val="5AB3021C"/>
    <w:rsid w:val="5ABA3CA0"/>
    <w:rsid w:val="5AD20FEA"/>
    <w:rsid w:val="5ADF7C2B"/>
    <w:rsid w:val="5AF70A51"/>
    <w:rsid w:val="5AFC7E15"/>
    <w:rsid w:val="5B0867BA"/>
    <w:rsid w:val="5B3E7122"/>
    <w:rsid w:val="5B4F4BDD"/>
    <w:rsid w:val="5B6079A2"/>
    <w:rsid w:val="5B765E19"/>
    <w:rsid w:val="5B7C4AB2"/>
    <w:rsid w:val="5B915FDD"/>
    <w:rsid w:val="5BAC183B"/>
    <w:rsid w:val="5BAF30D9"/>
    <w:rsid w:val="5BC76675"/>
    <w:rsid w:val="5BC934AE"/>
    <w:rsid w:val="5BD112A2"/>
    <w:rsid w:val="5BD1655A"/>
    <w:rsid w:val="5BE10DB9"/>
    <w:rsid w:val="5BFA0138"/>
    <w:rsid w:val="5C0827EA"/>
    <w:rsid w:val="5C163ACA"/>
    <w:rsid w:val="5C2A09B2"/>
    <w:rsid w:val="5C3A6E47"/>
    <w:rsid w:val="5C4C45DD"/>
    <w:rsid w:val="5C5D30F4"/>
    <w:rsid w:val="5C5D3FD5"/>
    <w:rsid w:val="5C6043D4"/>
    <w:rsid w:val="5C6B7165"/>
    <w:rsid w:val="5C7F525F"/>
    <w:rsid w:val="5C867ADA"/>
    <w:rsid w:val="5C9F6CAA"/>
    <w:rsid w:val="5CC130C4"/>
    <w:rsid w:val="5CC42BB4"/>
    <w:rsid w:val="5CD252D1"/>
    <w:rsid w:val="5CF1327E"/>
    <w:rsid w:val="5CF214D0"/>
    <w:rsid w:val="5D080CF3"/>
    <w:rsid w:val="5D0D6309"/>
    <w:rsid w:val="5D0F19FE"/>
    <w:rsid w:val="5D2D2CA2"/>
    <w:rsid w:val="5D4F5F4A"/>
    <w:rsid w:val="5D551A5E"/>
    <w:rsid w:val="5D59154F"/>
    <w:rsid w:val="5D7719D5"/>
    <w:rsid w:val="5D774498"/>
    <w:rsid w:val="5D850596"/>
    <w:rsid w:val="5D8F3593"/>
    <w:rsid w:val="5D995DEF"/>
    <w:rsid w:val="5DA73D93"/>
    <w:rsid w:val="5DAF5613"/>
    <w:rsid w:val="5DB1138B"/>
    <w:rsid w:val="5DD64ABE"/>
    <w:rsid w:val="5DDD2180"/>
    <w:rsid w:val="5DE82752"/>
    <w:rsid w:val="5E1B2CA8"/>
    <w:rsid w:val="5E2356B9"/>
    <w:rsid w:val="5E36363E"/>
    <w:rsid w:val="5E3653EC"/>
    <w:rsid w:val="5E3B697E"/>
    <w:rsid w:val="5E5536CA"/>
    <w:rsid w:val="5E6261E1"/>
    <w:rsid w:val="5E9113D1"/>
    <w:rsid w:val="5EAC1B52"/>
    <w:rsid w:val="5EAE7678"/>
    <w:rsid w:val="5EBA426F"/>
    <w:rsid w:val="5EC24ED2"/>
    <w:rsid w:val="5ED03A93"/>
    <w:rsid w:val="5EE67042"/>
    <w:rsid w:val="5EF62DCD"/>
    <w:rsid w:val="5F071EFA"/>
    <w:rsid w:val="5F225970"/>
    <w:rsid w:val="5F3202A9"/>
    <w:rsid w:val="5F335DCF"/>
    <w:rsid w:val="5F4B3119"/>
    <w:rsid w:val="5F531FCE"/>
    <w:rsid w:val="5F70492E"/>
    <w:rsid w:val="5F8328B3"/>
    <w:rsid w:val="5F8B1768"/>
    <w:rsid w:val="5FA62A39"/>
    <w:rsid w:val="5FB213EA"/>
    <w:rsid w:val="5FF23595"/>
    <w:rsid w:val="5FF446D1"/>
    <w:rsid w:val="600357A2"/>
    <w:rsid w:val="60237BF2"/>
    <w:rsid w:val="60350178"/>
    <w:rsid w:val="60402552"/>
    <w:rsid w:val="6043299E"/>
    <w:rsid w:val="607B17DC"/>
    <w:rsid w:val="60860DEB"/>
    <w:rsid w:val="6094289E"/>
    <w:rsid w:val="60956B25"/>
    <w:rsid w:val="60A46F85"/>
    <w:rsid w:val="60B44CEE"/>
    <w:rsid w:val="60B82A30"/>
    <w:rsid w:val="60C70EC5"/>
    <w:rsid w:val="60C73750"/>
    <w:rsid w:val="60D70155"/>
    <w:rsid w:val="60DF1D6B"/>
    <w:rsid w:val="610C29F3"/>
    <w:rsid w:val="6118527D"/>
    <w:rsid w:val="61447E20"/>
    <w:rsid w:val="6162474A"/>
    <w:rsid w:val="617F70AA"/>
    <w:rsid w:val="61952D71"/>
    <w:rsid w:val="61C176C2"/>
    <w:rsid w:val="61D2367E"/>
    <w:rsid w:val="61D76EE6"/>
    <w:rsid w:val="61DE2022"/>
    <w:rsid w:val="61E47F27"/>
    <w:rsid w:val="61F555BE"/>
    <w:rsid w:val="62143C96"/>
    <w:rsid w:val="621B3277"/>
    <w:rsid w:val="624F1172"/>
    <w:rsid w:val="624F4CCE"/>
    <w:rsid w:val="628232F6"/>
    <w:rsid w:val="62946B85"/>
    <w:rsid w:val="6299063F"/>
    <w:rsid w:val="62992522"/>
    <w:rsid w:val="629D1EDE"/>
    <w:rsid w:val="62BD432E"/>
    <w:rsid w:val="62FF4946"/>
    <w:rsid w:val="631B1054"/>
    <w:rsid w:val="633A772C"/>
    <w:rsid w:val="634E4F86"/>
    <w:rsid w:val="635653E7"/>
    <w:rsid w:val="63755831"/>
    <w:rsid w:val="637569B7"/>
    <w:rsid w:val="637D0FD5"/>
    <w:rsid w:val="637D1D0F"/>
    <w:rsid w:val="63860BC4"/>
    <w:rsid w:val="639D7CBB"/>
    <w:rsid w:val="63A92B04"/>
    <w:rsid w:val="63BA1B63"/>
    <w:rsid w:val="63BE7F5F"/>
    <w:rsid w:val="63D00091"/>
    <w:rsid w:val="63DA0F0F"/>
    <w:rsid w:val="63DC4C88"/>
    <w:rsid w:val="63EE0517"/>
    <w:rsid w:val="63EF49BB"/>
    <w:rsid w:val="63FA21F9"/>
    <w:rsid w:val="6408782B"/>
    <w:rsid w:val="64144421"/>
    <w:rsid w:val="64151043"/>
    <w:rsid w:val="64250E58"/>
    <w:rsid w:val="64354398"/>
    <w:rsid w:val="643E0056"/>
    <w:rsid w:val="643E324C"/>
    <w:rsid w:val="64446389"/>
    <w:rsid w:val="64460353"/>
    <w:rsid w:val="644840CB"/>
    <w:rsid w:val="644A7E43"/>
    <w:rsid w:val="646734C9"/>
    <w:rsid w:val="646C600B"/>
    <w:rsid w:val="646F78AA"/>
    <w:rsid w:val="64805613"/>
    <w:rsid w:val="648A0544"/>
    <w:rsid w:val="64A66831"/>
    <w:rsid w:val="64AD03BA"/>
    <w:rsid w:val="64AE431A"/>
    <w:rsid w:val="64B17F7B"/>
    <w:rsid w:val="64B67287"/>
    <w:rsid w:val="64E04304"/>
    <w:rsid w:val="64E30FD6"/>
    <w:rsid w:val="64E831B8"/>
    <w:rsid w:val="64F52FF4"/>
    <w:rsid w:val="64F658D5"/>
    <w:rsid w:val="64F93617"/>
    <w:rsid w:val="65085608"/>
    <w:rsid w:val="651421FF"/>
    <w:rsid w:val="65221E8E"/>
    <w:rsid w:val="652F2B95"/>
    <w:rsid w:val="6531690D"/>
    <w:rsid w:val="65624D19"/>
    <w:rsid w:val="65655D8C"/>
    <w:rsid w:val="65705687"/>
    <w:rsid w:val="659E2177"/>
    <w:rsid w:val="65D200F0"/>
    <w:rsid w:val="66014531"/>
    <w:rsid w:val="660202AA"/>
    <w:rsid w:val="6603474E"/>
    <w:rsid w:val="662B5A52"/>
    <w:rsid w:val="66377F53"/>
    <w:rsid w:val="664F7993"/>
    <w:rsid w:val="66577B64"/>
    <w:rsid w:val="66666A8A"/>
    <w:rsid w:val="66794A10"/>
    <w:rsid w:val="667B0788"/>
    <w:rsid w:val="667E5B82"/>
    <w:rsid w:val="66903B07"/>
    <w:rsid w:val="66BA2932"/>
    <w:rsid w:val="66CD08B8"/>
    <w:rsid w:val="66DD448F"/>
    <w:rsid w:val="67144738"/>
    <w:rsid w:val="672940C9"/>
    <w:rsid w:val="672C7CD4"/>
    <w:rsid w:val="674B0FB4"/>
    <w:rsid w:val="674E7C4A"/>
    <w:rsid w:val="67694A84"/>
    <w:rsid w:val="676E488D"/>
    <w:rsid w:val="67803B7C"/>
    <w:rsid w:val="679305D0"/>
    <w:rsid w:val="679338AF"/>
    <w:rsid w:val="67A21D44"/>
    <w:rsid w:val="67B0620F"/>
    <w:rsid w:val="67E5002E"/>
    <w:rsid w:val="67E93B0E"/>
    <w:rsid w:val="68077DF9"/>
    <w:rsid w:val="68091DC3"/>
    <w:rsid w:val="68164673"/>
    <w:rsid w:val="684F3C7A"/>
    <w:rsid w:val="68753BC1"/>
    <w:rsid w:val="68844639"/>
    <w:rsid w:val="68A128B9"/>
    <w:rsid w:val="68C36416"/>
    <w:rsid w:val="68CA50AF"/>
    <w:rsid w:val="68E65681"/>
    <w:rsid w:val="68E862E0"/>
    <w:rsid w:val="690507DD"/>
    <w:rsid w:val="6908207B"/>
    <w:rsid w:val="69136635"/>
    <w:rsid w:val="69196036"/>
    <w:rsid w:val="6945353C"/>
    <w:rsid w:val="69482477"/>
    <w:rsid w:val="694A4441"/>
    <w:rsid w:val="69586B5E"/>
    <w:rsid w:val="69674FF3"/>
    <w:rsid w:val="696A4AE4"/>
    <w:rsid w:val="6985191D"/>
    <w:rsid w:val="698F62F8"/>
    <w:rsid w:val="699102C2"/>
    <w:rsid w:val="69A73642"/>
    <w:rsid w:val="69BD047B"/>
    <w:rsid w:val="69C34EFD"/>
    <w:rsid w:val="69C37CAC"/>
    <w:rsid w:val="69CB17E3"/>
    <w:rsid w:val="69CC4E56"/>
    <w:rsid w:val="69CE4CB7"/>
    <w:rsid w:val="69E06B54"/>
    <w:rsid w:val="69EE1271"/>
    <w:rsid w:val="6A06480C"/>
    <w:rsid w:val="6A1F142A"/>
    <w:rsid w:val="6A1F58CE"/>
    <w:rsid w:val="6A2133F4"/>
    <w:rsid w:val="6A576944"/>
    <w:rsid w:val="6A6908F7"/>
    <w:rsid w:val="6A731776"/>
    <w:rsid w:val="6A7554EE"/>
    <w:rsid w:val="6A852C4E"/>
    <w:rsid w:val="6A8B4D12"/>
    <w:rsid w:val="6AA67D9D"/>
    <w:rsid w:val="6AA87672"/>
    <w:rsid w:val="6AA95198"/>
    <w:rsid w:val="6AB8327C"/>
    <w:rsid w:val="6AB853DB"/>
    <w:rsid w:val="6ABA1153"/>
    <w:rsid w:val="6AC264A3"/>
    <w:rsid w:val="6AC83870"/>
    <w:rsid w:val="6AD02338"/>
    <w:rsid w:val="6AD86254"/>
    <w:rsid w:val="6ADC2D7C"/>
    <w:rsid w:val="6AEA1A38"/>
    <w:rsid w:val="6AEA7C8A"/>
    <w:rsid w:val="6AFB1573"/>
    <w:rsid w:val="6AFE3735"/>
    <w:rsid w:val="6B347157"/>
    <w:rsid w:val="6B451364"/>
    <w:rsid w:val="6B513865"/>
    <w:rsid w:val="6B5A7319"/>
    <w:rsid w:val="6B665DAF"/>
    <w:rsid w:val="6B741C4A"/>
    <w:rsid w:val="6B96571C"/>
    <w:rsid w:val="6B9B2D32"/>
    <w:rsid w:val="6BA20565"/>
    <w:rsid w:val="6BA37E39"/>
    <w:rsid w:val="6BA442DD"/>
    <w:rsid w:val="6BC32289"/>
    <w:rsid w:val="6BCC55E2"/>
    <w:rsid w:val="6BD821D8"/>
    <w:rsid w:val="6C2947E2"/>
    <w:rsid w:val="6C3D028D"/>
    <w:rsid w:val="6C423AF6"/>
    <w:rsid w:val="6C4D5FAD"/>
    <w:rsid w:val="6C4E33F1"/>
    <w:rsid w:val="6C553829"/>
    <w:rsid w:val="6C5E0930"/>
    <w:rsid w:val="6C735A5D"/>
    <w:rsid w:val="6C784DF3"/>
    <w:rsid w:val="6C7A3290"/>
    <w:rsid w:val="6C830396"/>
    <w:rsid w:val="6C8620F1"/>
    <w:rsid w:val="6C991968"/>
    <w:rsid w:val="6CD52274"/>
    <w:rsid w:val="6CDA5A16"/>
    <w:rsid w:val="6CE40709"/>
    <w:rsid w:val="6CFA617E"/>
    <w:rsid w:val="6CFC3CA5"/>
    <w:rsid w:val="6D0B038C"/>
    <w:rsid w:val="6D125276"/>
    <w:rsid w:val="6D282CEC"/>
    <w:rsid w:val="6D3E606B"/>
    <w:rsid w:val="6D6B6E9A"/>
    <w:rsid w:val="6D82064E"/>
    <w:rsid w:val="6D906771"/>
    <w:rsid w:val="6D94212F"/>
    <w:rsid w:val="6D997745"/>
    <w:rsid w:val="6D9B526C"/>
    <w:rsid w:val="6DAF51BB"/>
    <w:rsid w:val="6DB02214"/>
    <w:rsid w:val="6DB427D1"/>
    <w:rsid w:val="6DD6491E"/>
    <w:rsid w:val="6DF467DC"/>
    <w:rsid w:val="6E0C6169"/>
    <w:rsid w:val="6E13574A"/>
    <w:rsid w:val="6E1868BC"/>
    <w:rsid w:val="6E2765F9"/>
    <w:rsid w:val="6E2A4841"/>
    <w:rsid w:val="6E454D14"/>
    <w:rsid w:val="6E6C09B6"/>
    <w:rsid w:val="6E781A51"/>
    <w:rsid w:val="6E9D1838"/>
    <w:rsid w:val="6EAC1789"/>
    <w:rsid w:val="6EB011EB"/>
    <w:rsid w:val="6EB02F99"/>
    <w:rsid w:val="6EB04D47"/>
    <w:rsid w:val="6EB80A29"/>
    <w:rsid w:val="6EC539A9"/>
    <w:rsid w:val="6EC92F9F"/>
    <w:rsid w:val="6ED37FBE"/>
    <w:rsid w:val="6ED44ED9"/>
    <w:rsid w:val="6ED9662B"/>
    <w:rsid w:val="6EED1AF7"/>
    <w:rsid w:val="6F0246DD"/>
    <w:rsid w:val="6F0B65D1"/>
    <w:rsid w:val="6F1570A7"/>
    <w:rsid w:val="6F161201"/>
    <w:rsid w:val="6F23376B"/>
    <w:rsid w:val="6F235519"/>
    <w:rsid w:val="6F2474E3"/>
    <w:rsid w:val="6F2A1462"/>
    <w:rsid w:val="6F2E6E76"/>
    <w:rsid w:val="6F375468"/>
    <w:rsid w:val="6F433E0D"/>
    <w:rsid w:val="6F4436E1"/>
    <w:rsid w:val="6F4638FD"/>
    <w:rsid w:val="6F5E47A3"/>
    <w:rsid w:val="6F7F4719"/>
    <w:rsid w:val="6F9C351D"/>
    <w:rsid w:val="6FA348AB"/>
    <w:rsid w:val="6FA353F8"/>
    <w:rsid w:val="6FB10D76"/>
    <w:rsid w:val="6FC6448B"/>
    <w:rsid w:val="6FCA55CF"/>
    <w:rsid w:val="6FD73F39"/>
    <w:rsid w:val="6FD76303"/>
    <w:rsid w:val="6FE54EC4"/>
    <w:rsid w:val="6FEC08D5"/>
    <w:rsid w:val="6FFB6495"/>
    <w:rsid w:val="700215D2"/>
    <w:rsid w:val="70082960"/>
    <w:rsid w:val="700C2451"/>
    <w:rsid w:val="70367E22"/>
    <w:rsid w:val="703B4AE4"/>
    <w:rsid w:val="70640EC8"/>
    <w:rsid w:val="706F019D"/>
    <w:rsid w:val="707324D0"/>
    <w:rsid w:val="707874BE"/>
    <w:rsid w:val="70826EFF"/>
    <w:rsid w:val="70932B72"/>
    <w:rsid w:val="709366CE"/>
    <w:rsid w:val="709802FC"/>
    <w:rsid w:val="70BB15FC"/>
    <w:rsid w:val="70CF1D23"/>
    <w:rsid w:val="70E618C5"/>
    <w:rsid w:val="711D243B"/>
    <w:rsid w:val="712832BA"/>
    <w:rsid w:val="713A2FED"/>
    <w:rsid w:val="715208DE"/>
    <w:rsid w:val="716A690C"/>
    <w:rsid w:val="716B13F9"/>
    <w:rsid w:val="71752277"/>
    <w:rsid w:val="718B031D"/>
    <w:rsid w:val="71A42811"/>
    <w:rsid w:val="71A566B9"/>
    <w:rsid w:val="71AD1A11"/>
    <w:rsid w:val="71DC40A5"/>
    <w:rsid w:val="71E35433"/>
    <w:rsid w:val="71F65166"/>
    <w:rsid w:val="72171902"/>
    <w:rsid w:val="72225F5B"/>
    <w:rsid w:val="727F4C6A"/>
    <w:rsid w:val="7283299D"/>
    <w:rsid w:val="729D3834"/>
    <w:rsid w:val="72A11576"/>
    <w:rsid w:val="72BB1F0C"/>
    <w:rsid w:val="72C25048"/>
    <w:rsid w:val="72FD42D3"/>
    <w:rsid w:val="731955B0"/>
    <w:rsid w:val="73273930"/>
    <w:rsid w:val="732D2602"/>
    <w:rsid w:val="732F348B"/>
    <w:rsid w:val="733A771A"/>
    <w:rsid w:val="736B3932"/>
    <w:rsid w:val="73810029"/>
    <w:rsid w:val="73B13A3B"/>
    <w:rsid w:val="73C53042"/>
    <w:rsid w:val="73EB241B"/>
    <w:rsid w:val="73EB6821"/>
    <w:rsid w:val="745B39A7"/>
    <w:rsid w:val="74890514"/>
    <w:rsid w:val="748F53FE"/>
    <w:rsid w:val="74A2421F"/>
    <w:rsid w:val="74A569D0"/>
    <w:rsid w:val="74AA2238"/>
    <w:rsid w:val="74B61262"/>
    <w:rsid w:val="74BA68D1"/>
    <w:rsid w:val="74C27432"/>
    <w:rsid w:val="74C4779E"/>
    <w:rsid w:val="74E120FE"/>
    <w:rsid w:val="74E4010F"/>
    <w:rsid w:val="75083CED"/>
    <w:rsid w:val="751678CE"/>
    <w:rsid w:val="75297601"/>
    <w:rsid w:val="75355AB1"/>
    <w:rsid w:val="75463AAF"/>
    <w:rsid w:val="75680129"/>
    <w:rsid w:val="756E14B8"/>
    <w:rsid w:val="75790588"/>
    <w:rsid w:val="75875A74"/>
    <w:rsid w:val="759068E8"/>
    <w:rsid w:val="759E3B7A"/>
    <w:rsid w:val="75AF3FAA"/>
    <w:rsid w:val="75B275F6"/>
    <w:rsid w:val="75C612F4"/>
    <w:rsid w:val="75CB06B8"/>
    <w:rsid w:val="75D03F20"/>
    <w:rsid w:val="75D44735"/>
    <w:rsid w:val="75DA08FB"/>
    <w:rsid w:val="75F145C2"/>
    <w:rsid w:val="75FE45EA"/>
    <w:rsid w:val="760065B4"/>
    <w:rsid w:val="761738FD"/>
    <w:rsid w:val="761756AB"/>
    <w:rsid w:val="761D362F"/>
    <w:rsid w:val="76211B9E"/>
    <w:rsid w:val="76261D92"/>
    <w:rsid w:val="763044F2"/>
    <w:rsid w:val="763C7C2F"/>
    <w:rsid w:val="765E1CEB"/>
    <w:rsid w:val="76634D94"/>
    <w:rsid w:val="766905FD"/>
    <w:rsid w:val="766A6123"/>
    <w:rsid w:val="766E5C13"/>
    <w:rsid w:val="767174B1"/>
    <w:rsid w:val="76727D4C"/>
    <w:rsid w:val="769E2580"/>
    <w:rsid w:val="76A827A7"/>
    <w:rsid w:val="76B705D3"/>
    <w:rsid w:val="76B949B4"/>
    <w:rsid w:val="76B94DFA"/>
    <w:rsid w:val="76BF279D"/>
    <w:rsid w:val="76C00F46"/>
    <w:rsid w:val="76C577FD"/>
    <w:rsid w:val="76CA0970"/>
    <w:rsid w:val="76EA2DC0"/>
    <w:rsid w:val="76EF025E"/>
    <w:rsid w:val="76FC66BF"/>
    <w:rsid w:val="76FE3F15"/>
    <w:rsid w:val="771858D9"/>
    <w:rsid w:val="771F6F0D"/>
    <w:rsid w:val="772C162A"/>
    <w:rsid w:val="77393FF3"/>
    <w:rsid w:val="774C75D7"/>
    <w:rsid w:val="776C1A27"/>
    <w:rsid w:val="777F5BFE"/>
    <w:rsid w:val="77A411C1"/>
    <w:rsid w:val="77A727DC"/>
    <w:rsid w:val="77C67389"/>
    <w:rsid w:val="77D13620"/>
    <w:rsid w:val="77DE2925"/>
    <w:rsid w:val="77F4039A"/>
    <w:rsid w:val="77F55EC0"/>
    <w:rsid w:val="78034139"/>
    <w:rsid w:val="780D6D66"/>
    <w:rsid w:val="781520BE"/>
    <w:rsid w:val="78165BF2"/>
    <w:rsid w:val="7836450F"/>
    <w:rsid w:val="78520C1D"/>
    <w:rsid w:val="78774B27"/>
    <w:rsid w:val="78866B18"/>
    <w:rsid w:val="788B412F"/>
    <w:rsid w:val="78992CEF"/>
    <w:rsid w:val="78C903AD"/>
    <w:rsid w:val="78EF6AE2"/>
    <w:rsid w:val="79022643"/>
    <w:rsid w:val="790870C0"/>
    <w:rsid w:val="79112886"/>
    <w:rsid w:val="791365FE"/>
    <w:rsid w:val="794A5D98"/>
    <w:rsid w:val="79667075"/>
    <w:rsid w:val="796B468C"/>
    <w:rsid w:val="798A263A"/>
    <w:rsid w:val="798D4602"/>
    <w:rsid w:val="7993773F"/>
    <w:rsid w:val="799C1B31"/>
    <w:rsid w:val="799C4845"/>
    <w:rsid w:val="79B0209F"/>
    <w:rsid w:val="79C041AB"/>
    <w:rsid w:val="79D26EBA"/>
    <w:rsid w:val="79E104AA"/>
    <w:rsid w:val="79F526B9"/>
    <w:rsid w:val="79FE2EB5"/>
    <w:rsid w:val="7A173C13"/>
    <w:rsid w:val="7A5275FA"/>
    <w:rsid w:val="7A540C7C"/>
    <w:rsid w:val="7A70182E"/>
    <w:rsid w:val="7A862E00"/>
    <w:rsid w:val="7A8A6D94"/>
    <w:rsid w:val="7A910122"/>
    <w:rsid w:val="7A925C48"/>
    <w:rsid w:val="7AE40F1F"/>
    <w:rsid w:val="7AF81F4F"/>
    <w:rsid w:val="7AF95CC7"/>
    <w:rsid w:val="7B0E3521"/>
    <w:rsid w:val="7B2014A6"/>
    <w:rsid w:val="7B31720F"/>
    <w:rsid w:val="7B474C85"/>
    <w:rsid w:val="7B4B75AD"/>
    <w:rsid w:val="7B4F1153"/>
    <w:rsid w:val="7B51340D"/>
    <w:rsid w:val="7B6C0247"/>
    <w:rsid w:val="7BB51BEE"/>
    <w:rsid w:val="7BC82AD2"/>
    <w:rsid w:val="7BCE0F02"/>
    <w:rsid w:val="7BE75B20"/>
    <w:rsid w:val="7BF74D2B"/>
    <w:rsid w:val="7BFF730D"/>
    <w:rsid w:val="7C0607DD"/>
    <w:rsid w:val="7C066589"/>
    <w:rsid w:val="7C0B3F04"/>
    <w:rsid w:val="7C0C5586"/>
    <w:rsid w:val="7C1E6D48"/>
    <w:rsid w:val="7C296138"/>
    <w:rsid w:val="7C480CB4"/>
    <w:rsid w:val="7C605FFE"/>
    <w:rsid w:val="7C683105"/>
    <w:rsid w:val="7C707314"/>
    <w:rsid w:val="7C75431B"/>
    <w:rsid w:val="7C7D1A4A"/>
    <w:rsid w:val="7C813695"/>
    <w:rsid w:val="7C835849"/>
    <w:rsid w:val="7CB41EA6"/>
    <w:rsid w:val="7D146DE8"/>
    <w:rsid w:val="7D1E58D9"/>
    <w:rsid w:val="7D406623"/>
    <w:rsid w:val="7D55199A"/>
    <w:rsid w:val="7D6E474B"/>
    <w:rsid w:val="7D782ED3"/>
    <w:rsid w:val="7D9121E7"/>
    <w:rsid w:val="7D9B4E14"/>
    <w:rsid w:val="7D9B5235"/>
    <w:rsid w:val="7DA57A41"/>
    <w:rsid w:val="7DB36ACA"/>
    <w:rsid w:val="7DB639FC"/>
    <w:rsid w:val="7DE20C95"/>
    <w:rsid w:val="7DE46745"/>
    <w:rsid w:val="7DE642E1"/>
    <w:rsid w:val="7DEB3D6E"/>
    <w:rsid w:val="7E0E55E6"/>
    <w:rsid w:val="7E235C52"/>
    <w:rsid w:val="7E325778"/>
    <w:rsid w:val="7E327526"/>
    <w:rsid w:val="7E331077"/>
    <w:rsid w:val="7E437985"/>
    <w:rsid w:val="7E4436FD"/>
    <w:rsid w:val="7E5C27F5"/>
    <w:rsid w:val="7E7538B7"/>
    <w:rsid w:val="7E795155"/>
    <w:rsid w:val="7E843AFA"/>
    <w:rsid w:val="7E9F76B8"/>
    <w:rsid w:val="7EC5039A"/>
    <w:rsid w:val="7EDB1808"/>
    <w:rsid w:val="7EE55551"/>
    <w:rsid w:val="7F2E23E3"/>
    <w:rsid w:val="7F346D5B"/>
    <w:rsid w:val="7F3A157A"/>
    <w:rsid w:val="7F402EC4"/>
    <w:rsid w:val="7F4B1936"/>
    <w:rsid w:val="7F4E65E2"/>
    <w:rsid w:val="7F6F47AA"/>
    <w:rsid w:val="7F820039"/>
    <w:rsid w:val="7F821C37"/>
    <w:rsid w:val="7F8518D8"/>
    <w:rsid w:val="7F8A3392"/>
    <w:rsid w:val="7F8C2C34"/>
    <w:rsid w:val="7F913775"/>
    <w:rsid w:val="7F923FF5"/>
    <w:rsid w:val="7FA03412"/>
    <w:rsid w:val="7FA4009B"/>
    <w:rsid w:val="7FA44454"/>
    <w:rsid w:val="7FA501CC"/>
    <w:rsid w:val="7FAE0E2E"/>
    <w:rsid w:val="7FB3342B"/>
    <w:rsid w:val="7FDD34C2"/>
    <w:rsid w:val="7FDF47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6">
    <w:name w:val="footnote reference"/>
    <w:basedOn w:val="5"/>
    <w:qFormat/>
    <w:uiPriority w:val="0"/>
    <w:rPr>
      <w:vertAlign w:val="superscript"/>
    </w:rPr>
  </w:style>
  <w:style w:type="character" w:customStyle="1" w:styleId="7">
    <w:name w:val="font11"/>
    <w:basedOn w:val="5"/>
    <w:qFormat/>
    <w:uiPriority w:val="0"/>
    <w:rPr>
      <w:rFonts w:hint="eastAsia" w:ascii="宋体" w:hAnsi="宋体" w:eastAsia="宋体" w:cs="宋体"/>
      <w:b/>
      <w:bCs/>
      <w:color w:val="000000"/>
      <w:sz w:val="22"/>
      <w:szCs w:val="22"/>
      <w:u w:val="none"/>
    </w:rPr>
  </w:style>
  <w:style w:type="character" w:customStyle="1" w:styleId="8">
    <w:name w:val="font21"/>
    <w:basedOn w:val="5"/>
    <w:qFormat/>
    <w:uiPriority w:val="0"/>
    <w:rPr>
      <w:rFonts w:hint="default" w:ascii="Times New Roman" w:hAnsi="Times New Roman" w:cs="Times New Roman"/>
      <w:b/>
      <w:bCs/>
      <w:color w:val="000000"/>
      <w:sz w:val="22"/>
      <w:szCs w:val="22"/>
      <w:u w:val="none"/>
    </w:rPr>
  </w:style>
  <w:style w:type="character" w:customStyle="1" w:styleId="9">
    <w:name w:val="font71"/>
    <w:basedOn w:val="5"/>
    <w:qFormat/>
    <w:uiPriority w:val="0"/>
    <w:rPr>
      <w:rFonts w:ascii="Calibri" w:hAnsi="Calibri" w:cs="Calibri"/>
      <w:color w:val="000000"/>
      <w:sz w:val="22"/>
      <w:szCs w:val="22"/>
      <w:u w:val="none"/>
    </w:rPr>
  </w:style>
  <w:style w:type="character" w:customStyle="1" w:styleId="10">
    <w:name w:val="font51"/>
    <w:basedOn w:val="5"/>
    <w:qFormat/>
    <w:uiPriority w:val="0"/>
    <w:rPr>
      <w:rFonts w:hint="default" w:ascii="Times New Roman" w:hAnsi="Times New Roman" w:cs="Times New Roman"/>
      <w:color w:val="000000"/>
      <w:sz w:val="22"/>
      <w:szCs w:val="22"/>
      <w:u w:val="none"/>
    </w:rPr>
  </w:style>
  <w:style w:type="character" w:customStyle="1" w:styleId="11">
    <w:name w:val="font01"/>
    <w:basedOn w:val="5"/>
    <w:qFormat/>
    <w:uiPriority w:val="0"/>
    <w:rPr>
      <w:rFonts w:hint="eastAsia" w:ascii="宋体" w:hAnsi="宋体" w:eastAsia="宋体" w:cs="宋体"/>
      <w:color w:val="000000"/>
      <w:sz w:val="22"/>
      <w:szCs w:val="22"/>
      <w:u w:val="none"/>
    </w:rPr>
  </w:style>
  <w:style w:type="character" w:customStyle="1" w:styleId="12">
    <w:name w:val="font61"/>
    <w:basedOn w:val="5"/>
    <w:qFormat/>
    <w:uiPriority w:val="0"/>
    <w:rPr>
      <w:rFonts w:hint="eastAsia" w:ascii="宋体" w:hAnsi="宋体" w:eastAsia="宋体" w:cs="宋体"/>
      <w:color w:val="000000"/>
      <w:sz w:val="18"/>
      <w:szCs w:val="18"/>
      <w:u w:val="none"/>
    </w:rPr>
  </w:style>
  <w:style w:type="character" w:customStyle="1" w:styleId="13">
    <w:name w:val="font31"/>
    <w:basedOn w:val="5"/>
    <w:qFormat/>
    <w:uiPriority w:val="0"/>
    <w:rPr>
      <w:rFonts w:hint="default" w:ascii="Times New Roman" w:hAnsi="Times New Roman" w:cs="Times New Roman"/>
      <w:i/>
      <w:iCs/>
      <w:color w:val="000000"/>
      <w:sz w:val="18"/>
      <w:szCs w:val="18"/>
      <w:u w:val="none"/>
    </w:rPr>
  </w:style>
  <w:style w:type="character" w:customStyle="1" w:styleId="14">
    <w:name w:val="font81"/>
    <w:basedOn w:val="5"/>
    <w:qFormat/>
    <w:uiPriority w:val="0"/>
    <w:rPr>
      <w:rFonts w:hint="eastAsia" w:ascii="宋体" w:hAnsi="宋体" w:eastAsia="宋体" w:cs="宋体"/>
      <w:color w:val="000000"/>
      <w:sz w:val="21"/>
      <w:szCs w:val="21"/>
      <w:u w:val="none"/>
    </w:rPr>
  </w:style>
  <w:style w:type="character" w:customStyle="1" w:styleId="15">
    <w:name w:val="font91"/>
    <w:basedOn w:val="5"/>
    <w:qFormat/>
    <w:uiPriority w:val="0"/>
    <w:rPr>
      <w:rFonts w:hint="eastAsia" w:ascii="宋体" w:hAnsi="宋体" w:eastAsia="宋体" w:cs="宋体"/>
      <w:color w:val="000000"/>
      <w:sz w:val="18"/>
      <w:szCs w:val="18"/>
      <w:u w:val="none"/>
    </w:rPr>
  </w:style>
  <w:style w:type="character" w:customStyle="1" w:styleId="16">
    <w:name w:val="font101"/>
    <w:basedOn w:val="5"/>
    <w:qFormat/>
    <w:uiPriority w:val="0"/>
    <w:rPr>
      <w:rFonts w:hint="eastAsia" w:ascii="宋体" w:hAnsi="宋体" w:eastAsia="宋体" w:cs="宋体"/>
      <w:color w:val="000000"/>
      <w:sz w:val="22"/>
      <w:szCs w:val="22"/>
      <w:u w:val="none"/>
    </w:rPr>
  </w:style>
  <w:style w:type="character" w:customStyle="1" w:styleId="17">
    <w:name w:val="font41"/>
    <w:basedOn w:val="5"/>
    <w:qFormat/>
    <w:uiPriority w:val="0"/>
    <w:rPr>
      <w:rFonts w:hint="default" w:ascii="Times New Roman" w:hAnsi="Times New Roman" w:cs="Times New Roman"/>
      <w:i/>
      <w:iC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1b1cdc7e-c954-4787-b32d-cacdb02f30a5</errorID>
      <errorWord>3</errorWord>
      <group>L1_Punc</group>
      <groupName>标点问题</groupName>
      <ability>L2_Punc_CN</ability>
      <abilityName>标点符号检查</abilityName>
      <candidateList>
        <item>3。</item>
      </candidateList>
      <explain/>
      <paraID>35C31C75</paraID>
      <start>40</start>
      <end>41</end>
      <status>unmodified</status>
      <modifiedWord/>
      <trackRevisions>false</trackRevisions>
    </reviewItem>
    <reviewItem>
      <errorID>05415386-d219-42f5-9278-e8810f64183b</errorID>
      <errorWord>1</errorWord>
      <group>L1_Grammar</group>
      <groupName>语法问题</groupName>
      <ability>L2_Grammar</ability>
      <abilityName>语法错误</abilityName>
      <candidateList>
        <item>95%CI: 1</item>
      </candidateList>
      <explain/>
      <paraID>50B13A5B</paraID>
      <start>606</start>
      <end>607</end>
      <status>unmodified</status>
      <modifiedWord/>
      <trackRevisions>false</trackRevisions>
    </reviewItem>
    <reviewItem>
      <errorID>9c32f0af-6465-4c57-95cc-1b157787987b</errorID>
      <errorWord>)</errorWord>
      <group>L1_Punc</group>
      <groupName>标点问题</groupName>
      <ability>L2_Punc_EN</ability>
      <abilityName>标点符号检查</abilityName>
      <candidateList/>
      <explain>此处标点可能未正确匹配，建议检查，规范书写格式</explain>
      <paraID>577879A3</paraID>
      <start>253</start>
      <end>254</end>
      <status>unmodified</status>
      <modifiedWord/>
      <trackRevisions>false</trackRevisions>
    </reviewItem>
    <reviewItem>
      <errorID>6f186ae6-4be6-453e-90a1-8e3831ddb2e1</errorID>
      <errorWord>NORI</errorWord>
      <group>L1_English</group>
      <groupName>英文问题</groupName>
      <ability>L2_Spell</ability>
      <abilityName>拼写问题</abilityName>
      <candidateList>
        <item>NORIs</item>
      </candidateList>
      <explain>疑似单词拼写有误，建议将NORI修改为NORIs</explain>
      <paraID>75734E79</paraID>
      <start>96</start>
      <end>100</end>
      <status>unmodified</status>
      <modifiedWord/>
      <trackRevisions>false</trackRevisions>
    </reviewItem>
    <reviewItem>
      <errorID>9bfd2c1c-5ddc-4dea-b148-2629d7d7c377</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1111</start>
      <end>1116</end>
      <status>unmodified</status>
      <modifiedWord/>
      <trackRevisions>false</trackRevisions>
    </reviewItem>
    <reviewItem>
      <errorID>4c2c0728-46a9-4668-bf4e-543115217e47</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1152</start>
      <end>1157</end>
      <status>unmodified</status>
      <modifiedWord/>
      <trackRevisions>false</trackRevisions>
    </reviewItem>
    <reviewItem>
      <errorID>d5c073db-efc5-4be9-8ff9-35d9429472d5</errorID>
      <errorWord>CVAI</errorWord>
      <group>L1_Punc</group>
      <groupName>标点问题</groupName>
      <ability>L2_Punc_EN</ability>
      <abilityName>标点符号检查</abilityName>
      <candidateList>
        <item>CVAI,</item>
      </candidateList>
      <explain>此处疑似有标点符号缺失，建议将CVAI修改为CVAI,</explain>
      <paraID>75734E79</paraID>
      <start>1288</start>
      <end>1292</end>
      <status>unmodified</status>
      <modifiedWord/>
      <trackRevisions>false</trackRevisions>
    </reviewItem>
    <reviewItem>
      <errorID>cd0ae497-71d8-441f-8402-e721411f233a</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1365</start>
      <end>1370</end>
      <status>unmodified</status>
      <modifiedWord/>
      <trackRevisions>false</trackRevisions>
    </reviewItem>
    <reviewItem>
      <errorID>20684fa8-5eec-404e-bd58-735aef511b70</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1402</start>
      <end>1407</end>
      <status>unmodified</status>
      <modifiedWord/>
      <trackRevisions>false</trackRevisions>
    </reviewItem>
    <reviewItem>
      <errorID>a04c1cc1-263f-481a-956f-c4a4d160162e</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1439</start>
      <end>1444</end>
      <status>unmodified</status>
      <modifiedWord/>
      <trackRevisions>false</trackRevisions>
    </reviewItem>
    <reviewItem>
      <errorID>110fe1b1-1b76-4354-b408-05b9ca22f45b</errorID>
      <errorWord>)</errorWord>
      <group>L1_Punc</group>
      <groupName>标点问题</groupName>
      <ability>L2_Punc_EN</ability>
      <abilityName>标点符号检查</abilityName>
      <candidateList>
        <item>),</item>
      </candidateList>
      <explain>此处疑似有标点符号缺失，建议将)修改为),</explain>
      <paraID>75734E79</paraID>
      <start>1457</start>
      <end>1458</end>
      <status>unmodified</status>
      <modifiedWord/>
      <trackRevisions>false</trackRevisions>
    </reviewItem>
    <reviewItem>
      <errorID>c8d5a706-f4f3-4303-884b-46fdcfc614cf</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1479</start>
      <end>1484</end>
      <status>unmodified</status>
      <modifiedWord/>
      <trackRevisions>false</trackRevisions>
    </reviewItem>
    <reviewItem>
      <errorID>d2899f0e-ec29-45b3-9250-1d4ff70d5cf8</errorID>
      <errorWord>OR=3.262</errorWord>
      <group>L1_English</group>
      <groupName>英文问题</groupName>
      <ability>L2_Space</ability>
      <abilityName>空格不规范问题</abilityName>
      <candidateList>
        <item>OR = 3.262</item>
      </candidateList>
      <explain>疑似单词空格书写不规范，建议将OR=3.262修改为OR = 3.262</explain>
      <paraID>75734E79</paraID>
      <start>1637</start>
      <end>1645</end>
      <status>unmodified</status>
      <modifiedWord/>
      <trackRevisions>false</trackRevisions>
    </reviewItem>
    <reviewItem>
      <errorID>0e5bd47e-30fa-4d0a-8da3-17eeeca7cb5e</errorID>
      <errorWord>95%CI</errorWord>
      <group>L1_English</group>
      <groupName>英文问题</groupName>
      <ability>L2_Space</ability>
      <abilityName>空格不规范问题</abilityName>
      <candidateList>
        <item>95% CI</item>
      </candidateList>
      <explain>疑似单词空格书写不规范，建议将95%CI修改为95% CI</explain>
      <paraID>75734E79</paraID>
      <start>1647</start>
      <end>1652</end>
      <status>unmodified</status>
      <modifiedWord/>
      <trackRevisions>false</trackRevisions>
    </reviewItem>
    <reviewItem>
      <errorID>9c25bb90-e9e4-4fe1-8859-a029310d715d</errorID>
      <errorWord>P&lt;0.05</errorWord>
      <group>L1_English</group>
      <groupName>英文问题</groupName>
      <ability>L2_Space</ability>
      <abilityName>空格不规范问题</abilityName>
      <candidateList>
        <item>P &lt; 0.05</item>
      </candidateList>
      <explain>疑似单词空格书写不规范，建议将P&lt;0.05修改为P &lt; 0.05</explain>
      <paraID>75734E79</paraID>
      <start>1815</start>
      <end>1821</end>
      <status>unmodified</status>
      <modifiedWord/>
      <trackRevisions>false</trackRevisions>
    </reviewItem>
    <reviewItem>
      <errorID>f59c71cb-8c40-4e25-b90e-25e622454010</errorID>
      <errorWord>cardiac </errorWord>
      <group>L1_English</group>
      <groupName>英文问题</groupName>
      <ability>L2_Other_Grammar</ability>
      <abilityName>其他语法问题</abilityName>
      <candidateList>
        <item/>
      </candidateList>
      <explain>形容词cardiac 疑似冗余，建议删除</explain>
      <paraID>75734E79</paraID>
      <start>1875</start>
      <end>1883</end>
      <status>unmodified</status>
      <modifiedWord/>
      <trackRevisions>false</trackRevisions>
    </reviewItem>
    <reviewItem>
      <errorID>c2a67e76-b0b8-449e-a017-14b6035d5718</errorID>
      <errorWord>P&lt;0.05</errorWord>
      <group>L1_English</group>
      <groupName>英文问题</groupName>
      <ability>L2_Space</ability>
      <abilityName>空格不规范问题</abilityName>
      <candidateList>
        <item>P &lt; 0.05</item>
      </candidateList>
      <explain>疑似单词空格书写不规范，建议将P&lt;0.05修改为P &lt; 0.05</explain>
      <paraID>75734E79</paraID>
      <start>1899</start>
      <end>1905</end>
      <status>unmodified</status>
      <modifiedWord/>
      <trackRevisions>false</trackRevisions>
    </reviewItem>
    <reviewItem>
      <errorID>576da54e-e525-415f-982d-cf072c76f8cc</errorID>
      <errorWord>WHtR</errorWord>
      <group>L1_English</group>
      <groupName>英文问题</groupName>
      <ability>L2_Spell</ability>
      <abilityName>拼写问题</abilityName>
      <candidateList>
        <item>WHR</item>
      </candidateList>
      <explain>疑似单词拼写有误，建议将WHtR修改为WHR</explain>
      <paraID> 42B6300</paraID>
      <start>0</start>
      <end>4</end>
      <status>unmodified</status>
      <modifiedWord/>
      <trackRevisions>false</trackRevisions>
    </reviewItem>
    <reviewItem>
      <errorID>0725b968-684f-4235-b636-ff925072551d</errorID>
      <errorWord>cm</errorWord>
      <group>L1_Punc</group>
      <groupName>标点问题</groupName>
      <ability>L2_Punc_CN</ability>
      <abilityName>标点符号检查</abilityName>
      <candidateList>
        <item>(cm)</item>
      </candidateList>
      <explain/>
      <paraID> 42B6300</paraID>
      <start>18</start>
      <end>20</end>
      <status>unmodified</status>
      <modifiedWord/>
      <trackRevisions>false</trackRevisions>
    </reviewItem>
    <reviewItem>
      <errorID>06d9a0c7-31e3-4c9c-bdeb-b1047707f0ab</errorID>
      <errorWord>: </errorWord>
      <group>L1_Punc</group>
      <groupName>标点问题</groupName>
      <ability>L2_Punc_CN</ability>
      <abilityName>标点符号检查</abilityName>
      <candidateList>
        <item>：</item>
      </candidateList>
      <explain/>
      <paraID> 33D1C41</paraID>
      <start>2</start>
      <end>4</end>
      <status>unmodified</status>
      <modifiedWord/>
      <trackRevisions>false</trackRevisions>
    </reviewItem>
    <reviewItem>
      <errorID>d78e7c6e-3c4f-44ec-b3cc-fbe37985c501</errorID>
      <errorWord>: </errorWord>
      <group>L1_Punc</group>
      <groupName>标点问题</groupName>
      <ability>L2_Punc_CN</ability>
      <abilityName>标点符号检查</abilityName>
      <candidateList>
        <item>：</item>
      </candidateList>
      <explain/>
      <paraID>3519B72E</paraID>
      <start>2</start>
      <end>4</end>
      <status>unmodified</status>
      <modifiedWord/>
      <trackRevisions>false</trackRevisions>
    </reviewItem>
    <reviewItem>
      <errorID>de25ce8d-c3e5-469d-bf78-7621a9d196b6</errorID>
      <errorWord>: </errorWord>
      <group>L1_Punc</group>
      <groupName>标点问题</groupName>
      <ability>L2_Punc_CN</ability>
      <abilityName>标点符号检查</abilityName>
      <candidateList>
        <item>：</item>
      </candidateList>
      <explain/>
      <paraID>115330D4</paraID>
      <start>2</start>
      <end>4</end>
      <status>unmodified</status>
      <modifiedWord/>
      <trackRevisions>false</trackRevisions>
    </reviewItem>
    <reviewItem>
      <errorID>f3ac3726-94e8-45b8-a063-2b454acafff0</errorID>
      <errorWord>cm</errorWord>
      <group>L1_Punc</group>
      <groupName>标点问题</groupName>
      <ability>L2_Punc_CN</ability>
      <abilityName>标点符号检查</abilityName>
      <candidateList>
        <item>(cm)</item>
      </candidateList>
      <explain/>
      <paraID>115330D4</paraID>
      <start>14</start>
      <end>16</end>
      <status>unmodified</status>
      <modifiedWord/>
      <trackRevisions>false</trackRevisions>
    </reviewItem>
    <reviewItem>
      <errorID>2aad455a-78ec-4ae3-af4e-f5a41c8de7d9</errorID>
      <errorWord>mmol/L</errorWord>
      <group>L1_Punc</group>
      <groupName>标点问题</groupName>
      <ability>L2_Punc_CN</ability>
      <abilityName>标点符号检查</abilityName>
      <candidateList>
        <item>(mmol/L)</item>
      </candidateList>
      <explain/>
      <paraID>115330D4</paraID>
      <start>289</start>
      <end>295</end>
      <status>unmodified</status>
      <modifiedWord/>
      <trackRevisions>false</trackRevisions>
    </reviewItem>
    <reviewItem>
      <errorID>febc15c4-6d49-4f64-9ce5-f4c77a8a3732</errorID>
      <errorWord>mmol/L</errorWord>
      <group>L1_Punc</group>
      <groupName>标点问题</groupName>
      <ability>L2_Punc_CN</ability>
      <abilityName>标点符号检查</abilityName>
      <candidateList>
        <item>(mmol/L)</item>
      </candidateList>
      <explain/>
      <paraID>115330D4</paraID>
      <start>318</start>
      <end>324</end>
      <status>unmodified</status>
      <modifiedWord/>
      <trackRevisions>false</trackRevisions>
    </reviewItem>
    <reviewItem>
      <errorID>b68945ef-9bf8-496f-89cb-c13fb5053583</errorID>
      <errorWord>: </errorWord>
      <group>L1_Punc</group>
      <groupName>标点问题</groupName>
      <ability>L2_Punc_CN</ability>
      <abilityName>标点符号检查</abilityName>
      <candidateList>
        <item>：</item>
      </candidateList>
      <explain/>
      <paraID>219C4ED8</paraID>
      <start>2</start>
      <end>4</end>
      <status>unmodified</status>
      <modifiedWord/>
      <trackRevisions>false</trackRevisions>
    </reviewItem>
    <reviewItem>
      <errorID>e405d641-2d07-41ef-bb8a-8c36ea169af3</errorID>
      <errorWord>cm</errorWord>
      <group>L1_Punc</group>
      <groupName>标点问题</groupName>
      <ability>L2_Punc_CN</ability>
      <abilityName>标点符号检查</abilityName>
      <candidateList>
        <item>(cm)</item>
      </candidateList>
      <explain/>
      <paraID>219C4ED8</paraID>
      <start>14</start>
      <end>16</end>
      <status>unmodified</status>
      <modifiedWord/>
      <trackRevisions>false</trackRevisions>
    </reviewItem>
    <reviewItem>
      <errorID>9799a635-6d9f-4fad-b5f9-8a757a372fb1</errorID>
      <errorWord>mmol/L</errorWord>
      <group>L1_Punc</group>
      <groupName>标点问题</groupName>
      <ability>L2_Punc_CN</ability>
      <abilityName>标点符号检查</abilityName>
      <candidateList>
        <item>(mmol/L)</item>
      </candidateList>
      <explain/>
      <paraID>219C4ED8</paraID>
      <start>53</start>
      <end>59</end>
      <status>unmodified</status>
      <modifiedWord/>
      <trackRevisions>false</trackRevisions>
    </reviewItem>
    <reviewItem>
      <errorID>84e95438-0050-41ec-b1fc-ef5d516e0b58</errorID>
      <errorWord>mmol/L</errorWord>
      <group>L1_Punc</group>
      <groupName>标点问题</groupName>
      <ability>L2_Punc_CN</ability>
      <abilityName>标点符号检查</abilityName>
      <candidateList>
        <item>(mmol/L)</item>
      </candidateList>
      <explain/>
      <paraID>219C4ED8</paraID>
      <start>82</start>
      <end>88</end>
      <status>unmodified</status>
      <modifiedWord/>
      <trackRevisions>false</trackRevisions>
    </reviewItem>
    <reviewItem>
      <errorID>1a2d98f6-f6f3-4ba4-944a-495b01f317ff</errorID>
      <errorWord>: </errorWord>
      <group>L1_Punc</group>
      <groupName>标点问题</groupName>
      <ability>L2_Punc_CN</ability>
      <abilityName>标点符号检查</abilityName>
      <candidateList>
        <item>：</item>
      </candidateList>
      <explain/>
      <paraID> 444D06E</paraID>
      <start>2</start>
      <end>4</end>
      <status>unmodified</status>
      <modifiedWord/>
      <trackRevisions>false</trackRevisions>
    </reviewItem>
    <reviewItem>
      <errorID>3f1df384-454c-425e-8883-bfa48c674971</errorID>
      <errorWord>year</errorWord>
      <group>L1_Punc</group>
      <groupName>标点问题</groupName>
      <ability>L2_Punc_CN</ability>
      <abilityName>标点符号检查</abilityName>
      <candidateList>
        <item>(year)</item>
      </candidateList>
      <explain/>
      <paraID> 444D06E</paraID>
      <start>32</start>
      <end>36</end>
      <status>unmodified</status>
      <modifiedWord/>
      <trackRevisions>false</trackRevisions>
    </reviewItem>
    <reviewItem>
      <errorID>8b4af838-9519-4d7a-9999-18e834dcdc5e</errorID>
      <errorWord>cm</errorWord>
      <group>L1_Punc</group>
      <groupName>标点问题</groupName>
      <ability>L2_Punc_CN</ability>
      <abilityName>标点符号检查</abilityName>
      <candidateList>
        <item>(cm)</item>
      </candidateList>
      <explain/>
      <paraID> 444D06E</paraID>
      <start>68</start>
      <end>70</end>
      <status>unmodified</status>
      <modifiedWord/>
      <trackRevisions>false</trackRevisions>
    </reviewItem>
    <reviewItem>
      <errorID>6e5c0780-94cd-4b48-a76a-28475a58b499</errorID>
      <errorWord>mmol/L</errorWord>
      <group>L1_Punc</group>
      <groupName>标点问题</groupName>
      <ability>L2_Punc_CN</ability>
      <abilityName>标点符号检查</abilityName>
      <candidateList>
        <item>(mmol/L)</item>
      </candidateList>
      <explain/>
      <paraID> 444D06E</paraID>
      <start>107</start>
      <end>113</end>
      <status>unmodified</status>
      <modifiedWord/>
      <trackRevisions>false</trackRevisions>
    </reviewItem>
    <reviewItem>
      <errorID>d0ea5bbb-595e-4ba1-9398-1add0075a31e</errorID>
      <errorWord>: </errorWord>
      <group>L1_Punc</group>
      <groupName>标点问题</groupName>
      <ability>L2_Punc_CN</ability>
      <abilityName>标点符号检查</abilityName>
      <candidateList>
        <item>：</item>
      </candidateList>
      <explain/>
      <paraID>759ED0E2</paraID>
      <start>2</start>
      <end>4</end>
      <status>unmodified</status>
      <modifiedWord/>
      <trackRevisions>false</trackRevisions>
    </reviewItem>
    <reviewItem>
      <errorID>28f2ad9c-98e7-4403-8f32-6a72db0b8e73</errorID>
      <errorWord>year</errorWord>
      <group>L1_Punc</group>
      <groupName>标点问题</groupName>
      <ability>L2_Punc_CN</ability>
      <abilityName>标点符号检查</abilityName>
      <candidateList>
        <item>(year)</item>
      </candidateList>
      <explain/>
      <paraID>759ED0E2</paraID>
      <start>32</start>
      <end>36</end>
      <status>unmodified</status>
      <modifiedWord/>
      <trackRevisions>false</trackRevisions>
    </reviewItem>
    <reviewItem>
      <errorID>9afe6640-30b4-4659-bf11-a0c505302cee</errorID>
      <errorWord>cm</errorWord>
      <group>L1_Punc</group>
      <groupName>标点问题</groupName>
      <ability>L2_Punc_CN</ability>
      <abilityName>标点符号检查</abilityName>
      <candidateList>
        <item>(cm)</item>
      </candidateList>
      <explain/>
      <paraID>759ED0E2</paraID>
      <start>68</start>
      <end>70</end>
      <status>unmodified</status>
      <modifiedWord/>
      <trackRevisions>false</trackRevisions>
    </reviewItem>
    <reviewItem>
      <errorID>60f0d1ec-c7de-4ee8-803c-89699e10ab44</errorID>
      <errorWord>mmol/L</errorWord>
      <group>L1_Punc</group>
      <groupName>标点问题</groupName>
      <ability>L2_Punc_CN</ability>
      <abilityName>标点符号检查</abilityName>
      <candidateList>
        <item>(mmol/L)</item>
      </candidateList>
      <explain/>
      <paraID>759ED0E2</paraID>
      <start>107</start>
      <end>113</end>
      <status>unmodified</status>
      <modifiedWord/>
      <trackRevisions>false</trackRevisions>
    </reviewItem>
    <reviewItem>
      <errorID>4ce5c904-b3fd-4898-86cd-2226ac5745b5</errorID>
      <errorWord>mmol/L</errorWord>
      <group>L1_Punc</group>
      <groupName>标点问题</groupName>
      <ability>L2_Punc_CN</ability>
      <abilityName>标点符号检查</abilityName>
      <candidateList>
        <item>(mmol/L)</item>
      </candidateList>
      <explain/>
      <paraID> 54A8BA6</paraID>
      <start>17</start>
      <end>23</end>
      <status>unmodified</status>
      <modifiedWord/>
      <trackRevisions>false</trackRevisions>
    </reviewItem>
    <reviewItem>
      <errorID>08ceb4a8-f8dc-4de4-b378-454136a56f53</errorID>
      <errorWord>BH</errorWord>
      <group>L1_Word</group>
      <groupName>字词问题</groupName>
      <ability>L2_Typo</ability>
      <abilityName>字词错误</abilityName>
      <candidateList>
        <item> BH</item>
      </candidateList>
      <explain/>
      <paraID>251440C9</paraID>
      <start>13</start>
      <end>15</end>
      <status>unmodified</status>
      <modifiedWord/>
      <trackRevisions>false</trackRevisions>
    </reviewItem>
    <reviewItem>
      <errorID>31a6f1aa-1304-4f50-9052-ec1a4196ee77</errorID>
      <errorWord>cm</errorWord>
      <group>L1_Punc</group>
      <groupName>标点问题</groupName>
      <ability>L2_Punc_CN</ability>
      <abilityName>标点符号检查</abilityName>
      <candidateList>
        <item>(cm)</item>
      </candidateList>
      <explain/>
      <paraID>251440C9</paraID>
      <start>16</start>
      <end>18</end>
      <status>unmodified</status>
      <modifiedWord/>
      <trackRevisions>false</trackRevisions>
    </reviewItem>
    <reviewItem>
      <errorID>21ae55a1-82e7-4800-bb48-34b0328cf497</errorID>
      <errorWord>mmol/L</errorWord>
      <group>L1_Punc</group>
      <groupName>标点问题</groupName>
      <ability>L2_Punc_CN</ability>
      <abilityName>标点符号检查</abilityName>
      <candidateList>
        <item>(mmol/L) </item>
      </candidateList>
      <explain/>
      <paraID>251440C9</paraID>
      <start>24</start>
      <end>30</end>
      <status>unmodified</status>
      <modifiedWord/>
      <trackRevisions>false</trackRevisions>
    </reviewItem>
    <reviewItem>
      <errorID>62a5122a-08dd-46da-a1ad-55468a4c3c2d</errorID>
      <errorWord>HDL</errorWord>
      <group>L1_Word</group>
      <groupName>字词问题</groupName>
      <ability>L2_Typo</ability>
      <abilityName>字词错误</abilityName>
      <candidateList>
        <item> HDL</item>
      </candidateList>
      <explain/>
      <paraID>251440C9</paraID>
      <start>31</start>
      <end>34</end>
      <status>unmodified</status>
      <modifiedWord/>
      <trackRevisions>false</trackRevisions>
    </reviewItem>
    <reviewItem>
      <errorID>36187ae6-c622-4f1f-adf2-45337a2b4978</errorID>
      <errorWord>mmol/L</errorWord>
      <group>L1_Punc</group>
      <groupName>标点问题</groupName>
      <ability>L2_Punc_CN</ability>
      <abilityName>标点符号检查</abilityName>
      <candidateList>
        <item>(mmol/L)</item>
      </candidateList>
      <explain/>
      <paraID>251440C9</paraID>
      <start>35</start>
      <end>41</end>
      <status>unmodified</status>
      <modifiedWord/>
      <trackRevisions>false</trackRevisions>
    </reviewItem>
    <reviewItem>
      <errorID>ffa64947-effb-40f5-aa86-16f5edef38f4</errorID>
      <errorWord>n=9243</errorWord>
      <group>L1_English</group>
      <groupName>英文问题</groupName>
      <ability>L2_Space</ability>
      <abilityName>空格不规范问题</abilityName>
      <candidateList>
        <item>n = 9243</item>
      </candidateList>
      <explain>疑似单词空格书写不规范，建议将n=9243修改为n = 9243</explain>
      <paraID>5E5A5731</paraID>
      <start>9</start>
      <end>15</end>
      <status>unmodified</status>
      <modifiedWord/>
      <trackRevisions>false</trackRevisions>
    </reviewItem>
    <reviewItem>
      <errorID>9a8a83ae-cba3-4a09-90c3-42f59061bfe9</errorID>
      <errorWord>n=5637</errorWord>
      <group>L1_English</group>
      <groupName>英文问题</groupName>
      <ability>L2_Space</ability>
      <abilityName>空格不规范问题</abilityName>
      <candidateList>
        <item>n = 5637</item>
      </candidateList>
      <explain>疑似单词空格书写不规范，建议将n=5637修改为n = 5637</explain>
      <paraID>7F69F8D6</paraID>
      <start>54</start>
      <end>60</end>
      <status>unmodified</status>
      <modifiedWord/>
      <trackRevisions>false</trackRevisions>
    </reviewItem>
    <reviewItem>
      <errorID>544c0cb7-39fa-4c8b-885d-68d01ffa2437</errorID>
      <errorWord>n=3382</errorWord>
      <group>L1_English</group>
      <groupName>英文问题</groupName>
      <ability>L2_Space</ability>
      <abilityName>空格不规范问题</abilityName>
      <candidateList>
        <item>n = 3382</item>
      </candidateList>
      <explain>疑似单词空格书写不规范，建议将n=3382修改为n = 3382</explain>
      <paraID> 28C7920</paraID>
      <start>23</start>
      <end>29</end>
      <status>unmodified</status>
      <modifiedWord/>
      <trackRevisions>false</trackRevisions>
    </reviewItem>
    <reviewItem>
      <errorID>f1d19920-9c6d-45b1-ae06-60be8574eb2c</errorID>
      <errorWord>n=180</errorWord>
      <group>L1_English</group>
      <groupName>英文问题</groupName>
      <ability>L2_Space</ability>
      <abilityName>空格不规范问题</abilityName>
      <candidateList>
        <item>n = 180</item>
      </candidateList>
      <explain>疑似单词空格书写不规范，建议将n=180修改为n = 180</explain>
      <paraID>2BA4497C</paraID>
      <start>22</start>
      <end>27</end>
      <status>unmodified</status>
      <modifiedWord/>
      <trackRevisions>false</trackRevisions>
    </reviewItem>
    <reviewItem>
      <errorID>90d39b8c-5ce9-4c74-9d1d-529378c56e2a</errorID>
      <errorWord>,</errorWord>
      <group>L1_English</group>
      <groupName>英文问题</groupName>
      <ability>L2_Other_Grammar</ability>
      <abilityName>其他语法问题</abilityName>
      <candidateList>
        <item> and</item>
      </candidateList>
      <explain>疑似单词/词组使用不当, 建议将,修改为 and</explain>
      <paraID>533D9920</paraID>
      <start>50</start>
      <end>51</end>
      <status>unmodified</status>
      <modifiedWord/>
      <trackRevisions>false</trackRevisions>
    </reviewItem>
    <reviewItem>
      <errorID>c9024c45-b45a-4116-9ded-e36ece284f19</errorID>
      <errorWord>median</errorWord>
      <group>L1_English</group>
      <groupName>英文问题</groupName>
      <ability>L2_Word</ability>
      <abilityName>字词问题</abilityName>
      <candidateList>
        <item>the median</item>
      </candidateList>
      <explain>此处疑似有限定词缺失，建议将单词median修改为the median</explain>
      <paraID>533D9920</paraID>
      <start>76</start>
      <end>82</end>
      <status>unmodified</status>
      <modifiedWord/>
      <trackRevisions>false</trackRevisions>
    </reviewItem>
    <reviewItem>
      <errorID>69756574-62ff-4e20-9f3c-3abc5a80fef7</errorID>
      <errorWord>median</errorWord>
      <group>L1_English</group>
      <groupName>英文问题</groupName>
      <ability>L2_Word</ability>
      <abilityName>字词问题</abilityName>
      <candidateList>
        <item>the median</item>
      </candidateList>
      <explain>此处疑似有限定词缺失，建议将单词median修改为the median</explain>
      <paraID> 6179B25</paraID>
      <start>44</start>
      <end>50</end>
      <status>unmodified</status>
      <modifiedWord/>
      <trackRevisions>false</trackRevisions>
    </reviewItem>
    <reviewItem>
      <errorID>018b806b-64bf-467d-9d89-a3d89093cde6</errorID>
      <errorWord>新型</errorWord>
      <group>L1_Word</group>
      <groupName>字词问题</groupName>
      <ability>L2_Typo</ability>
      <abilityName>字词错误</abilityName>
      <candidateList>
        <item> 新型</item>
      </candidateList>
      <explain/>
      <paraID>1F4913C9</paraID>
      <start>3</start>
      <end>5</end>
      <status>unmodified</status>
      <modifiedWord/>
      <trackRevisions>false</trackRevisions>
    </reviewItem>
    <reviewItem>
      <errorID>9e432dd0-99b3-4d9a-9367-1bef9f6b88e3</errorID>
      <errorWord>~)</errorWord>
      <group>L1_Punc</group>
      <groupName>标点问题</groupName>
      <ability>L2_Punc_CN</ability>
      <abilityName>标点符号检查</abilityName>
      <candidateList>
        <item>)</item>
      </candidateList>
      <explain/>
      <paraID> 5453B5C</paraID>
      <start>9</start>
      <end>11</end>
      <status>unmodified</status>
      <modifiedWord/>
      <trackRevisions>false</trackRevisions>
    </reviewItem>
    <reviewItem>
      <errorID>49f8ed59-bf22-4311-a81b-61d4a7ef055f</errorID>
      <errorWord>~)</errorWord>
      <group>L1_Punc</group>
      <groupName>标点问题</groupName>
      <ability>L2_Punc_CN</ability>
      <abilityName>标点符号检查</abilityName>
      <candidateList>
        <item>)</item>
      </candidateList>
      <explain/>
      <paraID>1A165F1D</paraID>
      <start>9</start>
      <end>11</end>
      <status>unmodified</status>
      <modifiedWord/>
      <trackRevisions>false</trackRevisions>
    </reviewItem>
    <reviewItem>
      <errorID>49bb6693-ff70-461a-95cf-92439efd4ac2</errorID>
      <errorWord>~)</errorWord>
      <group>L1_Punc</group>
      <groupName>标点问题</groupName>
      <ability>L2_Punc_CN</ability>
      <abilityName>标点符号检查</abilityName>
      <candidateList>
        <item>)</item>
      </candidateList>
      <explain/>
      <paraID>53337C4B</paraID>
      <start>8</start>
      <end>10</end>
      <status>unmodified</status>
      <modifiedWord/>
      <trackRevisions>false</trackRevisions>
    </reviewItem>
    <reviewItem>
      <errorID>750a5e81-24a7-4774-a777-597f0a19b780</errorID>
      <errorWord>~)</errorWord>
      <group>L1_Punc</group>
      <groupName>标点问题</groupName>
      <ability>L2_Punc_CN</ability>
      <abilityName>标点符号检查</abilityName>
      <candidateList>
        <item>)</item>
      </candidateList>
      <explain/>
      <paraID>1CCD0834</paraID>
      <start>8</start>
      <end>10</end>
      <status>unmodified</status>
      <modifiedWord/>
      <trackRevisions>false</trackRevisions>
    </reviewItem>
    <reviewItem>
      <errorID>eea56be9-6f87-4546-87b6-bbf1d80dff98</errorID>
      <errorWord>~)</errorWord>
      <group>L1_Punc</group>
      <groupName>标点问题</groupName>
      <ability>L2_Punc_CN</ability>
      <abilityName>标点符号检查</abilityName>
      <candidateList>
        <item>)</item>
      </candidateList>
      <explain/>
      <paraID>697B1675</paraID>
      <start>9</start>
      <end>11</end>
      <status>unmodified</status>
      <modifiedWord/>
      <trackRevisions>false</trackRevisions>
    </reviewItem>
    <reviewItem>
      <errorID>474cbdd8-6688-4db7-ab0d-a4d7e08b92c0</errorID>
      <errorWord>~)</errorWord>
      <group>L1_Punc</group>
      <groupName>标点问题</groupName>
      <ability>L2_Punc_CN</ability>
      <abilityName>标点符号检查</abilityName>
      <candidateList>
        <item>)</item>
      </candidateList>
      <explain/>
      <paraID>4612EB48</paraID>
      <start>9</start>
      <end>11</end>
      <status>unmodified</status>
      <modifiedWord/>
      <trackRevisions>false</trackRevisions>
    </reviewItem>
    <reviewItem>
      <errorID>bed2fd45-e71a-4852-96c0-bb66e9d1fe38</errorID>
      <errorWord>~)</errorWord>
      <group>L1_Punc</group>
      <groupName>标点问题</groupName>
      <ability>L2_Punc_CN</ability>
      <abilityName>标点符号检查</abilityName>
      <candidateList>
        <item>)</item>
      </candidateList>
      <explain/>
      <paraID>7345673F</paraID>
      <start>9</start>
      <end>11</end>
      <status>unmodified</status>
      <modifiedWord/>
      <trackRevisions>false</trackRevisions>
    </reviewItem>
    <reviewItem>
      <errorID>e979fb88-e739-412a-bd36-b2fc6df4a051</errorID>
      <errorWord>~)</errorWord>
      <group>L1_Punc</group>
      <groupName>标点问题</groupName>
      <ability>L2_Punc_CN</ability>
      <abilityName>标点符号检查</abilityName>
      <candidateList>
        <item>)</item>
      </candidateList>
      <explain/>
      <paraID> A76BCDF</paraID>
      <start>10</start>
      <end>12</end>
      <status>unmodified</status>
      <modifiedWord/>
      <trackRevisions>false</trackRevisions>
    </reviewItem>
    <reviewItem>
      <errorID>ab2404f3-1796-455e-b448-eb9ebad21213</errorID>
      <errorWord>~)</errorWord>
      <group>L1_Punc</group>
      <groupName>标点问题</groupName>
      <ability>L2_Punc_CN</ability>
      <abilityName>标点符号检查</abilityName>
      <candidateList>
        <item>)</item>
      </candidateList>
      <explain/>
      <paraID>39322B0C</paraID>
      <start>8</start>
      <end>10</end>
      <status>unmodified</status>
      <modifiedWord/>
      <trackRevisions>false</trackRevisions>
    </reviewItem>
    <reviewItem>
      <errorID>47f3acba-40de-425a-9061-348e4bc96bf5</errorID>
      <errorWord>~)</errorWord>
      <group>L1_Punc</group>
      <groupName>标点问题</groupName>
      <ability>L2_Punc_CN</ability>
      <abilityName>标点符号检查</abilityName>
      <candidateList>
        <item>)</item>
      </candidateList>
      <explain/>
      <paraID>5A80050C</paraID>
      <start>8</start>
      <end>10</end>
      <status>unmodified</status>
      <modifiedWord/>
      <trackRevisions>false</trackRevisions>
    </reviewItem>
    <reviewItem>
      <errorID>9228085e-8342-4bbe-bdf0-231b3ac2c85c</errorID>
      <errorWord>新型</errorWord>
      <group>L1_Word</group>
      <groupName>字词问题</groupName>
      <ability>L2_Typo</ability>
      <abilityName>字词错误</abilityName>
      <candidateList>
        <item> 新型</item>
      </candidateList>
      <explain/>
      <paraID>7D75769D</paraID>
      <start>3</start>
      <end>5</end>
      <status>unmodified</status>
      <modifiedWord/>
      <trackRevisions>false</trackRevisions>
    </reviewItem>
    <reviewItem>
      <errorID>c512c351-91c2-4a0f-9478-3f95faee0802</errorID>
      <errorWord> </errorWord>
      <group>L1_Punc</group>
      <groupName>标点问题</groupName>
      <ability>L2_Punc_CN</ability>
      <abilityName>标点符号检查</abilityName>
      <candidateList>
        <item/>
      </candidateList>
      <explain>此处空格冗余，建议删除。</explain>
      <paraID>32B80CDD</paraID>
      <start>93</start>
      <end>94</end>
      <status>modified</status>
      <modifiedWord> </modifiedWord>
      <trackRevisions>true</trackRevisions>
    </reviewItem>
    <reviewItem>
      <errorID>49f04050-166a-491c-be72-52acfe265bb7</errorID>
      <errorWord> </errorWord>
      <group>L1_Punc</group>
      <groupName>标点问题</groupName>
      <ability>L2_Punc_CN</ability>
      <abilityName>标点符号检查</abilityName>
      <candidateList>
        <item/>
      </candidateList>
      <explain>此处空格冗余，建议删除。</explain>
      <paraID>32B80CDD</paraID>
      <start>102</start>
      <end>103</end>
      <status>modified</status>
      <modifiedWord> </modifiedWord>
      <trackRevisions>true</trackRevisions>
    </reviewItem>
    <reviewItem>
      <errorID>616faadf-9312-4085-80f4-e8e911000a59</errorID>
      <errorWord>~)</errorWord>
      <group>L1_Punc</group>
      <groupName>标点问题</groupName>
      <ability>L2_Punc_CN</ability>
      <abilityName>标点符号检查</abilityName>
      <candidateList>
        <item>)</item>
      </candidateList>
      <explain/>
      <paraID>63D77A1E</paraID>
      <start>9</start>
      <end>11</end>
      <status>unmodified</status>
      <modifiedWord/>
      <trackRevisions>false</trackRevisions>
    </reviewItem>
    <reviewItem>
      <errorID>8ceaf11a-8ee9-4e52-b672-f57093195352</errorID>
      <errorWord>~)</errorWord>
      <group>L1_Punc</group>
      <groupName>标点问题</groupName>
      <ability>L2_Punc_CN</ability>
      <abilityName>标点符号检查</abilityName>
      <candidateList>
        <item>)</item>
      </candidateList>
      <explain/>
      <paraID> 6623601</paraID>
      <start>9</start>
      <end>11</end>
      <status>unmodified</status>
      <modifiedWord/>
      <trackRevisions>false</trackRevisions>
    </reviewItem>
    <reviewItem>
      <errorID>a3f32ab2-2ee7-4862-ab12-3d302e8b6598</errorID>
      <errorWord>~)</errorWord>
      <group>L1_Punc</group>
      <groupName>标点问题</groupName>
      <ability>L2_Punc_CN</ability>
      <abilityName>标点符号检查</abilityName>
      <candidateList>
        <item>)</item>
      </candidateList>
      <explain/>
      <paraID>7AE1297D</paraID>
      <start>8</start>
      <end>10</end>
      <status>unmodified</status>
      <modifiedWord/>
      <trackRevisions>false</trackRevisions>
    </reviewItem>
    <reviewItem>
      <errorID>689144b5-a8db-4171-be90-9e247e7e2e61</errorID>
      <errorWord>~)</errorWord>
      <group>L1_Punc</group>
      <groupName>标点问题</groupName>
      <ability>L2_Punc_CN</ability>
      <abilityName>标点符号检查</abilityName>
      <candidateList>
        <item>)</item>
      </candidateList>
      <explain/>
      <paraID>43756D0B</paraID>
      <start>8</start>
      <end>10</end>
      <status>unmodified</status>
      <modifiedWord/>
      <trackRevisions>false</trackRevisions>
    </reviewItem>
    <reviewItem>
      <errorID>4eaa7a38-3704-4be8-a74b-3c3c90c69246</errorID>
      <errorWord>Multinomial</errorWord>
      <group>L1_English</group>
      <groupName>英文问题</groupName>
      <ability>L2_Word</ability>
      <abilityName>字词问题</abilityName>
      <candidateList>
        <item>A multinomial</item>
      </candidateList>
      <explain>此处疑似有限定词缺失，建议将单词Multinomial修改为A multinomial</explain>
      <paraID>211BFAD4</paraID>
      <start>234</start>
      <end>245</end>
      <status>unmodified</status>
      <modifiedWord/>
      <trackRevisions>false</trackRevisions>
    </reviewItem>
    <reviewItem>
      <errorID>9a31b3c9-04e7-481d-9b69-45c9b5e02733</errorID>
      <errorWord>3 讨</errorWord>
      <group>L1_Grammar</group>
      <groupName>语法问题</groupName>
      <ability>L2_Grammar</ability>
      <abilityName>语法错误</abilityName>
      <candidateList>
        <item>3</item>
      </candidateList>
      <explain/>
      <paraID>50A9DB49</paraID>
      <start>0</start>
      <end>3</end>
      <status>unmodified</status>
      <modifiedWord/>
      <trackRevisions>false</trackRevisions>
    </reviewItem>
    <reviewItem>
      <errorID>d5be4c4a-d960-4f73-94cb-c9a9555b210a</errorID>
      <errorWord>论</errorWord>
      <group>L1_Word</group>
      <groupName>字词问题</groupName>
      <ability>L2_Typo</ability>
      <abilityName>字词错误</abilityName>
      <candidateList>
        <item>讨论</item>
      </candidateList>
      <explain/>
      <paraID>50A9DB49</paraID>
      <start>4</start>
      <end>5</end>
      <status>unmodified</status>
      <modifiedWord/>
      <trackRevisions>false</trackRevisions>
    </reviewItem>
    <reviewItem>
      <errorID>6cbad80b-184c-493b-ade5-e297febbf595</errorID>
      <errorWord>，则</errorWord>
      <group>L1_Word</group>
      <groupName>字词问题</groupName>
      <ability>L2_Typo</ability>
      <abilityName>字词错误</abilityName>
      <candidateList>
        <item>，</item>
      </candidateList>
      <explain/>
      <paraID>1A513902</paraID>
      <start>640</start>
      <end>642</end>
      <status>unmodified</status>
      <modifiedWord/>
      <trackRevisions>false</trackRevisions>
    </reviewItem>
    <reviewItem>
      <errorID>3c5e297e-dec6-4fb4-8a8e-fca5a0cc98af</errorID>
      <errorWord>(</errorWord>
      <group>L1_Format</group>
      <groupName>格式问题</groupName>
      <ability>L2_HalfPunc_CN</ability>
      <abilityName>全半角检查</abilityName>
      <candidateList>
        <item>（</item>
      </candidateList>
      <explain>文本全半角错误。</explain>
      <paraID>353E6662</paraID>
      <start>19</start>
      <end>20</end>
      <status>unmodified</status>
      <modifiedWord/>
      <trackRevisions>false</trackRevisions>
    </reviewItem>
    <reviewItem>
      <errorID>b81e8aad-6260-4586-9a13-3bde0b6d0e62</errorID>
      <errorWord>)</errorWord>
      <group>L1_Format</group>
      <groupName>格式问题</groupName>
      <ability>L2_HalfPunc_CN</ability>
      <abilityName>全半角检查</abilityName>
      <candidateList>
        <item>）</item>
      </candidateList>
      <explain>文本全半角错误。</explain>
      <paraID>353E6662</paraID>
      <start>22</start>
      <end>23</end>
      <status>unmodified</status>
      <modifiedWord/>
      <trackRevisions>false</trackRevisions>
    </reviewItem>
    <reviewItem>
      <errorID>6347dd34-6062-4afb-8630-78123b34fc3c</errorID>
      <errorWord>,</errorWord>
      <group>L1_Format</group>
      <groupName>格式问题</groupName>
      <ability>L2_HalfPunc_CN</ability>
      <abilityName>全半角检查</abilityName>
      <candidateList>
        <item>，</item>
      </candidateList>
      <explain>文本全半角错误。</explain>
      <paraID> 3810EE0</paraID>
      <start>8</start>
      <end>9</end>
      <status>unmodified</status>
      <modifiedWord/>
      <trackRevisions>false</trackRevisions>
    </reviewItem>
    <reviewItem>
      <errorID>54d5443d-6127-4612-a697-a7a578ae05b0</errorID>
      <errorWord>,</errorWord>
      <group>L1_Format</group>
      <groupName>格式问题</groupName>
      <ability>L2_HalfPunc_CN</ability>
      <abilityName>全半角检查</abilityName>
      <candidateList>
        <item>，</item>
      </candidateList>
      <explain>文本全半角错误。</explain>
      <paraID> 3810EE0</paraID>
      <start>12</start>
      <end>13</end>
      <status>unmodified</status>
      <modifiedWord/>
      <trackRevisions>false</trackRevisions>
    </reviewItem>
    <reviewItem>
      <errorID>3e956b7e-6de3-4d27-8ad7-f9f42b028045</errorID>
      <errorWord>,</errorWord>
      <group>L1_Format</group>
      <groupName>格式问题</groupName>
      <ability>L2_HalfPunc_CN</ability>
      <abilityName>全半角检查</abilityName>
      <candidateList>
        <item>，</item>
      </candidateList>
      <explain>文本全半角错误。</explain>
      <paraID> 3810EE0</paraID>
      <start>17</start>
      <end>18</end>
      <status>unmodified</status>
      <modifiedWord/>
      <trackRevisions>false</trackRevisions>
    </reviewItem>
    <reviewItem>
      <errorID>ef1351a7-31c3-4aef-a317-b818c7515db8</errorID>
      <errorWord>.</errorWord>
      <group>L1_Format</group>
      <groupName>格式问题</groupName>
      <ability>L2_HalfPunc_CN</ability>
      <abilityName>全半角检查</abilityName>
      <candidateList>
        <item>。</item>
      </candidateList>
      <explain>文本全半角错误。</explain>
      <paraID> 3810EE0</paraID>
      <start>19</start>
      <end>20</end>
      <status>unmodified</status>
      <modifiedWord/>
      <trackRevisions>false</trackRevisions>
    </reviewItem>
  </reviewItems>
  <config/>
</contractReview>
</file>

<file path=customXml/itemProps1.xml><?xml version="1.0" encoding="utf-8"?>
<ds:datastoreItem xmlns:ds="http://schemas.openxmlformats.org/officeDocument/2006/customXml" ds:itemID="{f98dc0b6-716a-45c3-b0d0-4699ca635850}">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3444</Words>
  <Characters>6988</Characters>
  <Lines>0</Lines>
  <Paragraphs>0</Paragraphs>
  <TotalTime>11</TotalTime>
  <ScaleCrop>false</ScaleCrop>
  <LinksUpToDate>false</LinksUpToDate>
  <CharactersWithSpaces>7610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2025-11-04T13:36:00Z</dcterms:created>
  <dc:creator>46166</dc:creator>
  <cp:lastModifiedBy>   </cp:lastModifiedBy>
  <cp:lastPrinted>2026-06-04T06:55:00Z</cp:lastPrinted>
  <dcterms:modified xsi:type="dcterms:W3CDTF">2026-06-11T02:20:42Z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eyJoZGlkIjoiMDA4NzY5Yzg5MjJhZTE5ZWEzNDA0NDYzZWRhYTY0Y2MiLCJ1c2VySWQiOiIzMjgwNjgzMzIifQ==</vt:lpwstr>
  </property>
  <property fmtid="{D5CDD505-2E9C-101B-9397-08002B2CF9AE}" pid="4" name="ICV">
    <vt:lpwstr>254EA2A679574EEEAF539938F3435DA7_13</vt:lpwstr>
  </property>
</Properties>
</file>