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CB16A" w14:textId="77777777" w:rsidR="00D606CB" w:rsidRDefault="00000000">
      <w:pPr>
        <w:rPr>
          <w:rFonts w:ascii="Times New Roman" w:eastAsia="宋体" w:hAnsi="Times New Roman" w:cs="Arial"/>
          <w:b/>
          <w:bCs/>
          <w:sz w:val="30"/>
          <w:szCs w:val="30"/>
        </w:rPr>
      </w:pPr>
      <w:r>
        <w:rPr>
          <w:rFonts w:ascii="Times New Roman" w:eastAsia="宋体" w:hAnsi="Times New Roman" w:cs="Arial"/>
          <w:b/>
          <w:bCs/>
          <w:sz w:val="30"/>
          <w:szCs w:val="30"/>
        </w:rPr>
        <w:t>抗</w:t>
      </w:r>
      <w:r w:rsidRPr="00932EBB">
        <w:rPr>
          <w:rFonts w:ascii="Times New Roman" w:eastAsia="宋体" w:hAnsi="Times New Roman" w:cs="Arial"/>
          <w:b/>
          <w:bCs/>
          <w:sz w:val="30"/>
          <w:szCs w:val="30"/>
        </w:rPr>
        <w:t>PD</w:t>
      </w:r>
      <w:r>
        <w:rPr>
          <w:rFonts w:ascii="Times New Roman" w:eastAsia="宋体" w:hAnsi="Times New Roman" w:cs="Arial"/>
          <w:b/>
          <w:bCs/>
          <w:sz w:val="30"/>
          <w:szCs w:val="30"/>
        </w:rPr>
        <w:t>-</w:t>
      </w:r>
      <w:r w:rsidRPr="00932EBB">
        <w:rPr>
          <w:rFonts w:ascii="Times New Roman" w:eastAsia="宋体" w:hAnsi="Times New Roman" w:cs="Arial"/>
          <w:b/>
          <w:bCs/>
          <w:sz w:val="30"/>
          <w:szCs w:val="30"/>
        </w:rPr>
        <w:t>1</w:t>
      </w:r>
      <w:r>
        <w:rPr>
          <w:rFonts w:ascii="Times New Roman" w:eastAsia="宋体" w:hAnsi="Times New Roman" w:cs="Arial"/>
          <w:b/>
          <w:bCs/>
          <w:sz w:val="30"/>
          <w:szCs w:val="30"/>
        </w:rPr>
        <w:t>抑制剂联合尼妥珠单抗及诱导化疗治疗局晚期鼻咽癌的短期疗效及安全性分析</w:t>
      </w:r>
    </w:p>
    <w:p w14:paraId="7E2F1A47" w14:textId="77777777" w:rsidR="00D606CB" w:rsidRDefault="00000000">
      <w:pPr>
        <w:jc w:val="center"/>
        <w:rPr>
          <w:rFonts w:ascii="宋体" w:eastAsia="宋体" w:hAnsi="宋体" w:cs="Arial" w:hint="eastAsia"/>
          <w:sz w:val="24"/>
        </w:rPr>
      </w:pPr>
      <w:r>
        <w:rPr>
          <w:rFonts w:ascii="宋体" w:eastAsia="宋体" w:hAnsi="宋体" w:cs="Arial"/>
          <w:sz w:val="24"/>
        </w:rPr>
        <w:t>何依月</w:t>
      </w:r>
      <w:r w:rsidRPr="00932EBB">
        <w:rPr>
          <w:rFonts w:ascii="Times New Roman" w:eastAsia="宋体" w:hAnsi="Times New Roman" w:cs="Arial" w:hint="eastAsia"/>
          <w:sz w:val="24"/>
          <w:vertAlign w:val="superscript"/>
        </w:rPr>
        <w:t>1</w:t>
      </w:r>
      <w:r>
        <w:rPr>
          <w:rFonts w:ascii="宋体" w:eastAsia="宋体" w:hAnsi="宋体" w:cs="Arial" w:hint="eastAsia"/>
          <w:sz w:val="24"/>
          <w:vertAlign w:val="superscript"/>
        </w:rPr>
        <w:t>,</w:t>
      </w:r>
      <w:r w:rsidRPr="00932EBB">
        <w:rPr>
          <w:rFonts w:ascii="Times New Roman" w:eastAsia="宋体" w:hAnsi="Times New Roman" w:cs="Arial" w:hint="eastAsia"/>
          <w:sz w:val="24"/>
          <w:vertAlign w:val="superscript"/>
        </w:rPr>
        <w:t>2</w:t>
      </w:r>
      <w:r>
        <w:rPr>
          <w:rFonts w:ascii="宋体" w:eastAsia="宋体" w:hAnsi="宋体" w:cs="Arial" w:hint="eastAsia"/>
          <w:sz w:val="24"/>
        </w:rPr>
        <w:t xml:space="preserve">  徐婧姝</w:t>
      </w:r>
      <w:r w:rsidRPr="00932EBB">
        <w:rPr>
          <w:rFonts w:ascii="Times New Roman" w:eastAsia="宋体" w:hAnsi="Times New Roman" w:cs="Arial" w:hint="eastAsia"/>
          <w:sz w:val="24"/>
          <w:vertAlign w:val="superscript"/>
        </w:rPr>
        <w:t>1</w:t>
      </w:r>
      <w:r>
        <w:rPr>
          <w:rFonts w:ascii="宋体" w:eastAsia="宋体" w:hAnsi="宋体" w:cs="Arial" w:hint="eastAsia"/>
          <w:sz w:val="24"/>
          <w:vertAlign w:val="superscript"/>
        </w:rPr>
        <w:t>,</w:t>
      </w:r>
      <w:r w:rsidRPr="00932EBB">
        <w:rPr>
          <w:rFonts w:ascii="Times New Roman" w:eastAsia="宋体" w:hAnsi="Times New Roman" w:cs="Arial" w:hint="eastAsia"/>
          <w:sz w:val="24"/>
          <w:vertAlign w:val="superscript"/>
        </w:rPr>
        <w:t>2</w:t>
      </w:r>
      <w:r>
        <w:rPr>
          <w:rFonts w:ascii="宋体" w:eastAsia="宋体" w:hAnsi="宋体" w:cs="Arial" w:hint="eastAsia"/>
          <w:sz w:val="24"/>
        </w:rPr>
        <w:t xml:space="preserve">  </w:t>
      </w:r>
      <w:r>
        <w:rPr>
          <w:rFonts w:ascii="宋体" w:eastAsia="宋体" w:hAnsi="宋体" w:cs="Arial"/>
          <w:sz w:val="24"/>
        </w:rPr>
        <w:t>毛一辰</w:t>
      </w:r>
      <w:r w:rsidRPr="00932EBB">
        <w:rPr>
          <w:rFonts w:ascii="Times New Roman" w:eastAsia="宋体" w:hAnsi="Times New Roman" w:cs="Arial" w:hint="eastAsia"/>
          <w:sz w:val="24"/>
          <w:vertAlign w:val="superscript"/>
        </w:rPr>
        <w:t>2</w:t>
      </w:r>
      <w:r>
        <w:rPr>
          <w:rFonts w:ascii="宋体" w:eastAsia="宋体" w:hAnsi="宋体" w:cs="Arial" w:hint="eastAsia"/>
          <w:sz w:val="24"/>
        </w:rPr>
        <w:t xml:space="preserve">  </w:t>
      </w:r>
      <w:r>
        <w:rPr>
          <w:rFonts w:ascii="宋体" w:eastAsia="宋体" w:hAnsi="宋体" w:cs="Arial"/>
          <w:sz w:val="24"/>
        </w:rPr>
        <w:t>宗丹</w:t>
      </w:r>
      <w:r w:rsidRPr="00932EBB">
        <w:rPr>
          <w:rFonts w:ascii="Times New Roman" w:eastAsia="宋体" w:hAnsi="Times New Roman" w:cs="Arial" w:hint="eastAsia"/>
          <w:sz w:val="24"/>
          <w:vertAlign w:val="superscript"/>
        </w:rPr>
        <w:t>2</w:t>
      </w:r>
      <w:r>
        <w:rPr>
          <w:rFonts w:ascii="宋体" w:eastAsia="宋体" w:hAnsi="宋体" w:cs="Arial" w:hint="eastAsia"/>
          <w:sz w:val="24"/>
        </w:rPr>
        <w:t xml:space="preserve">  </w:t>
      </w:r>
      <w:r>
        <w:rPr>
          <w:rFonts w:ascii="宋体" w:eastAsia="宋体" w:hAnsi="宋体" w:cs="Arial"/>
          <w:sz w:val="24"/>
        </w:rPr>
        <w:t>何侠</w:t>
      </w:r>
      <w:r w:rsidRPr="00932EBB">
        <w:rPr>
          <w:rFonts w:ascii="Times New Roman" w:eastAsia="宋体" w:hAnsi="Times New Roman" w:cs="Arial" w:hint="eastAsia"/>
          <w:sz w:val="24"/>
          <w:vertAlign w:val="superscript"/>
        </w:rPr>
        <w:t>1</w:t>
      </w:r>
      <w:r>
        <w:rPr>
          <w:rFonts w:ascii="宋体" w:eastAsia="宋体" w:hAnsi="宋体" w:cs="Arial" w:hint="eastAsia"/>
          <w:sz w:val="24"/>
          <w:vertAlign w:val="superscript"/>
        </w:rPr>
        <w:t>,</w:t>
      </w:r>
      <w:r w:rsidRPr="00932EBB">
        <w:rPr>
          <w:rFonts w:ascii="Times New Roman" w:eastAsia="宋体" w:hAnsi="Times New Roman" w:cs="Arial" w:hint="eastAsia"/>
          <w:sz w:val="24"/>
          <w:vertAlign w:val="superscript"/>
        </w:rPr>
        <w:t>2</w:t>
      </w:r>
    </w:p>
    <w:p w14:paraId="70100FC6" w14:textId="3AB325C9" w:rsidR="00D606CB" w:rsidRDefault="00000000">
      <w:pPr>
        <w:rPr>
          <w:rFonts w:ascii="宋体" w:eastAsia="宋体" w:hAnsi="宋体" w:cs="Arial" w:hint="eastAsia"/>
          <w:sz w:val="24"/>
        </w:rPr>
      </w:pPr>
      <w:r w:rsidRPr="00932EBB">
        <w:rPr>
          <w:rFonts w:ascii="Times New Roman" w:eastAsia="宋体" w:hAnsi="Times New Roman" w:cs="Arial" w:hint="eastAsia"/>
          <w:sz w:val="24"/>
          <w:vertAlign w:val="superscript"/>
        </w:rPr>
        <w:t>1</w:t>
      </w:r>
      <w:r>
        <w:rPr>
          <w:rFonts w:ascii="宋体" w:eastAsia="宋体" w:hAnsi="宋体" w:cs="Arial"/>
          <w:sz w:val="24"/>
        </w:rPr>
        <w:t>徐州医科大学</w:t>
      </w:r>
      <w:r>
        <w:rPr>
          <w:rFonts w:ascii="宋体" w:eastAsia="宋体" w:hAnsi="宋体" w:cs="Arial" w:hint="eastAsia"/>
          <w:sz w:val="24"/>
        </w:rPr>
        <w:t>（江苏</w:t>
      </w:r>
      <w:r>
        <w:rPr>
          <w:rFonts w:ascii="宋体" w:eastAsia="宋体" w:hAnsi="宋体" w:cs="Arial"/>
          <w:sz w:val="24"/>
        </w:rPr>
        <w:t xml:space="preserve">徐州 </w:t>
      </w:r>
      <w:r w:rsidRPr="00932EBB">
        <w:rPr>
          <w:rFonts w:ascii="Times New Roman" w:eastAsia="宋体" w:hAnsi="Times New Roman" w:cs="Arial"/>
          <w:sz w:val="24"/>
        </w:rPr>
        <w:t>22100</w:t>
      </w:r>
      <w:r w:rsidR="00E204D0">
        <w:rPr>
          <w:rFonts w:ascii="Times New Roman" w:eastAsia="宋体" w:hAnsi="Times New Roman" w:cs="Arial" w:hint="eastAsia"/>
          <w:sz w:val="24"/>
        </w:rPr>
        <w:t>4</w:t>
      </w:r>
      <w:r>
        <w:rPr>
          <w:rFonts w:ascii="宋体" w:eastAsia="宋体" w:hAnsi="宋体" w:cs="Arial" w:hint="eastAsia"/>
          <w:sz w:val="24"/>
        </w:rPr>
        <w:t>）；</w:t>
      </w:r>
      <w:r w:rsidRPr="00932EBB">
        <w:rPr>
          <w:rFonts w:ascii="Times New Roman" w:eastAsia="宋体" w:hAnsi="Times New Roman" w:cs="Arial" w:hint="eastAsia"/>
          <w:sz w:val="24"/>
          <w:vertAlign w:val="superscript"/>
        </w:rPr>
        <w:t>2</w:t>
      </w:r>
      <w:r>
        <w:rPr>
          <w:rFonts w:ascii="宋体" w:eastAsia="宋体" w:hAnsi="宋体" w:cs="Arial"/>
          <w:sz w:val="24"/>
        </w:rPr>
        <w:t>南京医科大学附属肿瘤医院</w:t>
      </w:r>
      <w:r>
        <w:rPr>
          <w:rFonts w:ascii="宋体" w:eastAsia="宋体" w:hAnsi="宋体" w:cs="Arial" w:hint="eastAsia"/>
          <w:sz w:val="24"/>
        </w:rPr>
        <w:t>（</w:t>
      </w:r>
      <w:r>
        <w:rPr>
          <w:rFonts w:ascii="宋体" w:eastAsia="宋体" w:hAnsi="宋体" w:cs="Arial"/>
          <w:sz w:val="24"/>
        </w:rPr>
        <w:t>江苏省肿瘤医院</w:t>
      </w:r>
      <w:r>
        <w:rPr>
          <w:rFonts w:ascii="宋体" w:eastAsia="宋体" w:hAnsi="宋体" w:cs="Arial" w:hint="eastAsia"/>
          <w:sz w:val="24"/>
        </w:rPr>
        <w:t>）</w:t>
      </w:r>
      <w:r>
        <w:rPr>
          <w:rFonts w:ascii="宋体" w:eastAsia="宋体" w:hAnsi="宋体" w:cs="Arial"/>
          <w:sz w:val="24"/>
        </w:rPr>
        <w:t>放疗科</w:t>
      </w:r>
      <w:r>
        <w:rPr>
          <w:rFonts w:ascii="宋体" w:eastAsia="宋体" w:hAnsi="宋体" w:cs="Arial" w:hint="eastAsia"/>
          <w:sz w:val="24"/>
        </w:rPr>
        <w:t>（江苏</w:t>
      </w:r>
      <w:r>
        <w:rPr>
          <w:rFonts w:ascii="宋体" w:eastAsia="宋体" w:hAnsi="宋体" w:cs="Arial"/>
          <w:sz w:val="24"/>
        </w:rPr>
        <w:t xml:space="preserve">南京 </w:t>
      </w:r>
      <w:r w:rsidRPr="00932EBB">
        <w:rPr>
          <w:rFonts w:ascii="Times New Roman" w:eastAsia="宋体" w:hAnsi="Times New Roman" w:cs="Arial"/>
          <w:sz w:val="24"/>
        </w:rPr>
        <w:t>210009</w:t>
      </w:r>
      <w:r>
        <w:rPr>
          <w:rFonts w:ascii="宋体" w:eastAsia="宋体" w:hAnsi="宋体" w:cs="Arial" w:hint="eastAsia"/>
          <w:sz w:val="24"/>
        </w:rPr>
        <w:t>）</w:t>
      </w:r>
    </w:p>
    <w:p w14:paraId="333A140B" w14:textId="77777777" w:rsidR="00D606CB" w:rsidRDefault="00D606CB">
      <w:pPr>
        <w:rPr>
          <w:rFonts w:ascii="宋体" w:eastAsia="宋体" w:hAnsi="宋体" w:cs="Arial" w:hint="eastAsia"/>
          <w:sz w:val="21"/>
          <w:szCs w:val="21"/>
        </w:rPr>
      </w:pPr>
    </w:p>
    <w:p w14:paraId="561FC03D" w14:textId="77777777" w:rsidR="00D606CB" w:rsidRDefault="00000000">
      <w:pPr>
        <w:adjustRightInd w:val="0"/>
        <w:snapToGrid w:val="0"/>
        <w:spacing w:after="0" w:line="360" w:lineRule="auto"/>
        <w:rPr>
          <w:rFonts w:ascii="宋体" w:eastAsia="宋体" w:hAnsi="宋体" w:cs="宋体" w:hint="eastAsia"/>
          <w:sz w:val="21"/>
          <w:szCs w:val="21"/>
        </w:rPr>
      </w:pPr>
      <w:r>
        <w:rPr>
          <w:rFonts w:ascii="宋体" w:eastAsia="宋体" w:hAnsi="宋体" w:cs="宋体" w:hint="eastAsia"/>
          <w:b/>
          <w:bCs/>
          <w:sz w:val="21"/>
          <w:szCs w:val="21"/>
        </w:rPr>
        <w:t>基金项目：</w:t>
      </w:r>
      <w:r>
        <w:rPr>
          <w:rFonts w:ascii="宋体" w:eastAsia="宋体" w:hAnsi="宋体" w:cs="宋体" w:hint="eastAsia"/>
          <w:sz w:val="21"/>
          <w:szCs w:val="21"/>
        </w:rPr>
        <w:t>国家自然科学基金项目（</w:t>
      </w:r>
      <w:r w:rsidRPr="00932EBB">
        <w:rPr>
          <w:rFonts w:ascii="Times New Roman" w:eastAsia="宋体" w:hAnsi="Times New Roman" w:cs="宋体" w:hint="eastAsia"/>
          <w:sz w:val="21"/>
          <w:szCs w:val="21"/>
        </w:rPr>
        <w:t>82172804</w:t>
      </w:r>
      <w:r>
        <w:rPr>
          <w:rFonts w:ascii="宋体" w:eastAsia="宋体" w:hAnsi="宋体" w:cs="宋体" w:hint="eastAsia"/>
          <w:sz w:val="21"/>
          <w:szCs w:val="21"/>
        </w:rPr>
        <w:t>）；江苏省卫健委重点项目（</w:t>
      </w:r>
      <w:r w:rsidRPr="00932EBB">
        <w:rPr>
          <w:rFonts w:ascii="Times New Roman" w:eastAsia="宋体" w:hAnsi="Times New Roman" w:cs="宋体" w:hint="eastAsia"/>
          <w:sz w:val="21"/>
          <w:szCs w:val="21"/>
        </w:rPr>
        <w:t>K2019028</w:t>
      </w:r>
      <w:r>
        <w:rPr>
          <w:rFonts w:ascii="宋体" w:eastAsia="宋体" w:hAnsi="宋体" w:cs="宋体" w:hint="eastAsia"/>
          <w:sz w:val="21"/>
          <w:szCs w:val="21"/>
        </w:rPr>
        <w:t>）；南京市科技计划项目（</w:t>
      </w:r>
      <w:r w:rsidRPr="00932EBB">
        <w:rPr>
          <w:rFonts w:ascii="Times New Roman" w:eastAsia="宋体" w:hAnsi="Times New Roman" w:cs="宋体" w:hint="eastAsia"/>
          <w:sz w:val="21"/>
          <w:szCs w:val="21"/>
        </w:rPr>
        <w:t>2022SX00001663</w:t>
      </w:r>
      <w:r>
        <w:rPr>
          <w:rFonts w:ascii="宋体" w:eastAsia="宋体" w:hAnsi="宋体" w:cs="宋体" w:hint="eastAsia"/>
          <w:sz w:val="21"/>
          <w:szCs w:val="21"/>
        </w:rPr>
        <w:t>）；南京医科大学鼻咽癌专病队列研究（</w:t>
      </w:r>
      <w:r w:rsidRPr="00932EBB">
        <w:rPr>
          <w:rFonts w:ascii="Times New Roman" w:eastAsia="宋体" w:hAnsi="Times New Roman" w:cs="宋体" w:hint="eastAsia"/>
          <w:sz w:val="21"/>
          <w:szCs w:val="21"/>
        </w:rPr>
        <w:t>NMUC2021011A</w:t>
      </w:r>
      <w:r>
        <w:rPr>
          <w:rFonts w:ascii="宋体" w:eastAsia="宋体" w:hAnsi="宋体" w:cs="宋体" w:hint="eastAsia"/>
          <w:sz w:val="21"/>
          <w:szCs w:val="21"/>
        </w:rPr>
        <w:t>）</w:t>
      </w:r>
    </w:p>
    <w:p w14:paraId="1B1EC0A0" w14:textId="61994C21" w:rsidR="00D606CB" w:rsidRDefault="00000000">
      <w:pPr>
        <w:adjustRightInd w:val="0"/>
        <w:snapToGrid w:val="0"/>
        <w:spacing w:after="0" w:line="360" w:lineRule="auto"/>
        <w:rPr>
          <w:rFonts w:hint="eastAsia"/>
        </w:rPr>
      </w:pPr>
      <w:r>
        <w:rPr>
          <w:rFonts w:ascii="宋体" w:eastAsia="宋体" w:hAnsi="宋体" w:cs="宋体" w:hint="eastAsia"/>
          <w:b/>
          <w:bCs/>
          <w:sz w:val="21"/>
          <w:szCs w:val="21"/>
        </w:rPr>
        <w:t>通信作者：</w:t>
      </w:r>
      <w:r>
        <w:rPr>
          <w:rFonts w:ascii="宋体" w:eastAsia="宋体" w:hAnsi="宋体" w:cs="宋体" w:hint="eastAsia"/>
          <w:sz w:val="21"/>
          <w:szCs w:val="21"/>
        </w:rPr>
        <w:t>何侠，</w:t>
      </w:r>
      <w:r w:rsidRPr="00932EBB">
        <w:rPr>
          <w:rFonts w:ascii="Times New Roman" w:eastAsia="宋体" w:hAnsi="Times New Roman" w:cs="宋体" w:hint="eastAsia"/>
          <w:sz w:val="21"/>
          <w:szCs w:val="21"/>
        </w:rPr>
        <w:t>E</w:t>
      </w:r>
      <w:r>
        <w:rPr>
          <w:rFonts w:ascii="宋体" w:eastAsia="宋体" w:hAnsi="宋体" w:cs="宋体" w:hint="eastAsia"/>
          <w:sz w:val="21"/>
          <w:szCs w:val="21"/>
        </w:rPr>
        <w:t>-</w:t>
      </w:r>
      <w:r w:rsidRPr="00932EBB">
        <w:rPr>
          <w:rFonts w:ascii="Times New Roman" w:eastAsia="宋体" w:hAnsi="Times New Roman" w:cs="宋体" w:hint="eastAsia"/>
          <w:sz w:val="21"/>
          <w:szCs w:val="21"/>
        </w:rPr>
        <w:t>mail</w:t>
      </w:r>
      <w:r>
        <w:rPr>
          <w:rFonts w:ascii="宋体" w:eastAsia="宋体" w:hAnsi="宋体" w:cs="宋体" w:hint="eastAsia"/>
          <w:sz w:val="21"/>
          <w:szCs w:val="21"/>
        </w:rPr>
        <w:t>：</w:t>
      </w:r>
      <w:r w:rsidRPr="00932EBB">
        <w:rPr>
          <w:rFonts w:ascii="Times New Roman" w:eastAsia="宋体" w:hAnsi="Times New Roman" w:cs="宋体" w:hint="eastAsia"/>
          <w:sz w:val="21"/>
          <w:szCs w:val="21"/>
        </w:rPr>
        <w:t>hexiabm</w:t>
      </w:r>
      <w:r>
        <w:rPr>
          <w:rFonts w:ascii="宋体" w:eastAsia="宋体" w:hAnsi="宋体" w:cs="宋体" w:hint="eastAsia"/>
          <w:sz w:val="21"/>
          <w:szCs w:val="21"/>
        </w:rPr>
        <w:t>@</w:t>
      </w:r>
      <w:r w:rsidRPr="00932EBB">
        <w:rPr>
          <w:rFonts w:ascii="Times New Roman" w:eastAsia="宋体" w:hAnsi="Times New Roman" w:cs="宋体" w:hint="eastAsia"/>
          <w:sz w:val="21"/>
          <w:szCs w:val="21"/>
        </w:rPr>
        <w:t>163</w:t>
      </w:r>
      <w:r>
        <w:rPr>
          <w:rFonts w:ascii="宋体" w:eastAsia="宋体" w:hAnsi="宋体" w:cs="宋体" w:hint="eastAsia"/>
          <w:sz w:val="21"/>
          <w:szCs w:val="21"/>
        </w:rPr>
        <w:t>.</w:t>
      </w:r>
      <w:r w:rsidRPr="00932EBB">
        <w:rPr>
          <w:rFonts w:ascii="Times New Roman" w:eastAsia="宋体" w:hAnsi="Times New Roman" w:cs="宋体" w:hint="eastAsia"/>
          <w:sz w:val="21"/>
          <w:szCs w:val="21"/>
        </w:rPr>
        <w:t>com</w:t>
      </w:r>
    </w:p>
    <w:p w14:paraId="05D07326" w14:textId="77777777" w:rsidR="00D606CB" w:rsidRDefault="00D606CB">
      <w:pPr>
        <w:adjustRightInd w:val="0"/>
        <w:snapToGrid w:val="0"/>
        <w:spacing w:after="0" w:line="360" w:lineRule="auto"/>
        <w:rPr>
          <w:rFonts w:hint="eastAsia"/>
        </w:rPr>
      </w:pPr>
    </w:p>
    <w:p w14:paraId="28DE350C" w14:textId="34D59645" w:rsidR="00D606CB" w:rsidRDefault="00000000">
      <w:pPr>
        <w:adjustRightInd w:val="0"/>
        <w:snapToGrid w:val="0"/>
        <w:spacing w:after="0" w:line="360" w:lineRule="auto"/>
        <w:rPr>
          <w:rFonts w:ascii="Times New Roman" w:eastAsia="宋体" w:hAnsi="Times New Roman" w:cs="Arial"/>
          <w:color w:val="0D0D0D"/>
          <w:sz w:val="24"/>
          <w:shd w:val="clear" w:color="auto" w:fill="FFFFFF"/>
        </w:rPr>
      </w:pPr>
      <w:r>
        <w:rPr>
          <w:rFonts w:ascii="Times New Roman" w:eastAsia="宋体" w:hAnsi="Times New Roman" w:cs="Arial" w:hint="eastAsia"/>
          <w:b/>
          <w:bCs/>
          <w:sz w:val="24"/>
        </w:rPr>
        <w:t>【</w:t>
      </w:r>
      <w:r>
        <w:rPr>
          <w:rFonts w:ascii="Times New Roman" w:eastAsia="宋体" w:hAnsi="Times New Roman" w:cs="Arial"/>
          <w:b/>
          <w:bCs/>
          <w:sz w:val="24"/>
        </w:rPr>
        <w:t>摘要</w:t>
      </w:r>
      <w:r>
        <w:rPr>
          <w:rFonts w:ascii="Times New Roman" w:eastAsia="宋体" w:hAnsi="Times New Roman" w:cs="Arial" w:hint="eastAsia"/>
          <w:b/>
          <w:bCs/>
          <w:sz w:val="24"/>
        </w:rPr>
        <w:t>】</w:t>
      </w:r>
      <w:r>
        <w:rPr>
          <w:rFonts w:ascii="Times New Roman" w:eastAsia="宋体" w:hAnsi="Times New Roman" w:cs="Arial"/>
          <w:b/>
          <w:bCs/>
          <w:sz w:val="24"/>
        </w:rPr>
        <w:t>目</w:t>
      </w:r>
      <w:r>
        <w:rPr>
          <w:rFonts w:ascii="Times New Roman" w:eastAsia="宋体" w:hAnsi="Times New Roman" w:cs="Arial" w:hint="eastAsia"/>
          <w:b/>
          <w:bCs/>
          <w:sz w:val="24"/>
        </w:rPr>
        <w:t>的</w:t>
      </w:r>
      <w:r>
        <w:rPr>
          <w:rFonts w:ascii="Times New Roman" w:eastAsia="宋体" w:hAnsi="Times New Roman" w:cs="Arial" w:hint="eastAsia"/>
          <w:b/>
          <w:bCs/>
          <w:sz w:val="24"/>
        </w:rPr>
        <w:t xml:space="preserve">  </w:t>
      </w:r>
      <w:r w:rsidR="00514CC2" w:rsidRPr="00514CC2">
        <w:rPr>
          <w:rFonts w:ascii="宋体" w:eastAsia="宋体" w:hAnsi="宋体" w:cs="Arial" w:hint="eastAsia"/>
          <w:sz w:val="24"/>
        </w:rPr>
        <w:t>探讨抗程序性死亡受体1（programmed death-1，PD-1）抑制剂联合尼妥珠单抗及诱导化疗治疗局晚期鼻咽癌的短期疗效及安全性。</w:t>
      </w:r>
      <w:r>
        <w:rPr>
          <w:rFonts w:ascii="Times New Roman" w:eastAsia="宋体" w:hAnsi="Times New Roman" w:cs="Arial" w:hint="eastAsia"/>
          <w:b/>
          <w:bCs/>
          <w:sz w:val="24"/>
        </w:rPr>
        <w:t>方法</w:t>
      </w:r>
      <w:r>
        <w:rPr>
          <w:rFonts w:ascii="Times New Roman" w:eastAsia="宋体" w:hAnsi="Times New Roman" w:cs="Arial" w:hint="eastAsia"/>
          <w:sz w:val="24"/>
        </w:rPr>
        <w:t xml:space="preserve">  </w:t>
      </w:r>
      <w:r w:rsidR="00514CC2" w:rsidRPr="00514CC2">
        <w:rPr>
          <w:rFonts w:ascii="Times New Roman" w:eastAsia="宋体" w:hAnsi="Times New Roman" w:cs="Arial"/>
          <w:sz w:val="24"/>
        </w:rPr>
        <w:t>回顾性分析</w:t>
      </w:r>
      <w:r w:rsidR="00514CC2" w:rsidRPr="00514CC2">
        <w:rPr>
          <w:rFonts w:ascii="Times New Roman" w:eastAsia="宋体" w:hAnsi="Times New Roman" w:cs="Arial"/>
          <w:sz w:val="24"/>
        </w:rPr>
        <w:t>2023</w:t>
      </w:r>
      <w:r w:rsidR="00514CC2" w:rsidRPr="00514CC2">
        <w:rPr>
          <w:rFonts w:ascii="Times New Roman" w:eastAsia="宋体" w:hAnsi="Times New Roman" w:cs="Arial"/>
          <w:sz w:val="24"/>
        </w:rPr>
        <w:t>年</w:t>
      </w:r>
      <w:r w:rsidR="00514CC2" w:rsidRPr="00514CC2">
        <w:rPr>
          <w:rFonts w:ascii="Times New Roman" w:eastAsia="宋体" w:hAnsi="Times New Roman" w:cs="Arial"/>
          <w:sz w:val="24"/>
        </w:rPr>
        <w:t>1</w:t>
      </w:r>
      <w:r w:rsidR="00514CC2" w:rsidRPr="00514CC2">
        <w:rPr>
          <w:rFonts w:ascii="Times New Roman" w:eastAsia="宋体" w:hAnsi="Times New Roman" w:cs="Arial"/>
          <w:sz w:val="24"/>
        </w:rPr>
        <w:t>月至</w:t>
      </w:r>
      <w:r w:rsidR="00514CC2" w:rsidRPr="00514CC2">
        <w:rPr>
          <w:rFonts w:ascii="Times New Roman" w:eastAsia="宋体" w:hAnsi="Times New Roman" w:cs="Arial"/>
          <w:sz w:val="24"/>
        </w:rPr>
        <w:t>2023</w:t>
      </w:r>
      <w:r w:rsidR="00514CC2" w:rsidRPr="00514CC2">
        <w:rPr>
          <w:rFonts w:ascii="Times New Roman" w:eastAsia="宋体" w:hAnsi="Times New Roman" w:cs="Arial"/>
          <w:sz w:val="24"/>
        </w:rPr>
        <w:t>年</w:t>
      </w:r>
      <w:r w:rsidR="00514CC2" w:rsidRPr="00514CC2">
        <w:rPr>
          <w:rFonts w:ascii="Times New Roman" w:eastAsia="宋体" w:hAnsi="Times New Roman" w:cs="Arial"/>
          <w:sz w:val="24"/>
        </w:rPr>
        <w:t>12</w:t>
      </w:r>
      <w:r w:rsidR="00514CC2" w:rsidRPr="00514CC2">
        <w:rPr>
          <w:rFonts w:ascii="Times New Roman" w:eastAsia="宋体" w:hAnsi="Times New Roman" w:cs="Arial"/>
          <w:sz w:val="24"/>
        </w:rPr>
        <w:t>月江苏省肿瘤医院收治的</w:t>
      </w:r>
      <w:r w:rsidR="00514CC2" w:rsidRPr="00514CC2">
        <w:rPr>
          <w:rFonts w:ascii="Times New Roman" w:eastAsia="宋体" w:hAnsi="Times New Roman" w:cs="Arial"/>
          <w:sz w:val="24"/>
        </w:rPr>
        <w:t>104</w:t>
      </w:r>
      <w:r w:rsidR="00514CC2" w:rsidRPr="00514CC2">
        <w:rPr>
          <w:rFonts w:ascii="Times New Roman" w:eastAsia="宋体" w:hAnsi="Times New Roman" w:cs="Arial"/>
          <w:sz w:val="24"/>
        </w:rPr>
        <w:t>例局晚期鼻咽癌患者的临床资料。根据诱导治疗方案分为单纯诱导化疗组（</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74</w:t>
      </w:r>
      <w:r w:rsidR="00514CC2" w:rsidRPr="00514CC2">
        <w:rPr>
          <w:rFonts w:ascii="Times New Roman" w:eastAsia="宋体" w:hAnsi="Times New Roman" w:cs="Arial"/>
          <w:sz w:val="24"/>
        </w:rPr>
        <w:t>例）和诱导化疗联合</w:t>
      </w:r>
      <w:r w:rsidR="00514CC2" w:rsidRPr="00514CC2">
        <w:rPr>
          <w:rFonts w:ascii="Times New Roman" w:eastAsia="宋体" w:hAnsi="Times New Roman" w:cs="Arial"/>
          <w:sz w:val="24"/>
        </w:rPr>
        <w:t>PD-1</w:t>
      </w:r>
      <w:r w:rsidR="00514CC2" w:rsidRPr="00514CC2">
        <w:rPr>
          <w:rFonts w:ascii="Times New Roman" w:eastAsia="宋体" w:hAnsi="Times New Roman" w:cs="Arial"/>
          <w:sz w:val="24"/>
        </w:rPr>
        <w:t>抑制剂及尼妥珠单抗组（</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30</w:t>
      </w:r>
      <w:r w:rsidR="00514CC2" w:rsidRPr="00514CC2">
        <w:rPr>
          <w:rFonts w:ascii="Times New Roman" w:eastAsia="宋体" w:hAnsi="Times New Roman" w:cs="Arial"/>
          <w:sz w:val="24"/>
        </w:rPr>
        <w:t>例）。采用倾向评分匹配（</w:t>
      </w:r>
      <w:r w:rsidR="00514CC2" w:rsidRPr="00514CC2">
        <w:rPr>
          <w:rFonts w:ascii="Times New Roman" w:eastAsia="宋体" w:hAnsi="Times New Roman" w:cs="Arial"/>
          <w:sz w:val="24"/>
        </w:rPr>
        <w:t>propensity score matching</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PSM</w:t>
      </w:r>
      <w:r w:rsidR="00514CC2" w:rsidRPr="00514CC2">
        <w:rPr>
          <w:rFonts w:ascii="Times New Roman" w:eastAsia="宋体" w:hAnsi="Times New Roman" w:cs="Arial"/>
          <w:sz w:val="24"/>
        </w:rPr>
        <w:t>）平衡两组基线特征后，纳入匹配队列</w:t>
      </w:r>
      <w:r w:rsidR="00514CC2" w:rsidRPr="00514CC2">
        <w:rPr>
          <w:rFonts w:ascii="Times New Roman" w:eastAsia="宋体" w:hAnsi="Times New Roman" w:cs="Arial"/>
          <w:sz w:val="24"/>
        </w:rPr>
        <w:t>60</w:t>
      </w:r>
      <w:r w:rsidR="00514CC2" w:rsidRPr="00514CC2">
        <w:rPr>
          <w:rFonts w:ascii="Times New Roman" w:eastAsia="宋体" w:hAnsi="Times New Roman" w:cs="Arial"/>
          <w:sz w:val="24"/>
        </w:rPr>
        <w:t>例，其中</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30</w:t>
      </w:r>
      <w:r w:rsidR="00514CC2" w:rsidRPr="00514CC2">
        <w:rPr>
          <w:rFonts w:ascii="Times New Roman" w:eastAsia="宋体" w:hAnsi="Times New Roman" w:cs="Arial"/>
          <w:sz w:val="24"/>
        </w:rPr>
        <w:t>例，</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30</w:t>
      </w:r>
      <w:r w:rsidR="00514CC2" w:rsidRPr="00514CC2">
        <w:rPr>
          <w:rFonts w:ascii="Times New Roman" w:eastAsia="宋体" w:hAnsi="Times New Roman" w:cs="Arial"/>
          <w:sz w:val="24"/>
        </w:rPr>
        <w:t>例。依据实体瘤疗效评价标准</w:t>
      </w:r>
      <w:r w:rsidR="00514CC2" w:rsidRPr="00514CC2">
        <w:rPr>
          <w:rFonts w:ascii="Times New Roman" w:eastAsia="宋体" w:hAnsi="Times New Roman" w:cs="Arial"/>
          <w:sz w:val="24"/>
        </w:rPr>
        <w:t>1.1</w:t>
      </w:r>
      <w:r w:rsidR="00514CC2" w:rsidRPr="00514CC2">
        <w:rPr>
          <w:rFonts w:ascii="Times New Roman" w:eastAsia="宋体" w:hAnsi="Times New Roman" w:cs="Arial"/>
          <w:sz w:val="24"/>
        </w:rPr>
        <w:t>版（</w:t>
      </w:r>
      <w:r w:rsidR="00514CC2" w:rsidRPr="00514CC2">
        <w:rPr>
          <w:rFonts w:ascii="Times New Roman" w:eastAsia="宋体" w:hAnsi="Times New Roman" w:cs="Arial"/>
          <w:sz w:val="24"/>
        </w:rPr>
        <w:t>Response Evaluation Criteria in Solid Tumors version 1.1</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RECIST 1.1</w:t>
      </w:r>
      <w:r w:rsidR="00514CC2" w:rsidRPr="00514CC2">
        <w:rPr>
          <w:rFonts w:ascii="Times New Roman" w:eastAsia="宋体" w:hAnsi="Times New Roman" w:cs="Arial"/>
          <w:sz w:val="24"/>
        </w:rPr>
        <w:t>）评估近期疗效，比较两组治疗相关不良反应；采用多因素</w:t>
      </w:r>
      <w:r w:rsidR="00514CC2" w:rsidRPr="00514CC2">
        <w:rPr>
          <w:rFonts w:ascii="Times New Roman" w:eastAsia="宋体" w:hAnsi="Times New Roman" w:cs="Arial"/>
          <w:sz w:val="24"/>
        </w:rPr>
        <w:t>Logistic</w:t>
      </w:r>
      <w:r w:rsidR="00514CC2" w:rsidRPr="00514CC2">
        <w:rPr>
          <w:rFonts w:ascii="Times New Roman" w:eastAsia="宋体" w:hAnsi="Times New Roman" w:cs="Arial"/>
          <w:sz w:val="24"/>
        </w:rPr>
        <w:t>回归分析诱导治疗后客观缓解率（</w:t>
      </w:r>
      <w:r w:rsidR="00514CC2" w:rsidRPr="00514CC2">
        <w:rPr>
          <w:rFonts w:ascii="Times New Roman" w:eastAsia="宋体" w:hAnsi="Times New Roman" w:cs="Arial"/>
          <w:sz w:val="24"/>
        </w:rPr>
        <w:t>objective response rate</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ORR</w:t>
      </w:r>
      <w:r w:rsidR="00514CC2" w:rsidRPr="00514CC2">
        <w:rPr>
          <w:rFonts w:ascii="Times New Roman" w:eastAsia="宋体" w:hAnsi="Times New Roman" w:cs="Arial"/>
          <w:sz w:val="24"/>
        </w:rPr>
        <w:t>）的相关因素。</w:t>
      </w:r>
      <w:r>
        <w:rPr>
          <w:rFonts w:ascii="Times New Roman" w:eastAsia="宋体" w:hAnsi="Times New Roman" w:cs="Arial" w:hint="eastAsia"/>
          <w:b/>
          <w:bCs/>
          <w:sz w:val="24"/>
        </w:rPr>
        <w:t>结果</w:t>
      </w:r>
      <w:r>
        <w:rPr>
          <w:rFonts w:ascii="Times New Roman" w:eastAsia="宋体" w:hAnsi="Times New Roman" w:cs="Arial" w:hint="eastAsia"/>
          <w:sz w:val="24"/>
        </w:rPr>
        <w:t xml:space="preserve">  </w:t>
      </w:r>
      <w:r w:rsidR="00514CC2" w:rsidRPr="00514CC2">
        <w:rPr>
          <w:rFonts w:ascii="Times New Roman" w:eastAsia="宋体" w:hAnsi="Times New Roman" w:cs="Arial"/>
          <w:sz w:val="24"/>
        </w:rPr>
        <w:t>倾向评分匹配后共纳入</w:t>
      </w:r>
      <w:r w:rsidR="00514CC2" w:rsidRPr="00514CC2">
        <w:rPr>
          <w:rFonts w:ascii="Times New Roman" w:eastAsia="宋体" w:hAnsi="Times New Roman" w:cs="Arial"/>
          <w:sz w:val="24"/>
        </w:rPr>
        <w:t>60</w:t>
      </w:r>
      <w:r w:rsidR="00514CC2" w:rsidRPr="00514CC2">
        <w:rPr>
          <w:rFonts w:ascii="Times New Roman" w:eastAsia="宋体" w:hAnsi="Times New Roman" w:cs="Arial"/>
          <w:sz w:val="24"/>
        </w:rPr>
        <w:t>例患者，其中</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30</w:t>
      </w:r>
      <w:r w:rsidR="00514CC2" w:rsidRPr="00514CC2">
        <w:rPr>
          <w:rFonts w:ascii="Times New Roman" w:eastAsia="宋体" w:hAnsi="Times New Roman" w:cs="Arial"/>
          <w:sz w:val="24"/>
        </w:rPr>
        <w:t>例，</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30</w:t>
      </w:r>
      <w:r w:rsidR="00514CC2" w:rsidRPr="00514CC2">
        <w:rPr>
          <w:rFonts w:ascii="Times New Roman" w:eastAsia="宋体" w:hAnsi="Times New Roman" w:cs="Arial"/>
          <w:sz w:val="24"/>
        </w:rPr>
        <w:t>例。诱导治疗结束后，</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ORR</w:t>
      </w:r>
      <w:r w:rsidR="00514CC2" w:rsidRPr="00514CC2">
        <w:rPr>
          <w:rFonts w:ascii="Times New Roman" w:eastAsia="宋体" w:hAnsi="Times New Roman" w:cs="Arial"/>
          <w:sz w:val="24"/>
        </w:rPr>
        <w:t>显著高于</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100.0% vs 80.0%</w:t>
      </w:r>
      <w:r w:rsidR="00514CC2" w:rsidRPr="00514CC2">
        <w:rPr>
          <w:rFonts w:ascii="Times New Roman" w:eastAsia="宋体" w:hAnsi="Times New Roman" w:cs="Arial"/>
          <w:sz w:val="24"/>
        </w:rPr>
        <w:t>，分别为</w:t>
      </w:r>
      <w:r w:rsidR="00514CC2" w:rsidRPr="00514CC2">
        <w:rPr>
          <w:rFonts w:ascii="Times New Roman" w:eastAsia="宋体" w:hAnsi="Times New Roman" w:cs="Arial"/>
          <w:sz w:val="24"/>
        </w:rPr>
        <w:t>30/30</w:t>
      </w:r>
      <w:r w:rsidR="00514CC2" w:rsidRPr="00514CC2">
        <w:rPr>
          <w:rFonts w:ascii="Times New Roman" w:eastAsia="宋体" w:hAnsi="Times New Roman" w:cs="Arial"/>
          <w:sz w:val="24"/>
        </w:rPr>
        <w:t>和</w:t>
      </w:r>
      <w:r w:rsidR="00514CC2" w:rsidRPr="00514CC2">
        <w:rPr>
          <w:rFonts w:ascii="Times New Roman" w:eastAsia="宋体" w:hAnsi="Times New Roman" w:cs="Arial"/>
          <w:sz w:val="24"/>
        </w:rPr>
        <w:t>24/30</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P=0.024</w:t>
      </w:r>
      <w:r w:rsidR="00514CC2" w:rsidRPr="00514CC2">
        <w:rPr>
          <w:rFonts w:ascii="Times New Roman" w:eastAsia="宋体" w:hAnsi="Times New Roman" w:cs="Arial"/>
          <w:sz w:val="24"/>
        </w:rPr>
        <w:t>）。其中</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组完全缓解（</w:t>
      </w:r>
      <w:r w:rsidR="00514CC2" w:rsidRPr="00514CC2">
        <w:rPr>
          <w:rFonts w:ascii="Times New Roman" w:eastAsia="宋体" w:hAnsi="Times New Roman" w:cs="Arial"/>
          <w:sz w:val="24"/>
        </w:rPr>
        <w:t>complete response</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CR</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2</w:t>
      </w:r>
      <w:r w:rsidR="00514CC2" w:rsidRPr="00514CC2">
        <w:rPr>
          <w:rFonts w:ascii="Times New Roman" w:eastAsia="宋体" w:hAnsi="Times New Roman" w:cs="Arial"/>
          <w:sz w:val="24"/>
        </w:rPr>
        <w:t>例、部分缓解（</w:t>
      </w:r>
      <w:r w:rsidR="00514CC2" w:rsidRPr="00514CC2">
        <w:rPr>
          <w:rFonts w:ascii="Times New Roman" w:eastAsia="宋体" w:hAnsi="Times New Roman" w:cs="Arial"/>
          <w:sz w:val="24"/>
        </w:rPr>
        <w:t>partial response</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PR</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22</w:t>
      </w:r>
      <w:r w:rsidR="00514CC2" w:rsidRPr="00514CC2">
        <w:rPr>
          <w:rFonts w:ascii="Times New Roman" w:eastAsia="宋体" w:hAnsi="Times New Roman" w:cs="Arial"/>
          <w:sz w:val="24"/>
        </w:rPr>
        <w:t>例、疾病稳定（</w:t>
      </w:r>
      <w:r w:rsidR="00514CC2" w:rsidRPr="00514CC2">
        <w:rPr>
          <w:rFonts w:ascii="Times New Roman" w:eastAsia="宋体" w:hAnsi="Times New Roman" w:cs="Arial"/>
          <w:sz w:val="24"/>
        </w:rPr>
        <w:t>stable disease</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SD</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6</w:t>
      </w:r>
      <w:r w:rsidR="00514CC2" w:rsidRPr="00514CC2">
        <w:rPr>
          <w:rFonts w:ascii="Times New Roman" w:eastAsia="宋体" w:hAnsi="Times New Roman" w:cs="Arial"/>
          <w:sz w:val="24"/>
        </w:rPr>
        <w:t>例，</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组分别为</w:t>
      </w:r>
      <w:r w:rsidR="00514CC2" w:rsidRPr="00514CC2">
        <w:rPr>
          <w:rFonts w:ascii="Times New Roman" w:eastAsia="宋体" w:hAnsi="Times New Roman" w:cs="Arial"/>
          <w:sz w:val="24"/>
        </w:rPr>
        <w:t>5</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25</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0</w:t>
      </w:r>
      <w:r w:rsidR="00514CC2" w:rsidRPr="00514CC2">
        <w:rPr>
          <w:rFonts w:ascii="Times New Roman" w:eastAsia="宋体" w:hAnsi="Times New Roman" w:cs="Arial"/>
          <w:sz w:val="24"/>
        </w:rPr>
        <w:t>例。同步放化疗结束后</w:t>
      </w:r>
      <w:r w:rsidR="00514CC2" w:rsidRPr="00514CC2">
        <w:rPr>
          <w:rFonts w:ascii="Times New Roman" w:eastAsia="宋体" w:hAnsi="Times New Roman" w:cs="Arial"/>
          <w:sz w:val="24"/>
        </w:rPr>
        <w:t>3</w:t>
      </w:r>
      <w:r w:rsidR="00514CC2" w:rsidRPr="00514CC2">
        <w:rPr>
          <w:rFonts w:ascii="Times New Roman" w:eastAsia="宋体" w:hAnsi="Times New Roman" w:cs="Arial"/>
          <w:sz w:val="24"/>
        </w:rPr>
        <w:t>个月，两组</w:t>
      </w:r>
      <w:r w:rsidR="00514CC2" w:rsidRPr="00514CC2">
        <w:rPr>
          <w:rFonts w:ascii="Times New Roman" w:eastAsia="宋体" w:hAnsi="Times New Roman" w:cs="Arial"/>
          <w:sz w:val="24"/>
        </w:rPr>
        <w:t>ORR</w:t>
      </w:r>
      <w:r w:rsidR="00514CC2" w:rsidRPr="00514CC2">
        <w:rPr>
          <w:rFonts w:ascii="Times New Roman" w:eastAsia="宋体" w:hAnsi="Times New Roman" w:cs="Arial"/>
          <w:sz w:val="24"/>
        </w:rPr>
        <w:t>均为</w:t>
      </w:r>
      <w:r w:rsidR="00514CC2" w:rsidRPr="00514CC2">
        <w:rPr>
          <w:rFonts w:ascii="Times New Roman" w:eastAsia="宋体" w:hAnsi="Times New Roman" w:cs="Arial"/>
          <w:sz w:val="24"/>
        </w:rPr>
        <w:t>100.0%</w:t>
      </w:r>
      <w:r w:rsidR="00514CC2" w:rsidRPr="00514CC2">
        <w:rPr>
          <w:rFonts w:ascii="Times New Roman" w:eastAsia="宋体" w:hAnsi="Times New Roman" w:cs="Arial"/>
          <w:sz w:val="24"/>
        </w:rPr>
        <w:t>，但</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CR</w:t>
      </w:r>
      <w:r w:rsidR="00514CC2" w:rsidRPr="00514CC2">
        <w:rPr>
          <w:rFonts w:ascii="Times New Roman" w:eastAsia="宋体" w:hAnsi="Times New Roman" w:cs="Arial"/>
          <w:sz w:val="24"/>
        </w:rPr>
        <w:t>率高于</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93.3% vs 70.0%</w:t>
      </w:r>
      <w:r w:rsidR="00514CC2" w:rsidRPr="00514CC2">
        <w:rPr>
          <w:rFonts w:ascii="Times New Roman" w:eastAsia="宋体" w:hAnsi="Times New Roman" w:cs="Arial"/>
          <w:sz w:val="24"/>
        </w:rPr>
        <w:t>，分别为</w:t>
      </w:r>
      <w:r w:rsidR="00514CC2" w:rsidRPr="00514CC2">
        <w:rPr>
          <w:rFonts w:ascii="Times New Roman" w:eastAsia="宋体" w:hAnsi="Times New Roman" w:cs="Arial"/>
          <w:sz w:val="24"/>
        </w:rPr>
        <w:t>28/30</w:t>
      </w:r>
      <w:r w:rsidR="00514CC2" w:rsidRPr="00514CC2">
        <w:rPr>
          <w:rFonts w:ascii="Times New Roman" w:eastAsia="宋体" w:hAnsi="Times New Roman" w:cs="Arial"/>
          <w:sz w:val="24"/>
        </w:rPr>
        <w:t>和</w:t>
      </w:r>
      <w:r w:rsidR="00514CC2" w:rsidRPr="00514CC2">
        <w:rPr>
          <w:rFonts w:ascii="Times New Roman" w:eastAsia="宋体" w:hAnsi="Times New Roman" w:cs="Arial"/>
          <w:sz w:val="24"/>
        </w:rPr>
        <w:t>21/30</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P=0.042</w:t>
      </w:r>
      <w:r w:rsidR="00514CC2" w:rsidRPr="00514CC2">
        <w:rPr>
          <w:rFonts w:ascii="Times New Roman" w:eastAsia="宋体" w:hAnsi="Times New Roman" w:cs="Arial"/>
          <w:sz w:val="24"/>
        </w:rPr>
        <w:t>）。多因素</w:t>
      </w:r>
      <w:r w:rsidR="00514CC2" w:rsidRPr="00514CC2">
        <w:rPr>
          <w:rFonts w:ascii="Times New Roman" w:eastAsia="宋体" w:hAnsi="Times New Roman" w:cs="Arial"/>
          <w:sz w:val="24"/>
        </w:rPr>
        <w:t>Logistic</w:t>
      </w:r>
      <w:r w:rsidR="00514CC2" w:rsidRPr="00514CC2">
        <w:rPr>
          <w:rFonts w:ascii="Times New Roman" w:eastAsia="宋体" w:hAnsi="Times New Roman" w:cs="Arial"/>
          <w:sz w:val="24"/>
        </w:rPr>
        <w:t>回归分析显示，年龄</w:t>
      </w:r>
      <w:r w:rsidR="00514CC2" w:rsidRPr="00514CC2">
        <w:rPr>
          <w:rFonts w:ascii="Times New Roman" w:eastAsia="宋体" w:hAnsi="Times New Roman" w:cs="Arial"/>
          <w:sz w:val="24"/>
        </w:rPr>
        <w:t>≥60</w:t>
      </w:r>
      <w:r w:rsidR="00514CC2" w:rsidRPr="00514CC2">
        <w:rPr>
          <w:rFonts w:ascii="Times New Roman" w:eastAsia="宋体" w:hAnsi="Times New Roman" w:cs="Arial"/>
          <w:sz w:val="24"/>
        </w:rPr>
        <w:t>岁与诱导治疗后</w:t>
      </w:r>
      <w:r w:rsidR="00514CC2" w:rsidRPr="00514CC2">
        <w:rPr>
          <w:rFonts w:ascii="Times New Roman" w:eastAsia="宋体" w:hAnsi="Times New Roman" w:cs="Arial"/>
          <w:sz w:val="24"/>
        </w:rPr>
        <w:t>ORR</w:t>
      </w:r>
      <w:r w:rsidR="00514CC2" w:rsidRPr="00514CC2">
        <w:rPr>
          <w:rFonts w:ascii="Times New Roman" w:eastAsia="宋体" w:hAnsi="Times New Roman" w:cs="Arial"/>
          <w:sz w:val="24"/>
        </w:rPr>
        <w:t>降低相关（</w:t>
      </w:r>
      <w:r w:rsidR="00514CC2" w:rsidRPr="00514CC2">
        <w:rPr>
          <w:rFonts w:ascii="Times New Roman" w:eastAsia="宋体" w:hAnsi="Times New Roman" w:cs="Arial"/>
          <w:sz w:val="24"/>
        </w:rPr>
        <w:t>OR=0.26</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95%CI</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0.07</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0.91</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P=0.042</w:t>
      </w:r>
      <w:r w:rsidR="00514CC2" w:rsidRPr="00514CC2">
        <w:rPr>
          <w:rFonts w:ascii="Times New Roman" w:eastAsia="宋体" w:hAnsi="Times New Roman" w:cs="Arial"/>
          <w:sz w:val="24"/>
        </w:rPr>
        <w:t>）。安全性方面，两组</w:t>
      </w:r>
      <w:r w:rsidR="00514CC2" w:rsidRPr="00514CC2">
        <w:rPr>
          <w:rFonts w:ascii="Times New Roman" w:eastAsia="宋体" w:hAnsi="Times New Roman" w:cs="Arial"/>
          <w:sz w:val="24"/>
        </w:rPr>
        <w:t>3</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4</w:t>
      </w:r>
      <w:r w:rsidR="00514CC2" w:rsidRPr="00514CC2">
        <w:rPr>
          <w:rFonts w:ascii="Times New Roman" w:eastAsia="宋体" w:hAnsi="Times New Roman" w:cs="Arial"/>
          <w:sz w:val="24"/>
        </w:rPr>
        <w:t>级不良反</w:t>
      </w:r>
      <w:r w:rsidR="00514CC2" w:rsidRPr="00514CC2">
        <w:rPr>
          <w:rFonts w:ascii="Times New Roman" w:eastAsia="宋体" w:hAnsi="Times New Roman" w:cs="Arial"/>
          <w:sz w:val="24"/>
        </w:rPr>
        <w:lastRenderedPageBreak/>
        <w:t>应总体发生率相近；</w:t>
      </w:r>
      <w:r w:rsidR="00514CC2" w:rsidRPr="00514CC2">
        <w:rPr>
          <w:rFonts w:ascii="Times New Roman" w:eastAsia="宋体" w:hAnsi="Times New Roman" w:cs="Arial"/>
          <w:sz w:val="24"/>
        </w:rPr>
        <w:t>ICIT</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3</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4</w:t>
      </w:r>
      <w:r w:rsidR="00514CC2" w:rsidRPr="00514CC2">
        <w:rPr>
          <w:rFonts w:ascii="Times New Roman" w:eastAsia="宋体" w:hAnsi="Times New Roman" w:cs="Arial"/>
          <w:sz w:val="24"/>
        </w:rPr>
        <w:t>级口腔黏膜炎发生率高于</w:t>
      </w:r>
      <w:r w:rsidR="00514CC2" w:rsidRPr="00514CC2">
        <w:rPr>
          <w:rFonts w:ascii="Times New Roman" w:eastAsia="宋体" w:hAnsi="Times New Roman" w:cs="Arial"/>
          <w:sz w:val="24"/>
        </w:rPr>
        <w:t>IC</w:t>
      </w:r>
      <w:r w:rsidR="00514CC2" w:rsidRPr="00514CC2">
        <w:rPr>
          <w:rFonts w:ascii="Times New Roman" w:eastAsia="宋体" w:hAnsi="Times New Roman" w:cs="Arial"/>
          <w:sz w:val="24"/>
        </w:rPr>
        <w:t>组（</w:t>
      </w:r>
      <w:r w:rsidR="00514CC2" w:rsidRPr="00514CC2">
        <w:rPr>
          <w:rFonts w:ascii="Times New Roman" w:eastAsia="宋体" w:hAnsi="Times New Roman" w:cs="Arial"/>
          <w:sz w:val="24"/>
        </w:rPr>
        <w:t>40.0% vs 16.7%</w:t>
      </w:r>
      <w:r w:rsidR="00514CC2" w:rsidRPr="00514CC2">
        <w:rPr>
          <w:rFonts w:ascii="Times New Roman" w:eastAsia="宋体" w:hAnsi="Times New Roman" w:cs="Arial"/>
          <w:sz w:val="24"/>
        </w:rPr>
        <w:t>，分别为</w:t>
      </w:r>
      <w:r w:rsidR="00514CC2" w:rsidRPr="00514CC2">
        <w:rPr>
          <w:rFonts w:ascii="Times New Roman" w:eastAsia="宋体" w:hAnsi="Times New Roman" w:cs="Arial"/>
          <w:sz w:val="24"/>
        </w:rPr>
        <w:t>12/30</w:t>
      </w:r>
      <w:r w:rsidR="00514CC2" w:rsidRPr="00514CC2">
        <w:rPr>
          <w:rFonts w:ascii="Times New Roman" w:eastAsia="宋体" w:hAnsi="Times New Roman" w:cs="Arial"/>
          <w:sz w:val="24"/>
        </w:rPr>
        <w:t>和</w:t>
      </w:r>
      <w:r w:rsidR="00514CC2" w:rsidRPr="00514CC2">
        <w:rPr>
          <w:rFonts w:ascii="Times New Roman" w:eastAsia="宋体" w:hAnsi="Times New Roman" w:cs="Arial"/>
          <w:sz w:val="24"/>
        </w:rPr>
        <w:t>5/30</w:t>
      </w:r>
      <w:r w:rsidR="00514CC2" w:rsidRPr="00514CC2">
        <w:rPr>
          <w:rFonts w:ascii="Times New Roman" w:eastAsia="宋体" w:hAnsi="Times New Roman" w:cs="Arial"/>
          <w:sz w:val="24"/>
        </w:rPr>
        <w:t>，</w:t>
      </w:r>
      <w:r w:rsidR="00514CC2" w:rsidRPr="00514CC2">
        <w:rPr>
          <w:rFonts w:ascii="Times New Roman" w:eastAsia="宋体" w:hAnsi="Times New Roman" w:cs="Arial"/>
          <w:sz w:val="24"/>
        </w:rPr>
        <w:t>P=0.084</w:t>
      </w:r>
      <w:r w:rsidR="00514CC2" w:rsidRPr="00514CC2">
        <w:rPr>
          <w:rFonts w:ascii="Times New Roman" w:eastAsia="宋体" w:hAnsi="Times New Roman" w:cs="Arial"/>
          <w:sz w:val="24"/>
        </w:rPr>
        <w:t>），但差异无统计学意义。</w:t>
      </w:r>
      <w:r>
        <w:rPr>
          <w:rFonts w:ascii="Times New Roman" w:eastAsia="宋体" w:hAnsi="Times New Roman" w:cs="Arial" w:hint="eastAsia"/>
          <w:b/>
          <w:bCs/>
          <w:sz w:val="24"/>
        </w:rPr>
        <w:t>结论</w:t>
      </w:r>
      <w:r>
        <w:rPr>
          <w:rFonts w:ascii="Times New Roman" w:eastAsia="宋体" w:hAnsi="Times New Roman" w:cs="Arial" w:hint="eastAsia"/>
          <w:sz w:val="24"/>
        </w:rPr>
        <w:t xml:space="preserve">  </w:t>
      </w:r>
      <w:r>
        <w:rPr>
          <w:rFonts w:ascii="Times New Roman" w:eastAsia="宋体" w:hAnsi="Times New Roman" w:cs="Arial"/>
          <w:sz w:val="24"/>
        </w:rPr>
        <w:t>在局晚期鼻咽癌中，抗</w:t>
      </w:r>
      <w:r w:rsidRPr="00932EBB">
        <w:rPr>
          <w:rFonts w:ascii="Times New Roman" w:eastAsia="宋体" w:hAnsi="Times New Roman" w:cs="Arial"/>
          <w:sz w:val="24"/>
        </w:rPr>
        <w:t>PD</w:t>
      </w:r>
      <w:r>
        <w:rPr>
          <w:rFonts w:ascii="Times New Roman" w:eastAsia="宋体" w:hAnsi="Times New Roman" w:cs="Arial"/>
          <w:sz w:val="24"/>
        </w:rPr>
        <w:t>-</w:t>
      </w:r>
      <w:r w:rsidRPr="00932EBB">
        <w:rPr>
          <w:rFonts w:ascii="Times New Roman" w:eastAsia="宋体" w:hAnsi="Times New Roman" w:cs="Arial"/>
          <w:sz w:val="24"/>
        </w:rPr>
        <w:t>1</w:t>
      </w:r>
      <w:r>
        <w:rPr>
          <w:rFonts w:ascii="Times New Roman" w:eastAsia="宋体" w:hAnsi="Times New Roman" w:cs="Arial"/>
          <w:sz w:val="24"/>
        </w:rPr>
        <w:t>抑制剂联合尼妥珠单抗的三联诱导治疗可在不显著增加严重毒性的前提下，提高诱导期</w:t>
      </w:r>
      <w:r w:rsidRPr="00932EBB">
        <w:rPr>
          <w:rFonts w:ascii="Times New Roman" w:eastAsia="宋体" w:hAnsi="Times New Roman" w:cs="Arial"/>
          <w:sz w:val="24"/>
        </w:rPr>
        <w:t>ORR</w:t>
      </w:r>
      <w:r>
        <w:rPr>
          <w:rFonts w:ascii="Times New Roman" w:eastAsia="宋体" w:hAnsi="Times New Roman" w:cs="Arial"/>
          <w:sz w:val="24"/>
        </w:rPr>
        <w:t>并减少</w:t>
      </w:r>
      <w:r w:rsidRPr="00932EBB">
        <w:rPr>
          <w:rFonts w:ascii="Times New Roman" w:eastAsia="宋体" w:hAnsi="Times New Roman" w:cs="Arial"/>
          <w:sz w:val="24"/>
        </w:rPr>
        <w:t>SD</w:t>
      </w:r>
      <w:r>
        <w:rPr>
          <w:rFonts w:ascii="Times New Roman" w:eastAsia="宋体" w:hAnsi="Times New Roman" w:cs="Arial"/>
          <w:sz w:val="24"/>
        </w:rPr>
        <w:t>，为后续放疗提供更有利的起点，具有一定的临床应用价值。</w:t>
      </w:r>
    </w:p>
    <w:p w14:paraId="6FA5E8B2" w14:textId="665F9346" w:rsidR="00D606CB" w:rsidRDefault="00000000">
      <w:pPr>
        <w:adjustRightInd w:val="0"/>
        <w:snapToGrid w:val="0"/>
        <w:spacing w:after="0" w:line="360" w:lineRule="auto"/>
        <w:rPr>
          <w:rFonts w:ascii="Times New Roman" w:eastAsia="宋体" w:hAnsi="Times New Roman" w:cs="Arial"/>
          <w:color w:val="0D0D0D"/>
          <w:sz w:val="24"/>
          <w:shd w:val="clear" w:color="auto" w:fill="FFFFFF"/>
        </w:rPr>
      </w:pPr>
      <w:r>
        <w:rPr>
          <w:rFonts w:ascii="Times New Roman" w:eastAsia="宋体" w:hAnsi="Times New Roman" w:cs="Arial" w:hint="eastAsia"/>
          <w:color w:val="0D0D0D"/>
          <w:sz w:val="24"/>
          <w:shd w:val="clear" w:color="auto" w:fill="FFFFFF"/>
        </w:rPr>
        <w:t>【主题词】</w:t>
      </w:r>
      <w:r>
        <w:rPr>
          <w:rFonts w:ascii="Times New Roman" w:eastAsia="宋体" w:hAnsi="Times New Roman" w:cs="Arial"/>
          <w:color w:val="0D0D0D"/>
          <w:sz w:val="24"/>
          <w:shd w:val="clear" w:color="auto" w:fill="FFFFFF"/>
        </w:rPr>
        <w:t>鼻咽癌；</w:t>
      </w:r>
      <w:r w:rsidR="00D86985">
        <w:rPr>
          <w:rFonts w:ascii="Times New Roman" w:eastAsia="宋体" w:hAnsi="Times New Roman" w:cs="Arial" w:hint="eastAsia"/>
          <w:color w:val="0D0D0D"/>
          <w:sz w:val="24"/>
          <w:shd w:val="clear" w:color="auto" w:fill="FFFFFF"/>
        </w:rPr>
        <w:t>局晚期；</w:t>
      </w:r>
      <w:r>
        <w:rPr>
          <w:rFonts w:ascii="Times New Roman" w:eastAsia="宋体" w:hAnsi="Times New Roman" w:cs="Arial"/>
          <w:color w:val="0D0D0D"/>
          <w:sz w:val="24"/>
          <w:shd w:val="clear" w:color="auto" w:fill="FFFFFF"/>
        </w:rPr>
        <w:t>抗</w:t>
      </w:r>
      <w:r w:rsidRPr="00932EBB">
        <w:rPr>
          <w:rFonts w:ascii="Times New Roman" w:eastAsia="宋体" w:hAnsi="Times New Roman" w:cs="Arial"/>
          <w:color w:val="0D0D0D"/>
          <w:sz w:val="24"/>
          <w:shd w:val="clear" w:color="auto" w:fill="FFFFFF"/>
        </w:rPr>
        <w:t>PD</w:t>
      </w:r>
      <w:r>
        <w:rPr>
          <w:rFonts w:ascii="Times New Roman" w:eastAsia="宋体" w:hAnsi="Times New Roman" w:cs="Arial"/>
          <w:color w:val="0D0D0D"/>
          <w:sz w:val="24"/>
          <w:shd w:val="clear" w:color="auto" w:fill="FFFFFF"/>
        </w:rPr>
        <w:t>-</w:t>
      </w:r>
      <w:r w:rsidRPr="00932EBB">
        <w:rPr>
          <w:rFonts w:ascii="Times New Roman" w:eastAsia="宋体" w:hAnsi="Times New Roman" w:cs="Arial"/>
          <w:color w:val="0D0D0D"/>
          <w:sz w:val="24"/>
          <w:shd w:val="clear" w:color="auto" w:fill="FFFFFF"/>
        </w:rPr>
        <w:t>1</w:t>
      </w:r>
      <w:r>
        <w:rPr>
          <w:rFonts w:ascii="Times New Roman" w:eastAsia="宋体" w:hAnsi="Times New Roman" w:cs="Arial"/>
          <w:color w:val="0D0D0D"/>
          <w:sz w:val="24"/>
          <w:shd w:val="clear" w:color="auto" w:fill="FFFFFF"/>
        </w:rPr>
        <w:t>抑制剂；尼妥珠单抗；诱导化疗；客观缓解率</w:t>
      </w:r>
    </w:p>
    <w:p w14:paraId="4ADCDE9D" w14:textId="77777777" w:rsidR="00D606CB" w:rsidRDefault="00000000">
      <w:pPr>
        <w:adjustRightInd w:val="0"/>
        <w:snapToGrid w:val="0"/>
        <w:spacing w:after="0" w:line="360" w:lineRule="auto"/>
        <w:rPr>
          <w:rFonts w:ascii="Times New Roman" w:eastAsia="宋体" w:hAnsi="Times New Roman" w:cs="Arial"/>
          <w:color w:val="0D0D0D"/>
          <w:sz w:val="24"/>
          <w:shd w:val="clear" w:color="auto" w:fill="FFFFFF"/>
        </w:rPr>
      </w:pPr>
      <w:r>
        <w:rPr>
          <w:rFonts w:ascii="Times New Roman" w:eastAsia="宋体" w:hAnsi="Times New Roman" w:cs="Arial" w:hint="eastAsia"/>
          <w:color w:val="0D0D0D"/>
          <w:sz w:val="24"/>
          <w:shd w:val="clear" w:color="auto" w:fill="FFFFFF"/>
        </w:rPr>
        <w:t>【中图分类号】</w:t>
      </w:r>
      <w:r w:rsidRPr="00932EBB">
        <w:rPr>
          <w:rFonts w:ascii="Times New Roman" w:eastAsia="宋体" w:hAnsi="Times New Roman" w:cs="Arial" w:hint="eastAsia"/>
          <w:color w:val="0D0D0D"/>
          <w:sz w:val="24"/>
          <w:shd w:val="clear" w:color="auto" w:fill="FFFFFF"/>
        </w:rPr>
        <w:t>R739</w:t>
      </w:r>
      <w:r>
        <w:rPr>
          <w:rFonts w:ascii="Times New Roman" w:eastAsia="宋体" w:hAnsi="Times New Roman" w:cs="Arial" w:hint="eastAsia"/>
          <w:color w:val="0D0D0D"/>
          <w:sz w:val="24"/>
          <w:shd w:val="clear" w:color="auto" w:fill="FFFFFF"/>
        </w:rPr>
        <w:t>.</w:t>
      </w:r>
      <w:r w:rsidRPr="00932EBB">
        <w:rPr>
          <w:rFonts w:ascii="Times New Roman" w:eastAsia="宋体" w:hAnsi="Times New Roman" w:cs="Arial" w:hint="eastAsia"/>
          <w:color w:val="0D0D0D"/>
          <w:sz w:val="24"/>
          <w:shd w:val="clear" w:color="auto" w:fill="FFFFFF"/>
        </w:rPr>
        <w:t>63</w:t>
      </w:r>
      <w:r>
        <w:rPr>
          <w:rFonts w:ascii="Times New Roman" w:eastAsia="宋体" w:hAnsi="Times New Roman" w:cs="Arial" w:hint="eastAsia"/>
          <w:color w:val="0D0D0D"/>
          <w:sz w:val="24"/>
          <w:shd w:val="clear" w:color="auto" w:fill="FFFFFF"/>
        </w:rPr>
        <w:t xml:space="preserve">  </w:t>
      </w:r>
      <w:r>
        <w:rPr>
          <w:rFonts w:ascii="Times New Roman" w:eastAsia="宋体" w:hAnsi="Times New Roman" w:cs="Arial" w:hint="eastAsia"/>
          <w:color w:val="0D0D0D"/>
          <w:sz w:val="24"/>
          <w:shd w:val="clear" w:color="auto" w:fill="FFFFFF"/>
        </w:rPr>
        <w:t>【文献标志码】</w:t>
      </w:r>
      <w:r w:rsidRPr="00932EBB">
        <w:rPr>
          <w:rFonts w:ascii="Times New Roman" w:eastAsia="宋体" w:hAnsi="Times New Roman" w:cs="Arial" w:hint="eastAsia"/>
          <w:color w:val="0D0D0D"/>
          <w:sz w:val="24"/>
          <w:shd w:val="clear" w:color="auto" w:fill="FFFFFF"/>
        </w:rPr>
        <w:t>A</w:t>
      </w:r>
    </w:p>
    <w:p w14:paraId="165500E2" w14:textId="77777777" w:rsidR="00D606CB" w:rsidRDefault="00000000">
      <w:pPr>
        <w:adjustRightInd w:val="0"/>
        <w:snapToGrid w:val="0"/>
        <w:spacing w:after="0" w:line="360" w:lineRule="auto"/>
        <w:rPr>
          <w:rFonts w:ascii="Times New Roman" w:eastAsia="宋体" w:hAnsi="Times New Roman" w:cs="Times New Roman"/>
          <w:b/>
          <w:bCs/>
          <w:sz w:val="24"/>
        </w:rPr>
      </w:pPr>
      <w:r w:rsidRPr="00932EBB">
        <w:rPr>
          <w:rFonts w:ascii="Times New Roman" w:eastAsia="宋体" w:hAnsi="Times New Roman" w:cs="Times New Roman"/>
          <w:b/>
          <w:bCs/>
          <w:sz w:val="24"/>
        </w:rPr>
        <w:t>Short</w:t>
      </w:r>
      <w:r>
        <w:rPr>
          <w:rFonts w:ascii="Times New Roman" w:eastAsia="宋体" w:hAnsi="Times New Roman" w:cs="Times New Roman"/>
          <w:b/>
          <w:bCs/>
          <w:sz w:val="24"/>
        </w:rPr>
        <w:t>-</w:t>
      </w:r>
      <w:r w:rsidRPr="00932EBB">
        <w:rPr>
          <w:rFonts w:ascii="Times New Roman" w:eastAsia="宋体" w:hAnsi="Times New Roman" w:cs="Times New Roman"/>
          <w:b/>
          <w:bCs/>
          <w:sz w:val="24"/>
        </w:rPr>
        <w:t>term</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efficacy</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and</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safety</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of</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anti</w:t>
      </w:r>
      <w:r>
        <w:rPr>
          <w:rFonts w:ascii="Times New Roman" w:eastAsia="宋体" w:hAnsi="Times New Roman" w:cs="Times New Roman"/>
          <w:b/>
          <w:bCs/>
          <w:sz w:val="24"/>
        </w:rPr>
        <w:t>–</w:t>
      </w:r>
      <w:r w:rsidRPr="00932EBB">
        <w:rPr>
          <w:rFonts w:ascii="Times New Roman" w:eastAsia="宋体" w:hAnsi="Times New Roman" w:cs="Times New Roman"/>
          <w:b/>
          <w:bCs/>
          <w:sz w:val="24"/>
        </w:rPr>
        <w:t>PD</w:t>
      </w:r>
      <w:r>
        <w:rPr>
          <w:rFonts w:ascii="Times New Roman" w:eastAsia="宋体" w:hAnsi="Times New Roman" w:cs="Times New Roman"/>
          <w:b/>
          <w:bCs/>
          <w:sz w:val="24"/>
        </w:rPr>
        <w:t>-</w:t>
      </w:r>
      <w:r w:rsidRPr="00932EBB">
        <w:rPr>
          <w:rFonts w:ascii="Times New Roman" w:eastAsia="宋体" w:hAnsi="Times New Roman" w:cs="Times New Roman"/>
          <w:b/>
          <w:bCs/>
          <w:sz w:val="24"/>
        </w:rPr>
        <w:t>1</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inhibitors</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combined</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with</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nimotuzumab</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and</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induction</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chemotherapy</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in</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locoregionally</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advanced</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nasopharyngeal</w:t>
      </w:r>
      <w:r>
        <w:rPr>
          <w:rFonts w:ascii="Times New Roman" w:eastAsia="宋体" w:hAnsi="Times New Roman" w:cs="Times New Roman"/>
          <w:b/>
          <w:bCs/>
          <w:sz w:val="24"/>
        </w:rPr>
        <w:t xml:space="preserve"> </w:t>
      </w:r>
      <w:r w:rsidRPr="00932EBB">
        <w:rPr>
          <w:rFonts w:ascii="Times New Roman" w:eastAsia="宋体" w:hAnsi="Times New Roman" w:cs="Times New Roman"/>
          <w:b/>
          <w:bCs/>
          <w:sz w:val="24"/>
        </w:rPr>
        <w:t>carcinoma</w:t>
      </w:r>
    </w:p>
    <w:p w14:paraId="560F9B64" w14:textId="77777777" w:rsidR="00D606CB" w:rsidRDefault="00000000">
      <w:pPr>
        <w:adjustRightInd w:val="0"/>
        <w:snapToGrid w:val="0"/>
        <w:spacing w:line="360" w:lineRule="auto"/>
        <w:rPr>
          <w:rFonts w:ascii="Times New Roman" w:eastAsia="宋体" w:hAnsi="Times New Roman" w:cs="Times New Roman"/>
          <w:sz w:val="24"/>
        </w:rPr>
      </w:pPr>
      <w:r w:rsidRPr="00932EBB">
        <w:rPr>
          <w:rFonts w:ascii="Times New Roman" w:eastAsia="宋体" w:hAnsi="Times New Roman" w:cs="Times New Roman"/>
          <w:sz w:val="24"/>
        </w:rPr>
        <w:t>HE</w:t>
      </w:r>
      <w:r>
        <w:rPr>
          <w:rFonts w:ascii="Times New Roman" w:eastAsia="宋体" w:hAnsi="Times New Roman" w:cs="Times New Roman"/>
          <w:sz w:val="24"/>
        </w:rPr>
        <w:t xml:space="preserve"> </w:t>
      </w:r>
      <w:r w:rsidRPr="00932EBB">
        <w:rPr>
          <w:rFonts w:ascii="Times New Roman" w:eastAsia="宋体" w:hAnsi="Times New Roman" w:cs="Times New Roman"/>
          <w:sz w:val="24"/>
        </w:rPr>
        <w:t>Yiyue</w:t>
      </w:r>
      <w:r w:rsidRPr="00932EBB">
        <w:rPr>
          <w:rFonts w:ascii="Times New Roman" w:eastAsia="宋体" w:hAnsi="Times New Roman" w:cs="Times New Roman"/>
          <w:sz w:val="24"/>
          <w:vertAlign w:val="superscript"/>
        </w:rPr>
        <w:t>1</w:t>
      </w:r>
      <w:r>
        <w:rPr>
          <w:rFonts w:ascii="Times New Roman" w:eastAsia="宋体" w:hAnsi="Times New Roman" w:cs="Times New Roman"/>
          <w:sz w:val="24"/>
          <w:vertAlign w:val="superscript"/>
        </w:rPr>
        <w:t>,</w:t>
      </w:r>
      <w:r w:rsidRPr="00932EBB">
        <w:rPr>
          <w:rFonts w:ascii="Times New Roman" w:eastAsia="宋体" w:hAnsi="Times New Roman" w:cs="Times New Roman"/>
          <w:sz w:val="24"/>
          <w:vertAlign w:val="superscript"/>
        </w:rPr>
        <w:t>2</w:t>
      </w:r>
      <w:r>
        <w:rPr>
          <w:rFonts w:ascii="Times New Roman" w:eastAsia="宋体" w:hAnsi="Times New Roman" w:cs="Times New Roman"/>
          <w:sz w:val="24"/>
        </w:rPr>
        <w:t xml:space="preserve">, </w:t>
      </w:r>
      <w:r w:rsidRPr="00932EBB">
        <w:rPr>
          <w:rFonts w:ascii="Times New Roman" w:eastAsia="宋体" w:hAnsi="Times New Roman" w:cs="Times New Roman"/>
          <w:sz w:val="24"/>
        </w:rPr>
        <w:t>XU</w:t>
      </w:r>
      <w:r>
        <w:rPr>
          <w:rFonts w:ascii="Times New Roman" w:eastAsia="宋体" w:hAnsi="Times New Roman" w:cs="Times New Roman"/>
          <w:sz w:val="24"/>
        </w:rPr>
        <w:t xml:space="preserve"> </w:t>
      </w:r>
      <w:r w:rsidRPr="00932EBB">
        <w:rPr>
          <w:rFonts w:ascii="Times New Roman" w:eastAsia="宋体" w:hAnsi="Times New Roman" w:cs="Times New Roman"/>
          <w:sz w:val="24"/>
        </w:rPr>
        <w:t>Jingshu</w:t>
      </w:r>
      <w:r w:rsidRPr="00932EBB">
        <w:rPr>
          <w:rFonts w:ascii="Times New Roman" w:eastAsia="宋体" w:hAnsi="Times New Roman" w:cs="Times New Roman"/>
          <w:sz w:val="24"/>
          <w:vertAlign w:val="superscript"/>
        </w:rPr>
        <w:t>1</w:t>
      </w:r>
      <w:r>
        <w:rPr>
          <w:rFonts w:ascii="Times New Roman" w:eastAsia="宋体" w:hAnsi="Times New Roman" w:cs="Times New Roman"/>
          <w:sz w:val="24"/>
          <w:vertAlign w:val="superscript"/>
        </w:rPr>
        <w:t>,</w:t>
      </w:r>
      <w:r w:rsidRPr="00932EBB">
        <w:rPr>
          <w:rFonts w:ascii="Times New Roman" w:eastAsia="宋体" w:hAnsi="Times New Roman" w:cs="Times New Roman"/>
          <w:sz w:val="24"/>
          <w:vertAlign w:val="superscript"/>
        </w:rPr>
        <w:t>2</w:t>
      </w:r>
      <w:r>
        <w:rPr>
          <w:rFonts w:ascii="Times New Roman" w:eastAsia="宋体" w:hAnsi="Times New Roman" w:cs="Times New Roman"/>
          <w:sz w:val="24"/>
        </w:rPr>
        <w:t xml:space="preserve">, </w:t>
      </w:r>
      <w:r w:rsidRPr="00932EBB">
        <w:rPr>
          <w:rFonts w:ascii="Times New Roman" w:eastAsia="宋体" w:hAnsi="Times New Roman" w:cs="Times New Roman"/>
          <w:sz w:val="24"/>
        </w:rPr>
        <w:t>MAO</w:t>
      </w:r>
      <w:r>
        <w:rPr>
          <w:rFonts w:ascii="Times New Roman" w:eastAsia="宋体" w:hAnsi="Times New Roman" w:cs="Times New Roman"/>
          <w:sz w:val="24"/>
        </w:rPr>
        <w:t xml:space="preserve"> </w:t>
      </w:r>
      <w:r w:rsidRPr="00932EBB">
        <w:rPr>
          <w:rFonts w:ascii="Times New Roman" w:eastAsia="宋体" w:hAnsi="Times New Roman" w:cs="Times New Roman"/>
          <w:sz w:val="24"/>
        </w:rPr>
        <w:t>Yichen</w:t>
      </w:r>
      <w:r w:rsidRPr="00932EBB">
        <w:rPr>
          <w:rFonts w:ascii="Times New Roman" w:eastAsia="宋体" w:hAnsi="Times New Roman" w:cs="Times New Roman"/>
          <w:sz w:val="24"/>
          <w:vertAlign w:val="superscript"/>
        </w:rPr>
        <w:t>2</w:t>
      </w:r>
      <w:r>
        <w:rPr>
          <w:rFonts w:ascii="Times New Roman" w:eastAsia="宋体" w:hAnsi="Times New Roman" w:cs="Times New Roman"/>
          <w:sz w:val="24"/>
        </w:rPr>
        <w:t xml:space="preserve">, </w:t>
      </w:r>
      <w:r w:rsidRPr="00932EBB">
        <w:rPr>
          <w:rFonts w:ascii="Times New Roman" w:eastAsia="宋体" w:hAnsi="Times New Roman" w:cs="Times New Roman"/>
          <w:sz w:val="24"/>
        </w:rPr>
        <w:t>ZONG</w:t>
      </w:r>
      <w:r>
        <w:rPr>
          <w:rFonts w:ascii="Times New Roman" w:eastAsia="宋体" w:hAnsi="Times New Roman" w:cs="Times New Roman"/>
          <w:sz w:val="24"/>
        </w:rPr>
        <w:t xml:space="preserve"> </w:t>
      </w:r>
      <w:r w:rsidRPr="00932EBB">
        <w:rPr>
          <w:rFonts w:ascii="Times New Roman" w:eastAsia="宋体" w:hAnsi="Times New Roman" w:cs="Times New Roman"/>
          <w:sz w:val="24"/>
        </w:rPr>
        <w:t>Dan</w:t>
      </w:r>
      <w:r w:rsidRPr="00932EBB">
        <w:rPr>
          <w:rFonts w:ascii="Times New Roman" w:eastAsia="宋体" w:hAnsi="Times New Roman" w:cs="Times New Roman"/>
          <w:sz w:val="24"/>
          <w:vertAlign w:val="superscript"/>
        </w:rPr>
        <w:t>2</w:t>
      </w:r>
      <w:r>
        <w:rPr>
          <w:rFonts w:ascii="Times New Roman" w:eastAsia="宋体" w:hAnsi="Times New Roman" w:cs="Times New Roman"/>
          <w:sz w:val="24"/>
        </w:rPr>
        <w:t xml:space="preserve">, </w:t>
      </w:r>
      <w:r w:rsidRPr="00932EBB">
        <w:rPr>
          <w:rFonts w:ascii="Times New Roman" w:eastAsia="宋体" w:hAnsi="Times New Roman" w:cs="Times New Roman"/>
          <w:sz w:val="24"/>
        </w:rPr>
        <w:t>HE</w:t>
      </w:r>
      <w:r>
        <w:rPr>
          <w:rFonts w:ascii="Times New Roman" w:eastAsia="宋体" w:hAnsi="Times New Roman" w:cs="Times New Roman"/>
          <w:sz w:val="24"/>
        </w:rPr>
        <w:t xml:space="preserve"> </w:t>
      </w:r>
      <w:r w:rsidRPr="00932EBB">
        <w:rPr>
          <w:rFonts w:ascii="Times New Roman" w:eastAsia="宋体" w:hAnsi="Times New Roman" w:cs="Times New Roman"/>
          <w:sz w:val="24"/>
        </w:rPr>
        <w:t>Xia</w:t>
      </w:r>
      <w:r w:rsidRPr="00932EBB">
        <w:rPr>
          <w:rFonts w:ascii="Times New Roman" w:eastAsia="宋体" w:hAnsi="Times New Roman" w:cs="Times New Roman"/>
          <w:sz w:val="24"/>
          <w:vertAlign w:val="superscript"/>
        </w:rPr>
        <w:t>1</w:t>
      </w:r>
      <w:r>
        <w:rPr>
          <w:rFonts w:ascii="Times New Roman" w:eastAsia="宋体" w:hAnsi="Times New Roman" w:cs="Times New Roman"/>
          <w:sz w:val="24"/>
          <w:vertAlign w:val="superscript"/>
        </w:rPr>
        <w:t>,</w:t>
      </w:r>
      <w:r w:rsidRPr="00932EBB">
        <w:rPr>
          <w:rFonts w:ascii="Times New Roman" w:eastAsia="宋体" w:hAnsi="Times New Roman" w:cs="Times New Roman"/>
          <w:sz w:val="24"/>
          <w:vertAlign w:val="superscript"/>
        </w:rPr>
        <w:t>2</w:t>
      </w:r>
    </w:p>
    <w:p w14:paraId="2FC93B7F" w14:textId="1B81984D" w:rsidR="00D606CB" w:rsidRDefault="00000000">
      <w:pPr>
        <w:adjustRightInd w:val="0"/>
        <w:snapToGrid w:val="0"/>
        <w:spacing w:line="360" w:lineRule="auto"/>
        <w:rPr>
          <w:rFonts w:ascii="Times New Roman" w:eastAsia="宋体" w:hAnsi="Times New Roman" w:cs="Times New Roman"/>
          <w:sz w:val="24"/>
        </w:rPr>
      </w:pPr>
      <w:r w:rsidRPr="00932EBB">
        <w:rPr>
          <w:rFonts w:ascii="Times New Roman" w:eastAsia="宋体" w:hAnsi="Times New Roman" w:cs="Times New Roman"/>
          <w:sz w:val="24"/>
        </w:rPr>
        <w:t>1</w:t>
      </w:r>
      <w:r>
        <w:rPr>
          <w:rFonts w:ascii="Times New Roman" w:eastAsia="宋体" w:hAnsi="Times New Roman" w:cs="Times New Roman"/>
          <w:sz w:val="24"/>
        </w:rPr>
        <w:t>.</w:t>
      </w:r>
      <w:r w:rsidRPr="00932EBB">
        <w:rPr>
          <w:rFonts w:ascii="Times New Roman" w:eastAsia="宋体" w:hAnsi="Times New Roman" w:cs="Times New Roman"/>
          <w:sz w:val="24"/>
        </w:rPr>
        <w:t>Xuzhou</w:t>
      </w:r>
      <w:r>
        <w:rPr>
          <w:rFonts w:ascii="Times New Roman" w:eastAsia="宋体" w:hAnsi="Times New Roman" w:cs="Times New Roman"/>
          <w:sz w:val="24"/>
        </w:rPr>
        <w:t xml:space="preserve"> </w:t>
      </w:r>
      <w:r w:rsidRPr="00932EBB">
        <w:rPr>
          <w:rFonts w:ascii="Times New Roman" w:eastAsia="宋体" w:hAnsi="Times New Roman" w:cs="Times New Roman"/>
          <w:sz w:val="24"/>
        </w:rPr>
        <w:t>Medical</w:t>
      </w:r>
      <w:r>
        <w:rPr>
          <w:rFonts w:ascii="Times New Roman" w:eastAsia="宋体" w:hAnsi="Times New Roman" w:cs="Times New Roman"/>
          <w:sz w:val="24"/>
        </w:rPr>
        <w:t xml:space="preserve"> </w:t>
      </w:r>
      <w:r w:rsidRPr="00932EBB">
        <w:rPr>
          <w:rFonts w:ascii="Times New Roman" w:eastAsia="宋体" w:hAnsi="Times New Roman" w:cs="Times New Roman"/>
          <w:sz w:val="24"/>
        </w:rPr>
        <w:t>University</w:t>
      </w:r>
      <w:r>
        <w:rPr>
          <w:rFonts w:ascii="Times New Roman" w:eastAsia="宋体" w:hAnsi="Times New Roman" w:cs="Times New Roman"/>
          <w:sz w:val="24"/>
        </w:rPr>
        <w:t xml:space="preserve">, </w:t>
      </w:r>
      <w:r w:rsidRPr="00932EBB">
        <w:rPr>
          <w:rFonts w:ascii="Times New Roman" w:eastAsia="宋体" w:hAnsi="Times New Roman" w:cs="Times New Roman"/>
          <w:sz w:val="24"/>
        </w:rPr>
        <w:t>Xuzhou</w:t>
      </w:r>
      <w:r>
        <w:rPr>
          <w:rFonts w:ascii="Times New Roman" w:eastAsia="宋体" w:hAnsi="Times New Roman" w:cs="Times New Roman"/>
          <w:sz w:val="24"/>
        </w:rPr>
        <w:t xml:space="preserve"> </w:t>
      </w:r>
      <w:r w:rsidRPr="00932EBB">
        <w:rPr>
          <w:rFonts w:ascii="Times New Roman" w:eastAsia="宋体" w:hAnsi="Times New Roman" w:cs="Times New Roman"/>
          <w:sz w:val="24"/>
        </w:rPr>
        <w:t>22100</w:t>
      </w:r>
      <w:r w:rsidR="00E204D0">
        <w:rPr>
          <w:rFonts w:ascii="Times New Roman" w:eastAsia="宋体" w:hAnsi="Times New Roman" w:cs="Times New Roman" w:hint="eastAsia"/>
          <w:sz w:val="24"/>
        </w:rPr>
        <w:t>4</w:t>
      </w:r>
      <w:r>
        <w:rPr>
          <w:rFonts w:ascii="Times New Roman" w:eastAsia="宋体" w:hAnsi="Times New Roman" w:cs="Times New Roman"/>
          <w:sz w:val="24"/>
        </w:rPr>
        <w:t xml:space="preserve">, </w:t>
      </w:r>
      <w:r w:rsidRPr="00932EBB">
        <w:rPr>
          <w:rFonts w:ascii="Times New Roman" w:eastAsia="宋体" w:hAnsi="Times New Roman" w:cs="Times New Roman"/>
          <w:sz w:val="24"/>
        </w:rPr>
        <w:t>China</w:t>
      </w:r>
      <w:r>
        <w:rPr>
          <w:rFonts w:ascii="Times New Roman" w:eastAsia="宋体" w:hAnsi="Times New Roman" w:cs="Times New Roman"/>
          <w:sz w:val="24"/>
        </w:rPr>
        <w:t>;</w:t>
      </w:r>
    </w:p>
    <w:p w14:paraId="55FC4DC1" w14:textId="77777777" w:rsidR="00D606CB" w:rsidRDefault="00000000">
      <w:pPr>
        <w:adjustRightInd w:val="0"/>
        <w:snapToGrid w:val="0"/>
        <w:spacing w:line="360" w:lineRule="auto"/>
        <w:rPr>
          <w:rFonts w:ascii="Times New Roman" w:eastAsia="宋体" w:hAnsi="Times New Roman" w:cs="Times New Roman"/>
          <w:sz w:val="24"/>
        </w:rPr>
      </w:pPr>
      <w:r w:rsidRPr="00932EBB">
        <w:rPr>
          <w:rFonts w:ascii="Times New Roman" w:eastAsia="宋体" w:hAnsi="Times New Roman" w:cs="Times New Roman"/>
          <w:sz w:val="24"/>
        </w:rPr>
        <w:t>2</w:t>
      </w:r>
      <w:r>
        <w:rPr>
          <w:rFonts w:ascii="Times New Roman" w:eastAsia="宋体" w:hAnsi="Times New Roman" w:cs="Times New Roman"/>
          <w:sz w:val="24"/>
        </w:rPr>
        <w:t>.</w:t>
      </w:r>
      <w:r w:rsidRPr="00932EBB">
        <w:rPr>
          <w:rFonts w:ascii="Times New Roman" w:eastAsia="宋体" w:hAnsi="Times New Roman" w:cs="Times New Roman"/>
          <w:sz w:val="24"/>
        </w:rPr>
        <w:t>Department</w:t>
      </w:r>
      <w:r>
        <w:rPr>
          <w:rFonts w:ascii="Times New Roman" w:eastAsia="宋体" w:hAnsi="Times New Roman" w:cs="Times New Roman"/>
          <w:sz w:val="24"/>
        </w:rPr>
        <w:t xml:space="preserve"> </w:t>
      </w:r>
      <w:r w:rsidRPr="00932EBB">
        <w:rPr>
          <w:rFonts w:ascii="Times New Roman" w:eastAsia="宋体" w:hAnsi="Times New Roman" w:cs="Times New Roman"/>
          <w:sz w:val="24"/>
        </w:rPr>
        <w:t>of</w:t>
      </w:r>
      <w:r>
        <w:rPr>
          <w:rFonts w:ascii="Times New Roman" w:eastAsia="宋体" w:hAnsi="Times New Roman" w:cs="Times New Roman"/>
          <w:sz w:val="24"/>
        </w:rPr>
        <w:t xml:space="preserve"> </w:t>
      </w:r>
      <w:r w:rsidRPr="00932EBB">
        <w:rPr>
          <w:rFonts w:ascii="Times New Roman" w:eastAsia="宋体" w:hAnsi="Times New Roman" w:cs="Times New Roman"/>
          <w:sz w:val="24"/>
        </w:rPr>
        <w:t>Radiation</w:t>
      </w:r>
      <w:r>
        <w:rPr>
          <w:rFonts w:ascii="Times New Roman" w:eastAsia="宋体" w:hAnsi="Times New Roman" w:cs="Times New Roman"/>
          <w:sz w:val="24"/>
        </w:rPr>
        <w:t xml:space="preserve"> </w:t>
      </w:r>
      <w:r w:rsidRPr="00932EBB">
        <w:rPr>
          <w:rFonts w:ascii="Times New Roman" w:eastAsia="宋体" w:hAnsi="Times New Roman" w:cs="Times New Roman"/>
          <w:sz w:val="24"/>
        </w:rPr>
        <w:t>Oncology</w:t>
      </w:r>
      <w:r>
        <w:rPr>
          <w:rFonts w:ascii="Times New Roman" w:eastAsia="宋体" w:hAnsi="Times New Roman" w:cs="Times New Roman"/>
          <w:sz w:val="24"/>
        </w:rPr>
        <w:t xml:space="preserve">, </w:t>
      </w:r>
      <w:r w:rsidRPr="00932EBB">
        <w:rPr>
          <w:rFonts w:ascii="Times New Roman" w:eastAsia="宋体" w:hAnsi="Times New Roman" w:cs="Times New Roman"/>
          <w:sz w:val="24"/>
        </w:rPr>
        <w:t>The</w:t>
      </w:r>
      <w:r>
        <w:rPr>
          <w:rFonts w:ascii="Times New Roman" w:eastAsia="宋体" w:hAnsi="Times New Roman" w:cs="Times New Roman"/>
          <w:sz w:val="24"/>
        </w:rPr>
        <w:t xml:space="preserve"> </w:t>
      </w:r>
      <w:r w:rsidRPr="00932EBB">
        <w:rPr>
          <w:rFonts w:ascii="Times New Roman" w:eastAsia="宋体" w:hAnsi="Times New Roman" w:cs="Times New Roman"/>
          <w:sz w:val="24"/>
        </w:rPr>
        <w:t>Affiliated</w:t>
      </w:r>
      <w:r>
        <w:rPr>
          <w:rFonts w:ascii="Times New Roman" w:eastAsia="宋体" w:hAnsi="Times New Roman" w:cs="Times New Roman"/>
          <w:sz w:val="24"/>
        </w:rPr>
        <w:t xml:space="preserve"> </w:t>
      </w:r>
      <w:r w:rsidRPr="00932EBB">
        <w:rPr>
          <w:rFonts w:ascii="Times New Roman" w:eastAsia="宋体" w:hAnsi="Times New Roman" w:cs="Times New Roman"/>
          <w:sz w:val="24"/>
        </w:rPr>
        <w:t>Cancer</w:t>
      </w:r>
      <w:r>
        <w:rPr>
          <w:rFonts w:ascii="Times New Roman" w:eastAsia="宋体" w:hAnsi="Times New Roman" w:cs="Times New Roman"/>
          <w:sz w:val="24"/>
        </w:rPr>
        <w:t xml:space="preserve"> </w:t>
      </w:r>
      <w:r w:rsidRPr="00932EBB">
        <w:rPr>
          <w:rFonts w:ascii="Times New Roman" w:eastAsia="宋体" w:hAnsi="Times New Roman" w:cs="Times New Roman"/>
          <w:sz w:val="24"/>
        </w:rPr>
        <w:t>Hospital</w:t>
      </w:r>
      <w:r>
        <w:rPr>
          <w:rFonts w:ascii="Times New Roman" w:eastAsia="宋体" w:hAnsi="Times New Roman" w:cs="Times New Roman"/>
          <w:sz w:val="24"/>
        </w:rPr>
        <w:t xml:space="preserve"> </w:t>
      </w:r>
      <w:r w:rsidRPr="00932EBB">
        <w:rPr>
          <w:rFonts w:ascii="Times New Roman" w:eastAsia="宋体" w:hAnsi="Times New Roman" w:cs="Times New Roman"/>
          <w:sz w:val="24"/>
        </w:rPr>
        <w:t>of</w:t>
      </w:r>
      <w:r>
        <w:rPr>
          <w:rFonts w:ascii="Times New Roman" w:eastAsia="宋体" w:hAnsi="Times New Roman" w:cs="Times New Roman"/>
          <w:sz w:val="24"/>
        </w:rPr>
        <w:t xml:space="preserve"> </w:t>
      </w:r>
      <w:r w:rsidRPr="00932EBB">
        <w:rPr>
          <w:rFonts w:ascii="Times New Roman" w:eastAsia="宋体" w:hAnsi="Times New Roman" w:cs="Times New Roman"/>
          <w:sz w:val="24"/>
        </w:rPr>
        <w:t>Nanjing</w:t>
      </w:r>
      <w:r>
        <w:rPr>
          <w:rFonts w:ascii="Times New Roman" w:eastAsia="宋体" w:hAnsi="Times New Roman" w:cs="Times New Roman"/>
          <w:sz w:val="24"/>
        </w:rPr>
        <w:t xml:space="preserve"> </w:t>
      </w:r>
      <w:r w:rsidRPr="00932EBB">
        <w:rPr>
          <w:rFonts w:ascii="Times New Roman" w:eastAsia="宋体" w:hAnsi="Times New Roman" w:cs="Times New Roman"/>
          <w:sz w:val="24"/>
        </w:rPr>
        <w:t>Medical</w:t>
      </w:r>
      <w:r>
        <w:rPr>
          <w:rFonts w:ascii="Times New Roman" w:eastAsia="宋体" w:hAnsi="Times New Roman" w:cs="Times New Roman"/>
          <w:sz w:val="24"/>
        </w:rPr>
        <w:t xml:space="preserve"> </w:t>
      </w:r>
      <w:r w:rsidRPr="00932EBB">
        <w:rPr>
          <w:rFonts w:ascii="Times New Roman" w:eastAsia="宋体" w:hAnsi="Times New Roman" w:cs="Times New Roman"/>
          <w:sz w:val="24"/>
        </w:rPr>
        <w:t>University</w:t>
      </w:r>
      <w:r>
        <w:rPr>
          <w:rFonts w:ascii="Times New Roman" w:eastAsia="宋体" w:hAnsi="Times New Roman" w:cs="Times New Roman"/>
          <w:sz w:val="24"/>
        </w:rPr>
        <w:t xml:space="preserve">, </w:t>
      </w:r>
      <w:r w:rsidRPr="00932EBB">
        <w:rPr>
          <w:rFonts w:ascii="Times New Roman" w:eastAsia="宋体" w:hAnsi="Times New Roman" w:cs="Times New Roman"/>
          <w:sz w:val="24"/>
        </w:rPr>
        <w:t>Jiangsu</w:t>
      </w:r>
      <w:r>
        <w:rPr>
          <w:rFonts w:ascii="Times New Roman" w:eastAsia="宋体" w:hAnsi="Times New Roman" w:cs="Times New Roman"/>
          <w:sz w:val="24"/>
        </w:rPr>
        <w:t xml:space="preserve"> </w:t>
      </w:r>
      <w:r w:rsidRPr="00932EBB">
        <w:rPr>
          <w:rFonts w:ascii="Times New Roman" w:eastAsia="宋体" w:hAnsi="Times New Roman" w:cs="Times New Roman"/>
          <w:sz w:val="24"/>
        </w:rPr>
        <w:t>Cancer</w:t>
      </w:r>
      <w:r>
        <w:rPr>
          <w:rFonts w:ascii="Times New Roman" w:eastAsia="宋体" w:hAnsi="Times New Roman" w:cs="Times New Roman"/>
          <w:sz w:val="24"/>
        </w:rPr>
        <w:t xml:space="preserve"> </w:t>
      </w:r>
      <w:r w:rsidRPr="00932EBB">
        <w:rPr>
          <w:rFonts w:ascii="Times New Roman" w:eastAsia="宋体" w:hAnsi="Times New Roman" w:cs="Times New Roman"/>
          <w:sz w:val="24"/>
        </w:rPr>
        <w:t>Hospital</w:t>
      </w:r>
      <w:r>
        <w:rPr>
          <w:rFonts w:ascii="Times New Roman" w:eastAsia="宋体" w:hAnsi="Times New Roman" w:cs="Times New Roman"/>
          <w:sz w:val="24"/>
        </w:rPr>
        <w:t xml:space="preserve">, </w:t>
      </w:r>
      <w:r w:rsidRPr="00932EBB">
        <w:rPr>
          <w:rFonts w:ascii="Times New Roman" w:eastAsia="宋体" w:hAnsi="Times New Roman" w:cs="Times New Roman"/>
          <w:sz w:val="24"/>
        </w:rPr>
        <w:t>Nanjing</w:t>
      </w:r>
      <w:r>
        <w:rPr>
          <w:rFonts w:ascii="Times New Roman" w:eastAsia="宋体" w:hAnsi="Times New Roman" w:cs="Times New Roman"/>
          <w:sz w:val="24"/>
        </w:rPr>
        <w:t xml:space="preserve"> </w:t>
      </w:r>
      <w:r w:rsidRPr="00932EBB">
        <w:rPr>
          <w:rFonts w:ascii="Times New Roman" w:eastAsia="宋体" w:hAnsi="Times New Roman" w:cs="Times New Roman"/>
          <w:sz w:val="24"/>
        </w:rPr>
        <w:t>210009</w:t>
      </w:r>
      <w:r>
        <w:rPr>
          <w:rFonts w:ascii="Times New Roman" w:eastAsia="宋体" w:hAnsi="Times New Roman" w:cs="Times New Roman"/>
          <w:sz w:val="24"/>
        </w:rPr>
        <w:t xml:space="preserve">, </w:t>
      </w:r>
      <w:r w:rsidRPr="00932EBB">
        <w:rPr>
          <w:rFonts w:ascii="Times New Roman" w:eastAsia="宋体" w:hAnsi="Times New Roman" w:cs="Times New Roman"/>
          <w:sz w:val="24"/>
        </w:rPr>
        <w:t>China</w:t>
      </w:r>
      <w:r>
        <w:rPr>
          <w:rFonts w:ascii="Times New Roman" w:eastAsia="宋体" w:hAnsi="Times New Roman" w:cs="Times New Roman"/>
          <w:sz w:val="24"/>
        </w:rPr>
        <w:t>;</w:t>
      </w:r>
    </w:p>
    <w:p w14:paraId="4B3FBE0E" w14:textId="77777777" w:rsidR="00D606CB" w:rsidRDefault="00000000">
      <w:pPr>
        <w:adjustRightInd w:val="0"/>
        <w:snapToGrid w:val="0"/>
        <w:spacing w:line="360" w:lineRule="auto"/>
        <w:rPr>
          <w:rFonts w:ascii="Times New Roman" w:eastAsia="宋体" w:hAnsi="Times New Roman" w:cs="Times New Roman"/>
          <w:sz w:val="24"/>
        </w:rPr>
      </w:pPr>
      <w:r w:rsidRPr="00932EBB">
        <w:rPr>
          <w:rFonts w:ascii="Times New Roman" w:eastAsia="宋体" w:hAnsi="Times New Roman" w:cs="Times New Roman" w:hint="eastAsia"/>
          <w:sz w:val="24"/>
        </w:rPr>
        <w:t>Corresponding</w:t>
      </w:r>
      <w:r>
        <w:rPr>
          <w:rFonts w:ascii="Times New Roman" w:eastAsia="宋体" w:hAnsi="Times New Roman" w:cs="Times New Roman" w:hint="eastAsia"/>
          <w:sz w:val="24"/>
        </w:rPr>
        <w:t xml:space="preserve"> </w:t>
      </w:r>
      <w:r w:rsidRPr="00932EBB">
        <w:rPr>
          <w:rFonts w:ascii="Times New Roman" w:eastAsia="宋体" w:hAnsi="Times New Roman" w:cs="Times New Roman" w:hint="eastAsia"/>
          <w:sz w:val="24"/>
        </w:rPr>
        <w:t>Author</w:t>
      </w:r>
      <w:r>
        <w:rPr>
          <w:rFonts w:ascii="Times New Roman" w:eastAsia="宋体" w:hAnsi="Times New Roman" w:cs="Times New Roman" w:hint="eastAsia"/>
          <w:sz w:val="24"/>
        </w:rPr>
        <w:t xml:space="preserve">: </w:t>
      </w:r>
      <w:r w:rsidRPr="00932EBB">
        <w:rPr>
          <w:rFonts w:ascii="Times New Roman" w:eastAsia="宋体" w:hAnsi="Times New Roman" w:cs="Times New Roman" w:hint="eastAsia"/>
          <w:sz w:val="24"/>
        </w:rPr>
        <w:t>He</w:t>
      </w:r>
      <w:r>
        <w:rPr>
          <w:rFonts w:ascii="Times New Roman" w:eastAsia="宋体" w:hAnsi="Times New Roman" w:cs="Times New Roman" w:hint="eastAsia"/>
          <w:sz w:val="24"/>
        </w:rPr>
        <w:t xml:space="preserve"> </w:t>
      </w:r>
      <w:r w:rsidRPr="00932EBB">
        <w:rPr>
          <w:rFonts w:ascii="Times New Roman" w:eastAsia="宋体" w:hAnsi="Times New Roman" w:cs="Times New Roman" w:hint="eastAsia"/>
          <w:sz w:val="24"/>
        </w:rPr>
        <w:t>Xia</w:t>
      </w:r>
      <w:r>
        <w:rPr>
          <w:rFonts w:ascii="Times New Roman" w:eastAsia="宋体" w:hAnsi="Times New Roman" w:cs="Times New Roman" w:hint="eastAsia"/>
          <w:sz w:val="24"/>
        </w:rPr>
        <w:t xml:space="preserve">, </w:t>
      </w:r>
      <w:r w:rsidRPr="00932EBB">
        <w:rPr>
          <w:rFonts w:ascii="Times New Roman" w:eastAsia="宋体" w:hAnsi="Times New Roman" w:cs="Times New Roman" w:hint="eastAsia"/>
          <w:sz w:val="24"/>
        </w:rPr>
        <w:t>Email</w:t>
      </w:r>
      <w:r>
        <w:rPr>
          <w:rFonts w:ascii="Times New Roman" w:eastAsia="宋体" w:hAnsi="Times New Roman" w:cs="Times New Roman" w:hint="eastAsia"/>
          <w:sz w:val="24"/>
        </w:rPr>
        <w:t xml:space="preserve">: </w:t>
      </w:r>
      <w:r w:rsidRPr="00932EBB">
        <w:rPr>
          <w:rFonts w:ascii="Times New Roman" w:eastAsia="宋体" w:hAnsi="Times New Roman" w:cs="Times New Roman" w:hint="eastAsia"/>
          <w:sz w:val="24"/>
        </w:rPr>
        <w:t>hexiabm</w:t>
      </w:r>
      <w:r>
        <w:rPr>
          <w:rFonts w:ascii="Times New Roman" w:eastAsia="宋体" w:hAnsi="Times New Roman" w:cs="Times New Roman" w:hint="eastAsia"/>
          <w:sz w:val="24"/>
        </w:rPr>
        <w:t>@</w:t>
      </w:r>
      <w:r w:rsidRPr="00932EBB">
        <w:rPr>
          <w:rFonts w:ascii="Times New Roman" w:eastAsia="宋体" w:hAnsi="Times New Roman" w:cs="Times New Roman" w:hint="eastAsia"/>
          <w:sz w:val="24"/>
        </w:rPr>
        <w:t>163</w:t>
      </w:r>
      <w:r>
        <w:rPr>
          <w:rFonts w:ascii="Times New Roman" w:eastAsia="宋体" w:hAnsi="Times New Roman" w:cs="Times New Roman" w:hint="eastAsia"/>
          <w:sz w:val="24"/>
        </w:rPr>
        <w:t>.</w:t>
      </w:r>
      <w:r w:rsidRPr="00932EBB">
        <w:rPr>
          <w:rFonts w:ascii="Times New Roman" w:eastAsia="宋体" w:hAnsi="Times New Roman" w:cs="Times New Roman" w:hint="eastAsia"/>
          <w:sz w:val="24"/>
        </w:rPr>
        <w:t>com</w:t>
      </w:r>
    </w:p>
    <w:p w14:paraId="676AE9DD" w14:textId="5A1174A6" w:rsidR="00D606CB" w:rsidRDefault="00000000">
      <w:pPr>
        <w:adjustRightInd w:val="0"/>
        <w:snapToGrid w:val="0"/>
        <w:spacing w:after="0" w:line="360" w:lineRule="auto"/>
        <w:rPr>
          <w:rFonts w:ascii="Times New Roman" w:eastAsia="宋体" w:hAnsi="Times New Roman" w:cs="Times New Roman"/>
          <w:kern w:val="0"/>
          <w:sz w:val="24"/>
          <w14:ligatures w14:val="none"/>
        </w:rPr>
      </w:pPr>
      <w:r>
        <w:rPr>
          <w:rFonts w:ascii="Times New Roman" w:eastAsia="宋体" w:hAnsi="Times New Roman" w:cs="Times New Roman" w:hint="eastAsia"/>
          <w:b/>
          <w:bCs/>
          <w:sz w:val="24"/>
        </w:rPr>
        <w:t>【</w:t>
      </w:r>
      <w:r w:rsidRPr="00932EBB">
        <w:rPr>
          <w:rFonts w:ascii="Times New Roman" w:eastAsia="宋体" w:hAnsi="Times New Roman" w:cs="Times New Roman"/>
          <w:b/>
          <w:bCs/>
          <w:sz w:val="24"/>
        </w:rPr>
        <w:t>Abstract</w:t>
      </w:r>
      <w:r>
        <w:rPr>
          <w:rFonts w:ascii="Times New Roman" w:eastAsia="宋体" w:hAnsi="Times New Roman" w:cs="Times New Roman" w:hint="eastAsia"/>
          <w:b/>
          <w:bCs/>
          <w:sz w:val="24"/>
        </w:rPr>
        <w:t>】</w:t>
      </w:r>
      <w:r w:rsidRPr="00932EBB">
        <w:rPr>
          <w:rFonts w:ascii="Times New Roman" w:eastAsia="宋体" w:hAnsi="Times New Roman" w:cs="Times New Roman"/>
          <w:b/>
          <w:bCs/>
          <w:kern w:val="0"/>
          <w:sz w:val="24"/>
          <w14:ligatures w14:val="none"/>
        </w:rPr>
        <w:t>Objective</w:t>
      </w:r>
      <w:r>
        <w:rPr>
          <w:rFonts w:ascii="Times New Roman" w:eastAsia="宋体" w:hAnsi="Times New Roman" w:cs="Times New Roman"/>
          <w:kern w:val="0"/>
          <w:sz w:val="24"/>
          <w14:ligatures w14:val="none"/>
        </w:rPr>
        <w:t>:</w:t>
      </w:r>
      <w:r w:rsidR="00E204D0" w:rsidRPr="00E204D0">
        <w:t xml:space="preserve"> </w:t>
      </w:r>
      <w:r w:rsidR="00E204D0" w:rsidRPr="00E204D0">
        <w:rPr>
          <w:rFonts w:ascii="Times New Roman" w:eastAsia="宋体" w:hAnsi="Times New Roman" w:cs="Times New Roman"/>
          <w:kern w:val="0"/>
          <w:sz w:val="24"/>
          <w14:ligatures w14:val="none"/>
        </w:rPr>
        <w:t>To investigate the short-term efficacy and safety of anti-programmed death-1 (PD-1) inhibitors combined with nimotuzumab and induction chemotherapy in locoregionally advanced nasopharyngeal carcinoma</w:t>
      </w:r>
      <w:r>
        <w:rPr>
          <w:rFonts w:ascii="Times New Roman" w:eastAsia="宋体" w:hAnsi="Times New Roman" w:cs="Times New Roman"/>
          <w:sz w:val="24"/>
        </w:rPr>
        <w:t>.</w:t>
      </w:r>
      <w:r w:rsidRPr="00932EBB">
        <w:rPr>
          <w:rFonts w:ascii="Times New Roman" w:eastAsia="宋体" w:hAnsi="Times New Roman" w:cs="Times New Roman" w:hint="eastAsia"/>
          <w:b/>
          <w:bCs/>
          <w:kern w:val="0"/>
          <w:sz w:val="24"/>
          <w14:ligatures w14:val="none"/>
        </w:rPr>
        <w:t>Methods</w:t>
      </w:r>
      <w:r>
        <w:rPr>
          <w:rFonts w:ascii="Times New Roman" w:eastAsia="宋体" w:hAnsi="Times New Roman" w:cs="Times New Roman" w:hint="eastAsia"/>
          <w:kern w:val="0"/>
          <w:sz w:val="24"/>
          <w14:ligatures w14:val="none"/>
        </w:rPr>
        <w:t>:</w:t>
      </w:r>
      <w:r>
        <w:rPr>
          <w:rFonts w:ascii="Times New Roman" w:eastAsia="宋体" w:hAnsi="Times New Roman"/>
        </w:rPr>
        <w:t xml:space="preserve"> </w:t>
      </w:r>
      <w:r w:rsidR="00E204D0" w:rsidRPr="00E204D0">
        <w:rPr>
          <w:rFonts w:ascii="Times New Roman" w:eastAsia="宋体" w:hAnsi="Times New Roman"/>
        </w:rPr>
        <w:t>The clinical data of 104 patients with locoregionally advanced nasopharyngeal carcinoma treated at Jiangsu Cancer Hospital from January 2023 to December 2023 were retrospectively analyzed. According to the induction regimen, the patients were divided into an induction chemotherapy alone group (IC group, n=74) and an induction chemotherapy plus PD-1 inhibitors and nimotuzumab group (ICIT group, n=30). After propensity score matching (PSM), 60 patients were included in the matched cohort, including 30 in the IC group and 30 in the ICIT group. Short-term response was evaluated according to the Response Evaluation Criteria in Solid Tumors version 1.1 (RECIST 1.1), and treatment-related adverse events were compared between the two groups. Multivariable logistic regression analysis was performed to identify factors associated with objective response rate (ORR) after induction therapy.</w:t>
      </w:r>
      <w:r w:rsidRPr="00932EBB">
        <w:rPr>
          <w:rFonts w:ascii="Times New Roman" w:eastAsia="宋体" w:hAnsi="Times New Roman" w:cs="Times New Roman" w:hint="eastAsia"/>
          <w:b/>
          <w:bCs/>
          <w:kern w:val="0"/>
          <w:sz w:val="24"/>
          <w14:ligatures w14:val="none"/>
        </w:rPr>
        <w:t>Results</w:t>
      </w:r>
      <w:r>
        <w:rPr>
          <w:rFonts w:ascii="Times New Roman" w:eastAsia="宋体" w:hAnsi="Times New Roman" w:cs="Times New Roman" w:hint="eastAsia"/>
          <w:kern w:val="0"/>
          <w:sz w:val="24"/>
          <w14:ligatures w14:val="none"/>
        </w:rPr>
        <w:t>:</w:t>
      </w:r>
      <w:r>
        <w:rPr>
          <w:rFonts w:ascii="Times New Roman" w:eastAsia="宋体" w:hAnsi="Times New Roman"/>
        </w:rPr>
        <w:t xml:space="preserve"> </w:t>
      </w:r>
      <w:r w:rsidR="00E204D0" w:rsidRPr="00E204D0">
        <w:rPr>
          <w:rFonts w:ascii="Times New Roman" w:eastAsia="宋体" w:hAnsi="Times New Roman"/>
        </w:rPr>
        <w:t xml:space="preserve">After propensity score matching, a total of 60 patients were included, with 30 patients in the IC group and 30 patients in the ICIT group. At the end of induction therapy, the ORR was significantly higher in the ICIT group than in the IC group (100.0% vs 80.0%, </w:t>
      </w:r>
      <w:r w:rsidR="00E204D0" w:rsidRPr="00E204D0">
        <w:rPr>
          <w:rFonts w:ascii="Times New Roman" w:eastAsia="宋体" w:hAnsi="Times New Roman"/>
        </w:rPr>
        <w:lastRenderedPageBreak/>
        <w:t>30/30 vs 24/30, P=0.024). In the IC group, 2 patients achieved complete response (CR), 22 achieved partial response (PR), and 6 had stable disease (SD), whereas the corresponding numbers in the ICIT group were 5, 25, and 0, respectively. At 3 months after concurrent chemoradiotherapy, the ORR was 100.0% in both groups, whereas the CR rate was higher in the ICIT group than in the IC group (93.3% vs 70.0%, 28/30 vs 21/30, P=0.042). Multivariable logistic regression analysis showed that age ≥60 years was associated with a lower ORR after induction therapy (OR=0.26, 95%CI: 0.07-0.91, P=0.042). In terms of safety, the overall incidence of grade 3-4 adverse events was similar between the two groups. The incidence of grade 3-4 oral mucositis was higher in the ICIT group than in the IC group (40.0% vs 16.7%, 12/30 vs 5/30, P=0.084), but the difference was not statistically significant.</w:t>
      </w:r>
      <w:r w:rsidRPr="00932EBB">
        <w:rPr>
          <w:rFonts w:ascii="Times New Roman" w:eastAsia="宋体" w:hAnsi="Times New Roman" w:cs="Times New Roman" w:hint="eastAsia"/>
          <w:b/>
          <w:bCs/>
          <w:kern w:val="0"/>
          <w:sz w:val="24"/>
          <w14:ligatures w14:val="none"/>
        </w:rPr>
        <w:t>Conclusion</w:t>
      </w:r>
      <w:r>
        <w:rPr>
          <w:rFonts w:ascii="Times New Roman" w:eastAsia="宋体" w:hAnsi="Times New Roman" w:cs="Times New Roman" w:hint="eastAsia"/>
          <w:kern w:val="0"/>
          <w:sz w:val="24"/>
          <w14:ligatures w14:val="none"/>
        </w:rPr>
        <w:t>:</w:t>
      </w:r>
      <w:r>
        <w:rPr>
          <w:rFonts w:ascii="Times New Roman" w:eastAsia="宋体" w:hAnsi="Times New Roman"/>
        </w:rPr>
        <w:t xml:space="preserve"> </w:t>
      </w:r>
      <w:r w:rsidRPr="00932EBB">
        <w:rPr>
          <w:rFonts w:ascii="Times New Roman" w:eastAsia="宋体" w:hAnsi="Times New Roman" w:cs="Times New Roman"/>
          <w:kern w:val="0"/>
          <w:sz w:val="24"/>
          <w14:ligatures w14:val="none"/>
        </w:rPr>
        <w:t>In</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patients</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with</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locoregionally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advanced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nasopharyngeal</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carcinoma</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induction</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chemotherapy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combined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with</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PD</w:t>
      </w:r>
      <w:r>
        <w:rPr>
          <w:rFonts w:ascii="Times New Roman" w:eastAsia="宋体" w:hAnsi="Times New Roman" w:cs="Times New Roman"/>
          <w:kern w:val="0"/>
          <w:sz w:val="24"/>
          <w14:ligatures w14:val="none"/>
        </w:rPr>
        <w:t>-</w:t>
      </w:r>
      <w:r w:rsidRPr="00932EBB">
        <w:rPr>
          <w:rFonts w:ascii="Times New Roman" w:eastAsia="宋体" w:hAnsi="Times New Roman" w:cs="Times New Roman"/>
          <w:kern w:val="0"/>
          <w:sz w:val="24"/>
          <w14:ligatures w14:val="none"/>
        </w:rPr>
        <w:t>1</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inhibitor</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and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nimotuzumab</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can</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significantly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improve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the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ORR</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and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reduce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without</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substantial</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increase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severe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toxicity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providing</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more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favorable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starting</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point</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for</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subsequent</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radiotherapy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and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demonstrating</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potential</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clinical</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value</w:t>
      </w:r>
      <w:r>
        <w:rPr>
          <w:rFonts w:ascii="Times New Roman" w:eastAsia="宋体" w:hAnsi="Times New Roman" w:cs="Times New Roman"/>
          <w:kern w:val="0"/>
          <w:sz w:val="24"/>
          <w14:ligatures w14:val="none"/>
        </w:rPr>
        <w:t>.</w:t>
      </w:r>
    </w:p>
    <w:p w14:paraId="0B9AA7C4" w14:textId="77777777" w:rsidR="00D606CB" w:rsidRDefault="00000000">
      <w:pPr>
        <w:widowControl/>
        <w:adjustRightInd w:val="0"/>
        <w:snapToGrid w:val="0"/>
        <w:spacing w:after="0" w:line="360" w:lineRule="auto"/>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w:t>
      </w:r>
      <w:r w:rsidRPr="00932EBB">
        <w:rPr>
          <w:rFonts w:ascii="Times New Roman" w:eastAsia="宋体" w:hAnsi="Times New Roman" w:cs="Times New Roman"/>
          <w:kern w:val="0"/>
          <w:sz w:val="24"/>
          <w14:ligatures w14:val="none"/>
        </w:rPr>
        <w:t>Keywords</w:t>
      </w:r>
      <w:r>
        <w:rPr>
          <w:rFonts w:ascii="Times New Roman" w:eastAsia="宋体" w:hAnsi="Times New Roman" w:cs="Times New Roman" w:hint="eastAsia"/>
          <w:kern w:val="0"/>
          <w:sz w:val="24"/>
          <w14:ligatures w14:val="none"/>
        </w:rPr>
        <w:t>】</w:t>
      </w:r>
      <w:r>
        <w:rPr>
          <w:rFonts w:ascii="Times New Roman" w:eastAsia="宋体" w:hAnsi="Times New Roman" w:cs="Times New Roman"/>
          <w:kern w:val="0"/>
          <w:sz w:val="24"/>
          <w14:ligatures w14:val="none"/>
        </w:rPr>
        <w:t>:</w:t>
      </w:r>
      <w:r w:rsidRPr="00932EBB">
        <w:rPr>
          <w:rFonts w:ascii="Times New Roman" w:eastAsia="宋体" w:hAnsi="Times New Roman" w:cs="Times New Roman"/>
          <w:kern w:val="0"/>
          <w:sz w:val="24"/>
          <w14:ligatures w14:val="none"/>
        </w:rPr>
        <w:t>nasopharyngeal</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carcinoma</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locoregionally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advanced</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PD</w:t>
      </w:r>
      <w:r>
        <w:rPr>
          <w:rFonts w:ascii="Times New Roman" w:eastAsia="宋体" w:hAnsi="Times New Roman" w:cs="Times New Roman"/>
          <w:kern w:val="0"/>
          <w:sz w:val="24"/>
          <w14:ligatures w14:val="none"/>
        </w:rPr>
        <w:t>-</w:t>
      </w:r>
      <w:r w:rsidRPr="00932EBB">
        <w:rPr>
          <w:rFonts w:ascii="Times New Roman" w:eastAsia="宋体" w:hAnsi="Times New Roman" w:cs="Times New Roman"/>
          <w:kern w:val="0"/>
          <w:sz w:val="24"/>
          <w14:ligatures w14:val="none"/>
        </w:rPr>
        <w:t>1</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inhibitor</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nimotuzumab</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induction</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chemotherapy</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objective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response</w:t>
      </w:r>
      <w:r>
        <w:rPr>
          <w:rFonts w:ascii="Times New Roman" w:eastAsia="宋体" w:hAnsi="Times New Roman" w:cs="Times New Roman"/>
          <w:kern w:val="0"/>
          <w:sz w:val="24"/>
          <w14:ligatures w14:val="none"/>
        </w:rPr>
        <w:t xml:space="preserve"> </w:t>
      </w:r>
      <w:r w:rsidRPr="00932EBB">
        <w:rPr>
          <w:rFonts w:ascii="Times New Roman" w:eastAsia="宋体" w:hAnsi="Times New Roman" w:cs="Times New Roman"/>
          <w:kern w:val="0"/>
          <w:sz w:val="24"/>
          <w14:ligatures w14:val="none"/>
        </w:rPr>
        <w:t>rate</w:t>
      </w:r>
    </w:p>
    <w:p w14:paraId="4722D3EF" w14:textId="77777777" w:rsidR="00D606CB" w:rsidRDefault="00000000">
      <w:pPr>
        <w:pStyle w:val="a9"/>
        <w:adjustRightInd w:val="0"/>
        <w:snapToGrid w:val="0"/>
        <w:spacing w:after="0" w:line="360" w:lineRule="auto"/>
        <w:ind w:firstLineChars="200" w:firstLine="480"/>
        <w:rPr>
          <w:rFonts w:ascii="Times New Roman" w:hAnsi="Times New Roman"/>
        </w:rPr>
      </w:pPr>
      <w:r>
        <w:rPr>
          <w:rFonts w:ascii="Times New Roman" w:hAnsi="Times New Roman" w:hint="eastAsia"/>
        </w:rPr>
        <w:t>鼻咽癌（</w:t>
      </w:r>
      <w:r w:rsidRPr="00932EBB">
        <w:rPr>
          <w:rFonts w:ascii="Times New Roman" w:hAnsi="Times New Roman" w:hint="eastAsia"/>
        </w:rPr>
        <w:t>nasopharyngeal</w:t>
      </w:r>
      <w:r>
        <w:rPr>
          <w:rFonts w:ascii="Times New Roman" w:hAnsi="Times New Roman" w:hint="eastAsia"/>
        </w:rPr>
        <w:t xml:space="preserve"> </w:t>
      </w:r>
      <w:r w:rsidRPr="00932EBB">
        <w:rPr>
          <w:rFonts w:ascii="Times New Roman" w:hAnsi="Times New Roman" w:hint="eastAsia"/>
        </w:rPr>
        <w:t>carcinoma</w:t>
      </w:r>
      <w:r>
        <w:rPr>
          <w:rFonts w:ascii="Times New Roman" w:hAnsi="Times New Roman" w:hint="eastAsia"/>
        </w:rPr>
        <w:t>，</w:t>
      </w:r>
      <w:r w:rsidRPr="00932EBB">
        <w:rPr>
          <w:rFonts w:ascii="Times New Roman" w:hAnsi="Times New Roman" w:hint="eastAsia"/>
        </w:rPr>
        <w:t>NPC</w:t>
      </w:r>
      <w:r>
        <w:rPr>
          <w:rFonts w:ascii="Times New Roman" w:hAnsi="Times New Roman" w:hint="eastAsia"/>
        </w:rPr>
        <w:t>）具有显著的地域分布特征，约</w:t>
      </w:r>
      <w:r w:rsidRPr="00932EBB">
        <w:rPr>
          <w:rFonts w:ascii="Times New Roman" w:hAnsi="Times New Roman" w:hint="eastAsia"/>
        </w:rPr>
        <w:t>70</w:t>
      </w:r>
      <w:r>
        <w:rPr>
          <w:rFonts w:ascii="Times New Roman" w:hAnsi="Times New Roman" w:hint="eastAsia"/>
        </w:rPr>
        <w:t>%</w:t>
      </w:r>
      <w:r>
        <w:rPr>
          <w:rFonts w:ascii="Times New Roman" w:hAnsi="Times New Roman" w:hint="eastAsia"/>
        </w:rPr>
        <w:t>的患者确诊时已处于局晚期</w:t>
      </w:r>
      <w:r>
        <w:rPr>
          <w:rFonts w:ascii="Times New Roman" w:hAnsi="Times New Roman" w:hint="eastAsia"/>
          <w:vertAlign w:val="superscript"/>
        </w:rPr>
        <w:t>[</w:t>
      </w:r>
      <w:r w:rsidRPr="00932EBB">
        <w:rPr>
          <w:rFonts w:ascii="Times New Roman" w:hAnsi="Times New Roman" w:hint="eastAsia"/>
          <w:vertAlign w:val="superscript"/>
        </w:rPr>
        <w:t>1</w:t>
      </w:r>
      <w:r>
        <w:rPr>
          <w:rFonts w:ascii="Times New Roman" w:hAnsi="Times New Roman" w:hint="eastAsia"/>
          <w:vertAlign w:val="superscript"/>
        </w:rPr>
        <w:t>-</w:t>
      </w:r>
      <w:r w:rsidRPr="00932EBB">
        <w:rPr>
          <w:rFonts w:ascii="Times New Roman" w:hAnsi="Times New Roman" w:hint="eastAsia"/>
          <w:vertAlign w:val="superscript"/>
        </w:rPr>
        <w:t>4</w:t>
      </w:r>
      <w:r>
        <w:rPr>
          <w:rFonts w:ascii="Times New Roman" w:hAnsi="Times New Roman" w:hint="eastAsia"/>
          <w:vertAlign w:val="superscript"/>
        </w:rPr>
        <w:t>]</w:t>
      </w:r>
      <w:r>
        <w:rPr>
          <w:rFonts w:ascii="Times New Roman" w:hAnsi="Times New Roman" w:hint="eastAsia"/>
        </w:rPr>
        <w:t>。目前，“诱导化疗联合同步放化疗”是局晚期鼻咽癌的标准治疗模式</w:t>
      </w:r>
      <w:r>
        <w:rPr>
          <w:rFonts w:ascii="Times New Roman" w:hAnsi="Times New Roman" w:hint="eastAsia"/>
          <w:vertAlign w:val="superscript"/>
        </w:rPr>
        <w:t>[</w:t>
      </w:r>
      <w:r w:rsidRPr="00932EBB">
        <w:rPr>
          <w:rFonts w:ascii="Times New Roman" w:hAnsi="Times New Roman" w:hint="eastAsia"/>
          <w:vertAlign w:val="superscript"/>
        </w:rPr>
        <w:t>5</w:t>
      </w:r>
      <w:r>
        <w:rPr>
          <w:rFonts w:ascii="Times New Roman" w:hAnsi="Times New Roman" w:hint="eastAsia"/>
          <w:vertAlign w:val="superscript"/>
        </w:rPr>
        <w:t>,</w:t>
      </w:r>
      <w:r w:rsidRPr="00932EBB">
        <w:rPr>
          <w:rFonts w:ascii="Times New Roman" w:hAnsi="Times New Roman" w:hint="eastAsia"/>
          <w:vertAlign w:val="superscript"/>
        </w:rPr>
        <w:t>6</w:t>
      </w:r>
      <w:r>
        <w:rPr>
          <w:rFonts w:ascii="Times New Roman" w:hAnsi="Times New Roman" w:hint="eastAsia"/>
          <w:vertAlign w:val="superscript"/>
        </w:rPr>
        <w:t>]</w:t>
      </w:r>
      <w:r>
        <w:rPr>
          <w:rFonts w:ascii="Times New Roman" w:hAnsi="Times New Roman" w:hint="eastAsia"/>
        </w:rPr>
        <w:t>，但即便采用</w:t>
      </w:r>
      <w:r w:rsidRPr="00932EBB">
        <w:rPr>
          <w:rFonts w:ascii="Times New Roman" w:hAnsi="Times New Roman" w:hint="eastAsia"/>
        </w:rPr>
        <w:t>TPF</w:t>
      </w:r>
      <w:r>
        <w:rPr>
          <w:rFonts w:ascii="Times New Roman" w:hAnsi="Times New Roman" w:hint="eastAsia"/>
        </w:rPr>
        <w:t>或</w:t>
      </w:r>
      <w:r w:rsidRPr="00932EBB">
        <w:rPr>
          <w:rFonts w:ascii="Times New Roman" w:hAnsi="Times New Roman" w:hint="eastAsia"/>
        </w:rPr>
        <w:t>GP</w:t>
      </w:r>
      <w:r>
        <w:rPr>
          <w:rFonts w:ascii="Times New Roman" w:hAnsi="Times New Roman" w:hint="eastAsia"/>
        </w:rPr>
        <w:t>等标准诱导方案，仍有部分患者缓解不充分，局部复发及远处转移依然是治疗失败的主要原因</w:t>
      </w:r>
      <w:r>
        <w:rPr>
          <w:rFonts w:ascii="Times New Roman" w:hAnsi="Times New Roman" w:hint="eastAsia"/>
          <w:vertAlign w:val="superscript"/>
        </w:rPr>
        <w:t>[</w:t>
      </w:r>
      <w:r w:rsidRPr="00932EBB">
        <w:rPr>
          <w:rFonts w:ascii="Times New Roman" w:hAnsi="Times New Roman" w:hint="eastAsia"/>
          <w:vertAlign w:val="superscript"/>
        </w:rPr>
        <w:t>7</w:t>
      </w:r>
      <w:r>
        <w:rPr>
          <w:rFonts w:ascii="Times New Roman" w:hAnsi="Times New Roman" w:hint="eastAsia"/>
          <w:vertAlign w:val="superscript"/>
        </w:rPr>
        <w:t>-</w:t>
      </w:r>
      <w:r w:rsidRPr="00932EBB">
        <w:rPr>
          <w:rFonts w:ascii="Times New Roman" w:hAnsi="Times New Roman" w:hint="eastAsia"/>
          <w:vertAlign w:val="superscript"/>
        </w:rPr>
        <w:t>9</w:t>
      </w:r>
      <w:r>
        <w:rPr>
          <w:rFonts w:ascii="Times New Roman" w:hAnsi="Times New Roman" w:hint="eastAsia"/>
          <w:vertAlign w:val="superscript"/>
        </w:rPr>
        <w:t>]</w:t>
      </w:r>
      <w:r>
        <w:rPr>
          <w:rFonts w:ascii="Times New Roman" w:hAnsi="Times New Roman" w:hint="eastAsia"/>
        </w:rPr>
        <w:t>。因此，如何在诱导阶段进一步提高肿瘤缓解率，是改善预后的关键。近年来，免疫与靶向治疗为鼻咽癌综合治疗带来了新契机。</w:t>
      </w:r>
      <w:r w:rsidRPr="00932EBB">
        <w:rPr>
          <w:rFonts w:ascii="Times New Roman" w:hAnsi="Times New Roman" w:hint="eastAsia"/>
        </w:rPr>
        <w:t>PD</w:t>
      </w:r>
      <w:r>
        <w:rPr>
          <w:rFonts w:ascii="Times New Roman" w:hAnsi="Times New Roman" w:hint="eastAsia"/>
        </w:rPr>
        <w:t>-</w:t>
      </w:r>
      <w:r w:rsidRPr="00932EBB">
        <w:rPr>
          <w:rFonts w:ascii="Times New Roman" w:hAnsi="Times New Roman" w:hint="eastAsia"/>
        </w:rPr>
        <w:t>1</w:t>
      </w:r>
      <w:r>
        <w:rPr>
          <w:rFonts w:ascii="Times New Roman" w:hAnsi="Times New Roman" w:hint="eastAsia"/>
        </w:rPr>
        <w:t>抑制剂通过恢复</w:t>
      </w:r>
      <w:r w:rsidRPr="00932EBB">
        <w:rPr>
          <w:rFonts w:ascii="Times New Roman" w:hAnsi="Times New Roman" w:hint="eastAsia"/>
        </w:rPr>
        <w:t>T</w:t>
      </w:r>
      <w:r>
        <w:rPr>
          <w:rFonts w:ascii="Times New Roman" w:hAnsi="Times New Roman" w:hint="eastAsia"/>
        </w:rPr>
        <w:t>细胞活性，在晚期鼻咽癌中展现了确切疗效</w:t>
      </w:r>
      <w:r>
        <w:rPr>
          <w:rFonts w:ascii="Times New Roman" w:hAnsi="Times New Roman" w:hint="eastAsia"/>
          <w:vertAlign w:val="superscript"/>
        </w:rPr>
        <w:t>[</w:t>
      </w:r>
      <w:r w:rsidRPr="00932EBB">
        <w:rPr>
          <w:rFonts w:ascii="Times New Roman" w:hAnsi="Times New Roman" w:hint="eastAsia"/>
          <w:vertAlign w:val="superscript"/>
        </w:rPr>
        <w:t>10</w:t>
      </w:r>
      <w:r>
        <w:rPr>
          <w:rFonts w:ascii="Times New Roman" w:hAnsi="Times New Roman" w:hint="eastAsia"/>
          <w:vertAlign w:val="superscript"/>
        </w:rPr>
        <w:t>,</w:t>
      </w:r>
      <w:r w:rsidRPr="00932EBB">
        <w:rPr>
          <w:rFonts w:ascii="Times New Roman" w:hAnsi="Times New Roman" w:hint="eastAsia"/>
          <w:vertAlign w:val="superscript"/>
        </w:rPr>
        <w:t>11</w:t>
      </w:r>
      <w:r>
        <w:rPr>
          <w:rFonts w:ascii="Times New Roman" w:hAnsi="Times New Roman" w:hint="eastAsia"/>
          <w:vertAlign w:val="superscript"/>
        </w:rPr>
        <w:t>]</w:t>
      </w:r>
      <w:r>
        <w:rPr>
          <w:rFonts w:ascii="Times New Roman" w:hAnsi="Times New Roman" w:hint="eastAsia"/>
        </w:rPr>
        <w:t>；尼妥珠单抗作为抗</w:t>
      </w:r>
      <w:r w:rsidRPr="00932EBB">
        <w:rPr>
          <w:rFonts w:ascii="Times New Roman" w:hAnsi="Times New Roman" w:hint="eastAsia"/>
        </w:rPr>
        <w:t>EGFR</w:t>
      </w:r>
      <w:r>
        <w:rPr>
          <w:rFonts w:ascii="Times New Roman" w:hAnsi="Times New Roman" w:hint="eastAsia"/>
        </w:rPr>
        <w:t>单抗，除了经典的增敏放化疗作用外，</w:t>
      </w:r>
      <w:r>
        <w:rPr>
          <w:rFonts w:ascii="Times New Roman" w:hAnsi="Times New Roman"/>
        </w:rPr>
        <w:t>还被证实具有调节肿瘤免疫微环境、改善免疫抑制状态的生物学活性</w:t>
      </w:r>
      <w:r>
        <w:rPr>
          <w:rFonts w:ascii="Times New Roman" w:hAnsi="Times New Roman" w:hint="eastAsia"/>
          <w:vertAlign w:val="superscript"/>
        </w:rPr>
        <w:t>[</w:t>
      </w:r>
      <w:r w:rsidRPr="00932EBB">
        <w:rPr>
          <w:rFonts w:ascii="Times New Roman" w:hAnsi="Times New Roman" w:hint="eastAsia"/>
          <w:vertAlign w:val="superscript"/>
        </w:rPr>
        <w:t>12</w:t>
      </w:r>
      <w:r>
        <w:rPr>
          <w:rFonts w:ascii="Times New Roman" w:hAnsi="Times New Roman" w:hint="eastAsia"/>
          <w:vertAlign w:val="superscript"/>
        </w:rPr>
        <w:t>-</w:t>
      </w:r>
      <w:r w:rsidRPr="00932EBB">
        <w:rPr>
          <w:rFonts w:ascii="Times New Roman" w:hAnsi="Times New Roman" w:hint="eastAsia"/>
          <w:vertAlign w:val="superscript"/>
        </w:rPr>
        <w:t>16</w:t>
      </w:r>
      <w:r>
        <w:rPr>
          <w:rFonts w:ascii="Times New Roman" w:hAnsi="Times New Roman" w:hint="eastAsia"/>
          <w:vertAlign w:val="superscript"/>
        </w:rPr>
        <w:t>]</w:t>
      </w:r>
      <w:r>
        <w:rPr>
          <w:rFonts w:ascii="Times New Roman" w:hAnsi="Times New Roman" w:hint="eastAsia"/>
        </w:rPr>
        <w:t>。这种独特的免疫调节特性提示其能与</w:t>
      </w:r>
      <w:r w:rsidRPr="00932EBB">
        <w:rPr>
          <w:rFonts w:ascii="Times New Roman" w:hAnsi="Times New Roman" w:hint="eastAsia"/>
        </w:rPr>
        <w:t>PD</w:t>
      </w:r>
      <w:r>
        <w:rPr>
          <w:rFonts w:ascii="Times New Roman" w:hAnsi="Times New Roman" w:hint="eastAsia"/>
        </w:rPr>
        <w:t>-</w:t>
      </w:r>
      <w:r w:rsidRPr="00932EBB">
        <w:rPr>
          <w:rFonts w:ascii="Times New Roman" w:hAnsi="Times New Roman" w:hint="eastAsia"/>
        </w:rPr>
        <w:t>1</w:t>
      </w:r>
      <w:r>
        <w:rPr>
          <w:rFonts w:ascii="Times New Roman" w:hAnsi="Times New Roman" w:hint="eastAsia"/>
        </w:rPr>
        <w:t>抑制剂形成机制互补，产生协同增效作用。目前，</w:t>
      </w:r>
      <w:r w:rsidRPr="00932EBB">
        <w:rPr>
          <w:rFonts w:ascii="Times New Roman" w:hAnsi="Times New Roman" w:hint="eastAsia"/>
        </w:rPr>
        <w:t>CONTINUUM</w:t>
      </w:r>
      <w:r>
        <w:rPr>
          <w:rFonts w:ascii="Times New Roman" w:hAnsi="Times New Roman" w:hint="eastAsia"/>
        </w:rPr>
        <w:t>等研究已确立了</w:t>
      </w:r>
      <w:r w:rsidRPr="00932EBB">
        <w:rPr>
          <w:rFonts w:ascii="Times New Roman" w:hAnsi="Times New Roman" w:hint="eastAsia"/>
        </w:rPr>
        <w:t>PD</w:t>
      </w:r>
      <w:r>
        <w:rPr>
          <w:rFonts w:ascii="Times New Roman" w:hAnsi="Times New Roman" w:hint="eastAsia"/>
        </w:rPr>
        <w:t>-</w:t>
      </w:r>
      <w:r w:rsidRPr="00932EBB">
        <w:rPr>
          <w:rFonts w:ascii="Times New Roman" w:hAnsi="Times New Roman" w:hint="eastAsia"/>
        </w:rPr>
        <w:t>1</w:t>
      </w:r>
      <w:r>
        <w:rPr>
          <w:rFonts w:ascii="Times New Roman" w:hAnsi="Times New Roman" w:hint="eastAsia"/>
        </w:rPr>
        <w:t>抑制剂在“诱导</w:t>
      </w:r>
      <w:r>
        <w:rPr>
          <w:rFonts w:ascii="Times New Roman" w:hAnsi="Times New Roman" w:hint="eastAsia"/>
        </w:rPr>
        <w:t>+</w:t>
      </w:r>
      <w:r>
        <w:rPr>
          <w:rFonts w:ascii="Times New Roman" w:hAnsi="Times New Roman" w:hint="eastAsia"/>
        </w:rPr>
        <w:t>同步”全程治疗中的地位</w:t>
      </w:r>
      <w:r>
        <w:rPr>
          <w:rFonts w:ascii="Times New Roman" w:hAnsi="Times New Roman" w:hint="eastAsia"/>
          <w:vertAlign w:val="superscript"/>
        </w:rPr>
        <w:t>[</w:t>
      </w:r>
      <w:r w:rsidRPr="00932EBB">
        <w:rPr>
          <w:rFonts w:ascii="Times New Roman" w:hAnsi="Times New Roman" w:hint="eastAsia"/>
          <w:vertAlign w:val="superscript"/>
        </w:rPr>
        <w:t>17</w:t>
      </w:r>
      <w:r>
        <w:rPr>
          <w:rFonts w:ascii="Times New Roman" w:hAnsi="Times New Roman" w:hint="eastAsia"/>
          <w:vertAlign w:val="superscript"/>
        </w:rPr>
        <w:t>]</w:t>
      </w:r>
      <w:r>
        <w:rPr>
          <w:rFonts w:ascii="Times New Roman" w:hAnsi="Times New Roman" w:hint="eastAsia"/>
        </w:rPr>
        <w:t>；</w:t>
      </w:r>
      <w:r>
        <w:rPr>
          <w:rFonts w:ascii="Times New Roman" w:hAnsi="Times New Roman"/>
        </w:rPr>
        <w:t>同时，优化诱导治疗以实现肿瘤的深度缓解对后续放疗亦至关重要</w:t>
      </w:r>
      <w:r>
        <w:rPr>
          <w:rFonts w:ascii="Times New Roman" w:hAnsi="Times New Roman"/>
        </w:rPr>
        <w:t>——</w:t>
      </w:r>
      <w:r>
        <w:rPr>
          <w:rFonts w:ascii="Times New Roman" w:hAnsi="Times New Roman"/>
        </w:rPr>
        <w:t>既往研究指出，这有助于缩小放疗高剂量靶区，从而降低严重放疗后遗症的发生风险</w:t>
      </w:r>
      <w:r>
        <w:rPr>
          <w:rFonts w:ascii="Times New Roman" w:hAnsi="Times New Roman" w:hint="eastAsia"/>
          <w:vertAlign w:val="superscript"/>
        </w:rPr>
        <w:t>[</w:t>
      </w:r>
      <w:r w:rsidRPr="00932EBB">
        <w:rPr>
          <w:rFonts w:ascii="Times New Roman" w:hAnsi="Times New Roman" w:hint="eastAsia"/>
          <w:vertAlign w:val="superscript"/>
        </w:rPr>
        <w:t>8</w:t>
      </w:r>
      <w:r>
        <w:rPr>
          <w:rFonts w:ascii="Times New Roman" w:hAnsi="Times New Roman" w:hint="eastAsia"/>
          <w:vertAlign w:val="superscript"/>
        </w:rPr>
        <w:t>,</w:t>
      </w:r>
      <w:r w:rsidRPr="00932EBB">
        <w:rPr>
          <w:rFonts w:ascii="Times New Roman" w:hAnsi="Times New Roman" w:hint="eastAsia"/>
          <w:vertAlign w:val="superscript"/>
        </w:rPr>
        <w:t>18</w:t>
      </w:r>
      <w:r>
        <w:rPr>
          <w:rFonts w:ascii="Times New Roman" w:hAnsi="Times New Roman" w:hint="eastAsia"/>
          <w:vertAlign w:val="superscript"/>
        </w:rPr>
        <w:t>]</w:t>
      </w:r>
      <w:r>
        <w:rPr>
          <w:rFonts w:ascii="Times New Roman" w:hAnsi="Times New Roman" w:hint="eastAsia"/>
        </w:rPr>
        <w:t>。然而，既往少见将</w:t>
      </w:r>
      <w:r w:rsidRPr="00932EBB">
        <w:rPr>
          <w:rFonts w:ascii="Times New Roman" w:hAnsi="Times New Roman" w:hint="eastAsia"/>
        </w:rPr>
        <w:t>PD</w:t>
      </w:r>
      <w:r>
        <w:rPr>
          <w:rFonts w:ascii="Times New Roman" w:hAnsi="Times New Roman" w:hint="eastAsia"/>
        </w:rPr>
        <w:t>-</w:t>
      </w:r>
      <w:r w:rsidRPr="00932EBB">
        <w:rPr>
          <w:rFonts w:ascii="Times New Roman" w:hAnsi="Times New Roman" w:hint="eastAsia"/>
        </w:rPr>
        <w:t>1</w:t>
      </w:r>
      <w:r>
        <w:rPr>
          <w:rFonts w:ascii="Times New Roman" w:hAnsi="Times New Roman" w:hint="eastAsia"/>
        </w:rPr>
        <w:t>抑制剂与尼妥珠单抗同时前移至诱导化疗阶段的“三联诱导”模式报道，该模式能否在不显著增加毒性的前提下进一步提升诱导期疗效，尚缺乏真实世界证</w:t>
      </w:r>
      <w:r>
        <w:rPr>
          <w:rFonts w:ascii="Times New Roman" w:hAnsi="Times New Roman" w:hint="eastAsia"/>
        </w:rPr>
        <w:lastRenderedPageBreak/>
        <w:t>据。为此，本研究通过倾向性评分匹配法，</w:t>
      </w:r>
      <w:r>
        <w:rPr>
          <w:rFonts w:ascii="Times New Roman" w:hAnsi="Times New Roman"/>
        </w:rPr>
        <w:t>系统评估了该模式在局晚期鼻咽癌中的近期疗效与安全性，现报告如下。</w:t>
      </w:r>
      <w:r>
        <w:rPr>
          <w:rFonts w:ascii="Times New Roman" w:hAnsi="Times New Roman"/>
        </w:rPr>
        <w:t xml:space="preserve"> </w:t>
      </w:r>
    </w:p>
    <w:p w14:paraId="1E29477A"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Pr>
          <w:rFonts w:ascii="Times New Roman" w:hAnsi="Times New Roman" w:hint="eastAsia"/>
          <w:b/>
          <w:bCs/>
        </w:rPr>
        <w:t>资料与方法</w:t>
      </w:r>
    </w:p>
    <w:p w14:paraId="30A7CA05"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1</w:t>
      </w:r>
      <w:r>
        <w:rPr>
          <w:rFonts w:ascii="Times New Roman" w:hAnsi="Times New Roman" w:hint="eastAsia"/>
          <w:b/>
          <w:bCs/>
        </w:rPr>
        <w:t xml:space="preserve"> </w:t>
      </w:r>
      <w:r>
        <w:rPr>
          <w:rFonts w:ascii="Times New Roman" w:hAnsi="Times New Roman" w:hint="eastAsia"/>
          <w:b/>
          <w:bCs/>
        </w:rPr>
        <w:t>一般资料</w:t>
      </w:r>
    </w:p>
    <w:p w14:paraId="2FFDEC39"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本研究为单中心回顾性分析，回顾性收集</w:t>
      </w:r>
      <w:r w:rsidRPr="00932EBB">
        <w:rPr>
          <w:rFonts w:ascii="Times New Roman" w:hAnsi="Times New Roman"/>
        </w:rPr>
        <w:t>2023</w:t>
      </w:r>
      <w:r>
        <w:rPr>
          <w:rFonts w:ascii="Times New Roman" w:hAnsi="Times New Roman"/>
        </w:rPr>
        <w:t>年</w:t>
      </w:r>
      <w:r w:rsidRPr="00932EBB">
        <w:rPr>
          <w:rFonts w:ascii="Times New Roman" w:hAnsi="Times New Roman"/>
        </w:rPr>
        <w:t>1</w:t>
      </w:r>
      <w:r>
        <w:rPr>
          <w:rFonts w:ascii="Times New Roman" w:hAnsi="Times New Roman"/>
        </w:rPr>
        <w:t>月至</w:t>
      </w:r>
      <w:r w:rsidRPr="00932EBB">
        <w:rPr>
          <w:rFonts w:ascii="Times New Roman" w:hAnsi="Times New Roman"/>
        </w:rPr>
        <w:t>2023</w:t>
      </w:r>
      <w:r>
        <w:rPr>
          <w:rFonts w:ascii="Times New Roman" w:hAnsi="Times New Roman"/>
        </w:rPr>
        <w:t>年</w:t>
      </w:r>
      <w:r w:rsidRPr="00932EBB">
        <w:rPr>
          <w:rFonts w:ascii="Times New Roman" w:hAnsi="Times New Roman"/>
        </w:rPr>
        <w:t>12</w:t>
      </w:r>
      <w:r>
        <w:rPr>
          <w:rFonts w:ascii="Times New Roman" w:hAnsi="Times New Roman"/>
        </w:rPr>
        <w:t>月于江苏省肿瘤医院接受治疗的局晚期鼻咽癌患者的临床资料。纳入标准：（</w:t>
      </w:r>
      <w:r w:rsidRPr="00932EBB">
        <w:rPr>
          <w:rFonts w:ascii="Times New Roman" w:hAnsi="Times New Roman"/>
        </w:rPr>
        <w:t>1</w:t>
      </w:r>
      <w:r>
        <w:rPr>
          <w:rFonts w:ascii="Times New Roman" w:hAnsi="Times New Roman"/>
        </w:rPr>
        <w:t>）新诊断且经病理学证实的鼻咽癌；（</w:t>
      </w:r>
      <w:r w:rsidRPr="00932EBB">
        <w:rPr>
          <w:rFonts w:ascii="Times New Roman" w:hAnsi="Times New Roman"/>
        </w:rPr>
        <w:t>2</w:t>
      </w:r>
      <w:r>
        <w:rPr>
          <w:rFonts w:ascii="Times New Roman" w:hAnsi="Times New Roman"/>
        </w:rPr>
        <w:t>）年龄</w:t>
      </w:r>
      <w:r>
        <w:rPr>
          <w:rFonts w:ascii="Times New Roman" w:hAnsi="Times New Roman"/>
        </w:rPr>
        <w:t>≥</w:t>
      </w:r>
      <w:r w:rsidRPr="00932EBB">
        <w:rPr>
          <w:rFonts w:ascii="Times New Roman" w:hAnsi="Times New Roman"/>
        </w:rPr>
        <w:t>18</w:t>
      </w:r>
      <w:r>
        <w:rPr>
          <w:rFonts w:ascii="Times New Roman" w:hAnsi="Times New Roman"/>
        </w:rPr>
        <w:t>岁；（</w:t>
      </w:r>
      <w:r w:rsidRPr="00932EBB">
        <w:rPr>
          <w:rFonts w:ascii="Times New Roman" w:hAnsi="Times New Roman"/>
        </w:rPr>
        <w:t>3</w:t>
      </w:r>
      <w:r>
        <w:rPr>
          <w:rFonts w:ascii="Times New Roman" w:hAnsi="Times New Roman"/>
        </w:rPr>
        <w:t>）</w:t>
      </w:r>
      <w:r>
        <w:rPr>
          <w:rFonts w:ascii="Times New Roman" w:hAnsi="Times New Roman"/>
        </w:rPr>
        <w:t>Ⅲ</w:t>
      </w:r>
      <w:r>
        <w:rPr>
          <w:rFonts w:ascii="Times New Roman" w:hAnsi="Times New Roman"/>
        </w:rPr>
        <w:t>～</w:t>
      </w:r>
      <w:r>
        <w:rPr>
          <w:rFonts w:ascii="Times New Roman" w:hAnsi="Times New Roman"/>
        </w:rPr>
        <w:t>Ⅳ</w:t>
      </w:r>
      <w:r w:rsidRPr="00932EBB">
        <w:rPr>
          <w:rFonts w:ascii="Times New Roman" w:hAnsi="Times New Roman"/>
        </w:rPr>
        <w:t>A</w:t>
      </w:r>
      <w:r>
        <w:rPr>
          <w:rFonts w:ascii="Times New Roman" w:hAnsi="Times New Roman"/>
        </w:rPr>
        <w:t>期，分期依据第</w:t>
      </w:r>
      <w:r w:rsidRPr="00932EBB">
        <w:rPr>
          <w:rFonts w:ascii="Times New Roman" w:hAnsi="Times New Roman"/>
        </w:rPr>
        <w:t>8</w:t>
      </w:r>
      <w:r>
        <w:rPr>
          <w:rFonts w:ascii="Times New Roman" w:hAnsi="Times New Roman"/>
        </w:rPr>
        <w:t>版</w:t>
      </w:r>
      <w:r w:rsidRPr="00932EBB">
        <w:rPr>
          <w:rFonts w:ascii="Times New Roman" w:hAnsi="Times New Roman"/>
        </w:rPr>
        <w:t>AJCC</w:t>
      </w:r>
      <w:r>
        <w:rPr>
          <w:rFonts w:ascii="Times New Roman" w:hAnsi="Times New Roman"/>
        </w:rPr>
        <w:t>分期系统；（</w:t>
      </w:r>
      <w:r w:rsidRPr="00932EBB">
        <w:rPr>
          <w:rFonts w:ascii="Times New Roman" w:hAnsi="Times New Roman"/>
        </w:rPr>
        <w:t>4</w:t>
      </w:r>
      <w:r>
        <w:rPr>
          <w:rFonts w:ascii="Times New Roman" w:hAnsi="Times New Roman"/>
        </w:rPr>
        <w:t>）接受诱导化疗</w:t>
      </w:r>
      <w:r>
        <w:rPr>
          <w:rFonts w:ascii="Times New Roman" w:hAnsi="Times New Roman"/>
        </w:rPr>
        <w:t>±</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抑制剂及尼妥珠单抗治疗。排除标准：（</w:t>
      </w:r>
      <w:r w:rsidRPr="00932EBB">
        <w:rPr>
          <w:rFonts w:ascii="Times New Roman" w:hAnsi="Times New Roman"/>
        </w:rPr>
        <w:t>1</w:t>
      </w:r>
      <w:r>
        <w:rPr>
          <w:rFonts w:ascii="Times New Roman" w:hAnsi="Times New Roman"/>
        </w:rPr>
        <w:t>）既往接受抗肿瘤治疗；（</w:t>
      </w:r>
      <w:r w:rsidRPr="00932EBB">
        <w:rPr>
          <w:rFonts w:ascii="Times New Roman" w:hAnsi="Times New Roman"/>
        </w:rPr>
        <w:t>2</w:t>
      </w:r>
      <w:r>
        <w:rPr>
          <w:rFonts w:ascii="Times New Roman" w:hAnsi="Times New Roman"/>
        </w:rPr>
        <w:t>）行原发灶或颈部淋巴结手术切除；（</w:t>
      </w:r>
      <w:r w:rsidRPr="00932EBB">
        <w:rPr>
          <w:rFonts w:ascii="Times New Roman" w:hAnsi="Times New Roman"/>
        </w:rPr>
        <w:t>3</w:t>
      </w:r>
      <w:r>
        <w:rPr>
          <w:rFonts w:ascii="Times New Roman" w:hAnsi="Times New Roman"/>
        </w:rPr>
        <w:t>）合并第二原发恶性肿瘤；（</w:t>
      </w:r>
      <w:r w:rsidRPr="00932EBB">
        <w:rPr>
          <w:rFonts w:ascii="Times New Roman" w:hAnsi="Times New Roman"/>
        </w:rPr>
        <w:t>4</w:t>
      </w:r>
      <w:r>
        <w:rPr>
          <w:rFonts w:ascii="Times New Roman" w:hAnsi="Times New Roman"/>
        </w:rPr>
        <w:t>）既往恶性肿瘤病史或治疗中断者。本研究经江苏省肿瘤医院医学伦理委员会批准（审批号：</w:t>
      </w:r>
      <w:r w:rsidRPr="00932EBB">
        <w:rPr>
          <w:rFonts w:ascii="Times New Roman" w:hAnsi="Times New Roman"/>
        </w:rPr>
        <w:t>2020</w:t>
      </w:r>
      <w:r>
        <w:rPr>
          <w:rFonts w:ascii="Times New Roman" w:hAnsi="Times New Roman"/>
        </w:rPr>
        <w:t>科</w:t>
      </w:r>
      <w:r>
        <w:rPr>
          <w:rFonts w:ascii="Times New Roman" w:hAnsi="Times New Roman"/>
        </w:rPr>
        <w:t>-</w:t>
      </w:r>
      <w:r w:rsidRPr="00932EBB">
        <w:rPr>
          <w:rFonts w:ascii="Times New Roman" w:hAnsi="Times New Roman"/>
        </w:rPr>
        <w:t>055</w:t>
      </w:r>
      <w:r>
        <w:rPr>
          <w:rFonts w:ascii="Times New Roman" w:hAnsi="Times New Roman"/>
        </w:rPr>
        <w:t>）。</w:t>
      </w:r>
    </w:p>
    <w:p w14:paraId="3B5C0858"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2</w:t>
      </w:r>
      <w:r>
        <w:rPr>
          <w:rFonts w:ascii="Times New Roman" w:hAnsi="Times New Roman" w:hint="eastAsia"/>
          <w:b/>
          <w:bCs/>
        </w:rPr>
        <w:t xml:space="preserve"> </w:t>
      </w:r>
      <w:r>
        <w:rPr>
          <w:rFonts w:ascii="Times New Roman" w:hAnsi="Times New Roman" w:hint="eastAsia"/>
          <w:b/>
          <w:bCs/>
        </w:rPr>
        <w:t>诱导治疗方案</w:t>
      </w:r>
    </w:p>
    <w:p w14:paraId="54B8F64D"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根据诱导治疗方案分为单纯诱导化疗组（</w:t>
      </w:r>
      <w:r w:rsidRPr="00932EBB">
        <w:rPr>
          <w:rFonts w:ascii="Times New Roman" w:hAnsi="Times New Roman"/>
        </w:rPr>
        <w:t>IC</w:t>
      </w:r>
      <w:r>
        <w:rPr>
          <w:rFonts w:ascii="Times New Roman" w:hAnsi="Times New Roman"/>
        </w:rPr>
        <w:t>组）和诱导化疗联合</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抑制剂及尼妥珠单抗组（</w:t>
      </w:r>
      <w:r w:rsidRPr="00932EBB">
        <w:rPr>
          <w:rFonts w:ascii="Times New Roman" w:hAnsi="Times New Roman"/>
        </w:rPr>
        <w:t>ICIT</w:t>
      </w:r>
      <w:r>
        <w:rPr>
          <w:rFonts w:ascii="Times New Roman" w:hAnsi="Times New Roman"/>
        </w:rPr>
        <w:t>组）。所有患者均接受以</w:t>
      </w:r>
      <w:r w:rsidRPr="00932EBB">
        <w:rPr>
          <w:rFonts w:ascii="Times New Roman" w:hAnsi="Times New Roman"/>
        </w:rPr>
        <w:t>3</w:t>
      </w:r>
      <w:r>
        <w:rPr>
          <w:rFonts w:ascii="Times New Roman" w:hAnsi="Times New Roman"/>
        </w:rPr>
        <w:t>周为</w:t>
      </w:r>
      <w:r w:rsidRPr="00932EBB">
        <w:rPr>
          <w:rFonts w:ascii="Times New Roman" w:hAnsi="Times New Roman"/>
        </w:rPr>
        <w:t>1</w:t>
      </w:r>
      <w:r>
        <w:rPr>
          <w:rFonts w:ascii="Times New Roman" w:hAnsi="Times New Roman"/>
        </w:rPr>
        <w:t>个周期的诱导化疗，完成</w:t>
      </w:r>
      <w:r w:rsidRPr="00932EBB">
        <w:rPr>
          <w:rFonts w:ascii="Times New Roman" w:hAnsi="Times New Roman"/>
        </w:rPr>
        <w:t>2</w:t>
      </w:r>
      <w:r>
        <w:rPr>
          <w:rFonts w:ascii="Times New Roman" w:hAnsi="Times New Roman"/>
        </w:rPr>
        <w:t>～</w:t>
      </w:r>
      <w:r w:rsidRPr="00932EBB">
        <w:rPr>
          <w:rFonts w:ascii="Times New Roman" w:hAnsi="Times New Roman"/>
        </w:rPr>
        <w:t>3</w:t>
      </w:r>
      <w:r>
        <w:rPr>
          <w:rFonts w:ascii="Times New Roman" w:hAnsi="Times New Roman"/>
        </w:rPr>
        <w:t>个周期。化疗方案包括：（</w:t>
      </w:r>
      <w:r w:rsidRPr="00932EBB">
        <w:rPr>
          <w:rFonts w:ascii="Times New Roman" w:hAnsi="Times New Roman"/>
        </w:rPr>
        <w:t>1</w:t>
      </w:r>
      <w:r>
        <w:rPr>
          <w:rFonts w:ascii="Times New Roman" w:hAnsi="Times New Roman"/>
        </w:rPr>
        <w:t>）</w:t>
      </w:r>
      <w:r w:rsidRPr="00932EBB">
        <w:rPr>
          <w:rFonts w:ascii="Times New Roman" w:hAnsi="Times New Roman"/>
        </w:rPr>
        <w:t>TP</w:t>
      </w:r>
      <w:r>
        <w:rPr>
          <w:rFonts w:ascii="Times New Roman" w:hAnsi="Times New Roman"/>
        </w:rPr>
        <w:t>方案：紫杉醇脂质体</w:t>
      </w:r>
      <w:r w:rsidRPr="00932EBB">
        <w:rPr>
          <w:rFonts w:ascii="Times New Roman" w:hAnsi="Times New Roman"/>
        </w:rPr>
        <w:t>135mg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第</w:t>
      </w:r>
      <w:r w:rsidRPr="00932EBB">
        <w:rPr>
          <w:rFonts w:ascii="Times New Roman" w:hAnsi="Times New Roman"/>
        </w:rPr>
        <w:t>1</w:t>
      </w:r>
      <w:r>
        <w:rPr>
          <w:rFonts w:ascii="Times New Roman" w:hAnsi="Times New Roman"/>
        </w:rPr>
        <w:t>天，顺铂</w:t>
      </w:r>
      <w:r w:rsidRPr="00932EBB">
        <w:rPr>
          <w:rFonts w:ascii="Times New Roman" w:hAnsi="Times New Roman"/>
        </w:rPr>
        <w:t>25mg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第</w:t>
      </w:r>
      <w:r w:rsidRPr="00932EBB">
        <w:rPr>
          <w:rFonts w:ascii="Times New Roman" w:hAnsi="Times New Roman"/>
        </w:rPr>
        <w:t>1</w:t>
      </w:r>
      <w:r>
        <w:rPr>
          <w:rFonts w:ascii="Times New Roman" w:hAnsi="Times New Roman"/>
        </w:rPr>
        <w:t>～</w:t>
      </w:r>
      <w:r w:rsidRPr="00932EBB">
        <w:rPr>
          <w:rFonts w:ascii="Times New Roman" w:hAnsi="Times New Roman"/>
        </w:rPr>
        <w:t>3</w:t>
      </w:r>
      <w:r>
        <w:rPr>
          <w:rFonts w:ascii="Times New Roman" w:hAnsi="Times New Roman"/>
        </w:rPr>
        <w:t>天；（</w:t>
      </w:r>
      <w:r w:rsidRPr="00932EBB">
        <w:rPr>
          <w:rFonts w:ascii="Times New Roman" w:hAnsi="Times New Roman"/>
        </w:rPr>
        <w:t>2</w:t>
      </w:r>
      <w:r>
        <w:rPr>
          <w:rFonts w:ascii="Times New Roman" w:hAnsi="Times New Roman"/>
        </w:rPr>
        <w:t>）</w:t>
      </w:r>
      <w:r w:rsidRPr="00932EBB">
        <w:rPr>
          <w:rFonts w:ascii="Times New Roman" w:hAnsi="Times New Roman"/>
        </w:rPr>
        <w:t>GP</w:t>
      </w:r>
      <w:r>
        <w:rPr>
          <w:rFonts w:ascii="Times New Roman" w:hAnsi="Times New Roman"/>
        </w:rPr>
        <w:t>方案：吉西他滨</w:t>
      </w:r>
      <w:r w:rsidRPr="00932EBB">
        <w:rPr>
          <w:rFonts w:ascii="Times New Roman" w:hAnsi="Times New Roman"/>
        </w:rPr>
        <w:t>1g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第</w:t>
      </w:r>
      <w:r w:rsidRPr="00932EBB">
        <w:rPr>
          <w:rFonts w:ascii="Times New Roman" w:hAnsi="Times New Roman"/>
        </w:rPr>
        <w:t>1</w:t>
      </w:r>
      <w:r>
        <w:rPr>
          <w:rFonts w:ascii="Times New Roman" w:hAnsi="Times New Roman"/>
        </w:rPr>
        <w:t>、</w:t>
      </w:r>
      <w:r w:rsidRPr="00932EBB">
        <w:rPr>
          <w:rFonts w:ascii="Times New Roman" w:hAnsi="Times New Roman"/>
        </w:rPr>
        <w:t>8</w:t>
      </w:r>
      <w:r>
        <w:rPr>
          <w:rFonts w:ascii="Times New Roman" w:hAnsi="Times New Roman"/>
        </w:rPr>
        <w:t>天，顺铂</w:t>
      </w:r>
      <w:r w:rsidRPr="00932EBB">
        <w:rPr>
          <w:rFonts w:ascii="Times New Roman" w:hAnsi="Times New Roman"/>
        </w:rPr>
        <w:t>80mg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第</w:t>
      </w:r>
      <w:r w:rsidRPr="00932EBB">
        <w:rPr>
          <w:rFonts w:ascii="Times New Roman" w:hAnsi="Times New Roman"/>
        </w:rPr>
        <w:t>1</w:t>
      </w:r>
      <w:r>
        <w:rPr>
          <w:rFonts w:ascii="Times New Roman" w:hAnsi="Times New Roman"/>
        </w:rPr>
        <w:t>天。根据患者耐受情况可适当调整剂量或延迟给药。</w:t>
      </w:r>
    </w:p>
    <w:p w14:paraId="56CDDC1C" w14:textId="3A6B5A74" w:rsidR="00D606CB" w:rsidRDefault="009A3B9B">
      <w:pPr>
        <w:pStyle w:val="a9"/>
        <w:adjustRightInd w:val="0"/>
        <w:snapToGrid w:val="0"/>
        <w:spacing w:before="0" w:beforeAutospacing="0" w:after="0" w:afterAutospacing="0" w:line="360" w:lineRule="auto"/>
        <w:ind w:firstLineChars="200" w:firstLine="480"/>
        <w:rPr>
          <w:rFonts w:ascii="Times New Roman" w:hAnsi="Times New Roman"/>
        </w:rPr>
      </w:pPr>
      <w:r w:rsidRPr="00932EBB">
        <w:rPr>
          <w:rFonts w:ascii="Times New Roman" w:hAnsi="Times New Roman"/>
        </w:rPr>
        <w:t>ICIT</w:t>
      </w:r>
      <w:r w:rsidRPr="009A3B9B">
        <w:rPr>
          <w:rFonts w:ascii="Times New Roman" w:hAnsi="Times New Roman"/>
        </w:rPr>
        <w:t>组在诱导化疗基础上联合</w:t>
      </w:r>
      <w:r w:rsidRPr="00932EBB">
        <w:rPr>
          <w:rFonts w:ascii="Times New Roman" w:hAnsi="Times New Roman"/>
        </w:rPr>
        <w:t>PD</w:t>
      </w:r>
      <w:r w:rsidRPr="009A3B9B">
        <w:rPr>
          <w:rFonts w:ascii="Times New Roman" w:hAnsi="Times New Roman"/>
        </w:rPr>
        <w:t>-</w:t>
      </w:r>
      <w:r w:rsidRPr="00932EBB">
        <w:rPr>
          <w:rFonts w:ascii="Times New Roman" w:hAnsi="Times New Roman"/>
        </w:rPr>
        <w:t>1</w:t>
      </w:r>
      <w:r w:rsidRPr="009A3B9B">
        <w:rPr>
          <w:rFonts w:ascii="Times New Roman" w:hAnsi="Times New Roman"/>
        </w:rPr>
        <w:t>抑制剂及尼妥珠单抗治疗。</w:t>
      </w:r>
      <w:r w:rsidRPr="00932EBB">
        <w:rPr>
          <w:rFonts w:ascii="Times New Roman" w:hAnsi="Times New Roman"/>
        </w:rPr>
        <w:t>PD</w:t>
      </w:r>
      <w:r w:rsidRPr="009A3B9B">
        <w:rPr>
          <w:rFonts w:ascii="Times New Roman" w:hAnsi="Times New Roman"/>
        </w:rPr>
        <w:t>-</w:t>
      </w:r>
      <w:r w:rsidRPr="00932EBB">
        <w:rPr>
          <w:rFonts w:ascii="Times New Roman" w:hAnsi="Times New Roman"/>
        </w:rPr>
        <w:t>1</w:t>
      </w:r>
      <w:r w:rsidRPr="009A3B9B">
        <w:rPr>
          <w:rFonts w:ascii="Times New Roman" w:hAnsi="Times New Roman"/>
        </w:rPr>
        <w:t>抑制剂包括特瑞普利单抗（</w:t>
      </w:r>
      <w:r w:rsidRPr="00932EBB">
        <w:rPr>
          <w:rFonts w:ascii="Times New Roman" w:hAnsi="Times New Roman"/>
        </w:rPr>
        <w:t>240</w:t>
      </w:r>
      <w:r w:rsidRPr="009A3B9B">
        <w:rPr>
          <w:rFonts w:ascii="Times New Roman" w:hAnsi="Times New Roman"/>
        </w:rPr>
        <w:t xml:space="preserve"> </w:t>
      </w:r>
      <w:r w:rsidRPr="00932EBB">
        <w:rPr>
          <w:rFonts w:ascii="Times New Roman" w:hAnsi="Times New Roman"/>
        </w:rPr>
        <w:t>mg</w:t>
      </w:r>
      <w:r w:rsidRPr="009A3B9B">
        <w:rPr>
          <w:rFonts w:ascii="Times New Roman" w:hAnsi="Times New Roman"/>
        </w:rPr>
        <w:t>，</w:t>
      </w:r>
      <w:r w:rsidRPr="00932EBB">
        <w:rPr>
          <w:rFonts w:ascii="Times New Roman" w:hAnsi="Times New Roman"/>
        </w:rPr>
        <w:t>d1</w:t>
      </w:r>
      <w:r w:rsidRPr="009A3B9B">
        <w:rPr>
          <w:rFonts w:ascii="Times New Roman" w:hAnsi="Times New Roman"/>
        </w:rPr>
        <w:t>，</w:t>
      </w:r>
      <w:r w:rsidRPr="00932EBB">
        <w:rPr>
          <w:rFonts w:ascii="Times New Roman" w:hAnsi="Times New Roman"/>
        </w:rPr>
        <w:t>q3w</w:t>
      </w:r>
      <w:r w:rsidRPr="009A3B9B">
        <w:rPr>
          <w:rFonts w:ascii="Times New Roman" w:hAnsi="Times New Roman"/>
        </w:rPr>
        <w:t>）或信迪利单抗（</w:t>
      </w:r>
      <w:r w:rsidRPr="00932EBB">
        <w:rPr>
          <w:rFonts w:ascii="Times New Roman" w:hAnsi="Times New Roman"/>
        </w:rPr>
        <w:t>200</w:t>
      </w:r>
      <w:r w:rsidRPr="009A3B9B">
        <w:rPr>
          <w:rFonts w:ascii="Times New Roman" w:hAnsi="Times New Roman"/>
        </w:rPr>
        <w:t xml:space="preserve"> </w:t>
      </w:r>
      <w:r w:rsidRPr="00932EBB">
        <w:rPr>
          <w:rFonts w:ascii="Times New Roman" w:hAnsi="Times New Roman"/>
        </w:rPr>
        <w:t>mg</w:t>
      </w:r>
      <w:r w:rsidRPr="009A3B9B">
        <w:rPr>
          <w:rFonts w:ascii="Times New Roman" w:hAnsi="Times New Roman"/>
        </w:rPr>
        <w:t>，</w:t>
      </w:r>
      <w:r w:rsidRPr="00932EBB">
        <w:rPr>
          <w:rFonts w:ascii="Times New Roman" w:hAnsi="Times New Roman"/>
        </w:rPr>
        <w:t>d1</w:t>
      </w:r>
      <w:r w:rsidRPr="009A3B9B">
        <w:rPr>
          <w:rFonts w:ascii="Times New Roman" w:hAnsi="Times New Roman"/>
        </w:rPr>
        <w:t>，</w:t>
      </w:r>
      <w:r w:rsidRPr="00932EBB">
        <w:rPr>
          <w:rFonts w:ascii="Times New Roman" w:hAnsi="Times New Roman"/>
        </w:rPr>
        <w:t>q3w</w:t>
      </w:r>
      <w:r w:rsidRPr="009A3B9B">
        <w:rPr>
          <w:rFonts w:ascii="Times New Roman" w:hAnsi="Times New Roman"/>
        </w:rPr>
        <w:t>）。尼妥珠单抗给药方案为首次</w:t>
      </w:r>
      <w:r w:rsidRPr="00932EBB">
        <w:rPr>
          <w:rFonts w:ascii="Times New Roman" w:hAnsi="Times New Roman"/>
        </w:rPr>
        <w:t>400</w:t>
      </w:r>
      <w:r w:rsidRPr="009A3B9B">
        <w:rPr>
          <w:rFonts w:ascii="Times New Roman" w:hAnsi="Times New Roman"/>
        </w:rPr>
        <w:t xml:space="preserve"> </w:t>
      </w:r>
      <w:r w:rsidRPr="00932EBB">
        <w:rPr>
          <w:rFonts w:ascii="Times New Roman" w:hAnsi="Times New Roman"/>
        </w:rPr>
        <w:t>mg</w:t>
      </w:r>
      <w:r w:rsidRPr="009A3B9B">
        <w:rPr>
          <w:rFonts w:ascii="Times New Roman" w:hAnsi="Times New Roman"/>
        </w:rPr>
        <w:t>，随后</w:t>
      </w:r>
      <w:r w:rsidRPr="00932EBB">
        <w:rPr>
          <w:rFonts w:ascii="Times New Roman" w:hAnsi="Times New Roman"/>
        </w:rPr>
        <w:t>200</w:t>
      </w:r>
      <w:r w:rsidRPr="009A3B9B">
        <w:rPr>
          <w:rFonts w:ascii="Times New Roman" w:hAnsi="Times New Roman"/>
        </w:rPr>
        <w:t xml:space="preserve"> </w:t>
      </w:r>
      <w:r w:rsidRPr="00932EBB">
        <w:rPr>
          <w:rFonts w:ascii="Times New Roman" w:hAnsi="Times New Roman"/>
        </w:rPr>
        <w:t>mg</w:t>
      </w:r>
      <w:r w:rsidRPr="009A3B9B">
        <w:rPr>
          <w:rFonts w:ascii="Times New Roman" w:hAnsi="Times New Roman"/>
        </w:rPr>
        <w:t>每周</w:t>
      </w:r>
      <w:r w:rsidRPr="00932EBB">
        <w:rPr>
          <w:rFonts w:ascii="Times New Roman" w:hAnsi="Times New Roman"/>
        </w:rPr>
        <w:t>1</w:t>
      </w:r>
      <w:r w:rsidRPr="009A3B9B">
        <w:rPr>
          <w:rFonts w:ascii="Times New Roman" w:hAnsi="Times New Roman"/>
        </w:rPr>
        <w:t>次，</w:t>
      </w:r>
      <w:r w:rsidRPr="00E204D0">
        <w:rPr>
          <w:rFonts w:ascii="Times New Roman" w:hAnsi="Times New Roman"/>
        </w:rPr>
        <w:t>该方案为本中心临床实践中的常用给药方式。</w:t>
      </w:r>
    </w:p>
    <w:p w14:paraId="32820CD8"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3</w:t>
      </w:r>
      <w:r>
        <w:rPr>
          <w:rFonts w:ascii="Times New Roman" w:hAnsi="Times New Roman" w:hint="eastAsia"/>
          <w:b/>
          <w:bCs/>
        </w:rPr>
        <w:t xml:space="preserve"> </w:t>
      </w:r>
      <w:r>
        <w:rPr>
          <w:rFonts w:ascii="Times New Roman" w:hAnsi="Times New Roman" w:hint="eastAsia"/>
          <w:b/>
          <w:bCs/>
        </w:rPr>
        <w:t>同步放化疗方案</w:t>
      </w:r>
    </w:p>
    <w:p w14:paraId="423378CF"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诱导治疗结束后，所有患者接受调强放射治疗（</w:t>
      </w:r>
      <w:r w:rsidRPr="00932EBB">
        <w:rPr>
          <w:rFonts w:ascii="Times New Roman" w:hAnsi="Times New Roman"/>
        </w:rPr>
        <w:t>IMRT</w:t>
      </w:r>
      <w:r>
        <w:rPr>
          <w:rFonts w:ascii="Times New Roman" w:hAnsi="Times New Roman"/>
        </w:rPr>
        <w:t>）。靶区勾画及剂量设计参照</w:t>
      </w:r>
      <w:r w:rsidRPr="00932EBB">
        <w:rPr>
          <w:rFonts w:ascii="Times New Roman" w:hAnsi="Times New Roman"/>
        </w:rPr>
        <w:t>CSCO</w:t>
      </w:r>
      <w:r>
        <w:rPr>
          <w:rFonts w:ascii="Times New Roman" w:hAnsi="Times New Roman"/>
        </w:rPr>
        <w:t>及国内头颈肿瘤放疗指南。处方剂量：</w:t>
      </w:r>
      <w:r w:rsidRPr="00932EBB">
        <w:rPr>
          <w:rFonts w:ascii="Times New Roman" w:hAnsi="Times New Roman"/>
        </w:rPr>
        <w:t>GTVnx</w:t>
      </w:r>
      <w:r>
        <w:rPr>
          <w:rFonts w:ascii="Times New Roman" w:hAnsi="Times New Roman"/>
        </w:rPr>
        <w:t>/</w:t>
      </w:r>
      <w:r w:rsidRPr="00932EBB">
        <w:rPr>
          <w:rFonts w:ascii="Times New Roman" w:hAnsi="Times New Roman"/>
        </w:rPr>
        <w:t>GTVnd</w:t>
      </w:r>
      <w:r>
        <w:rPr>
          <w:rFonts w:ascii="Times New Roman" w:hAnsi="Times New Roman"/>
        </w:rPr>
        <w:t xml:space="preserve"> </w:t>
      </w:r>
      <w:r w:rsidRPr="00932EBB">
        <w:rPr>
          <w:rFonts w:ascii="Times New Roman" w:hAnsi="Times New Roman"/>
        </w:rPr>
        <w:t>68</w:t>
      </w:r>
      <w:r>
        <w:rPr>
          <w:rFonts w:ascii="Times New Roman" w:hAnsi="Times New Roman"/>
        </w:rPr>
        <w:t>～</w:t>
      </w:r>
      <w:r w:rsidRPr="00932EBB">
        <w:rPr>
          <w:rFonts w:ascii="Times New Roman" w:hAnsi="Times New Roman"/>
        </w:rPr>
        <w:t>70Gy</w:t>
      </w:r>
      <w:r>
        <w:rPr>
          <w:rFonts w:ascii="Times New Roman" w:hAnsi="Times New Roman"/>
        </w:rPr>
        <w:t>，</w:t>
      </w:r>
      <w:r w:rsidRPr="00932EBB">
        <w:rPr>
          <w:rFonts w:ascii="Times New Roman" w:hAnsi="Times New Roman"/>
        </w:rPr>
        <w:t>CTV1</w:t>
      </w:r>
      <w:r>
        <w:rPr>
          <w:rFonts w:ascii="Times New Roman" w:hAnsi="Times New Roman"/>
        </w:rPr>
        <w:t xml:space="preserve"> </w:t>
      </w:r>
      <w:r w:rsidRPr="00932EBB">
        <w:rPr>
          <w:rFonts w:ascii="Times New Roman" w:hAnsi="Times New Roman"/>
        </w:rPr>
        <w:t>60</w:t>
      </w:r>
      <w:r>
        <w:rPr>
          <w:rFonts w:ascii="Times New Roman" w:hAnsi="Times New Roman"/>
        </w:rPr>
        <w:t>～</w:t>
      </w:r>
      <w:r w:rsidRPr="00932EBB">
        <w:rPr>
          <w:rFonts w:ascii="Times New Roman" w:hAnsi="Times New Roman"/>
        </w:rPr>
        <w:t>64Gy</w:t>
      </w:r>
      <w:r>
        <w:rPr>
          <w:rFonts w:ascii="Times New Roman" w:hAnsi="Times New Roman"/>
        </w:rPr>
        <w:t>，</w:t>
      </w:r>
      <w:r w:rsidRPr="00932EBB">
        <w:rPr>
          <w:rFonts w:ascii="Times New Roman" w:hAnsi="Times New Roman"/>
        </w:rPr>
        <w:t>CTV2</w:t>
      </w:r>
      <w:r>
        <w:rPr>
          <w:rFonts w:ascii="Times New Roman" w:hAnsi="Times New Roman"/>
        </w:rPr>
        <w:t xml:space="preserve"> </w:t>
      </w:r>
      <w:r w:rsidRPr="00932EBB">
        <w:rPr>
          <w:rFonts w:ascii="Times New Roman" w:hAnsi="Times New Roman"/>
        </w:rPr>
        <w:t>54</w:t>
      </w:r>
      <w:r>
        <w:rPr>
          <w:rFonts w:ascii="Times New Roman" w:hAnsi="Times New Roman"/>
        </w:rPr>
        <w:t>～</w:t>
      </w:r>
      <w:r w:rsidRPr="00932EBB">
        <w:rPr>
          <w:rFonts w:ascii="Times New Roman" w:hAnsi="Times New Roman"/>
        </w:rPr>
        <w:t>56Gy</w:t>
      </w:r>
      <w:r>
        <w:rPr>
          <w:rFonts w:ascii="Times New Roman" w:hAnsi="Times New Roman"/>
        </w:rPr>
        <w:t>，每周</w:t>
      </w:r>
      <w:r w:rsidRPr="00932EBB">
        <w:rPr>
          <w:rFonts w:ascii="Times New Roman" w:hAnsi="Times New Roman"/>
        </w:rPr>
        <w:t>5</w:t>
      </w:r>
      <w:r>
        <w:rPr>
          <w:rFonts w:ascii="Times New Roman" w:hAnsi="Times New Roman"/>
        </w:rPr>
        <w:t>次，疗程</w:t>
      </w:r>
      <w:r w:rsidRPr="00932EBB">
        <w:rPr>
          <w:rFonts w:ascii="Times New Roman" w:hAnsi="Times New Roman"/>
        </w:rPr>
        <w:t>6</w:t>
      </w:r>
      <w:r>
        <w:rPr>
          <w:rFonts w:ascii="Times New Roman" w:hAnsi="Times New Roman"/>
        </w:rPr>
        <w:t>～</w:t>
      </w:r>
      <w:r w:rsidRPr="00932EBB">
        <w:rPr>
          <w:rFonts w:ascii="Times New Roman" w:hAnsi="Times New Roman"/>
        </w:rPr>
        <w:t>7</w:t>
      </w:r>
      <w:r>
        <w:rPr>
          <w:rFonts w:ascii="Times New Roman" w:hAnsi="Times New Roman"/>
        </w:rPr>
        <w:t>周。同步化疗采用顺铂方案：</w:t>
      </w:r>
      <w:r w:rsidRPr="00932EBB">
        <w:rPr>
          <w:rFonts w:ascii="Times New Roman" w:hAnsi="Times New Roman"/>
        </w:rPr>
        <w:t>80</w:t>
      </w:r>
      <w:r>
        <w:rPr>
          <w:rFonts w:ascii="Times New Roman" w:hAnsi="Times New Roman"/>
        </w:rPr>
        <w:t>～</w:t>
      </w:r>
      <w:r w:rsidRPr="00932EBB">
        <w:rPr>
          <w:rFonts w:ascii="Times New Roman" w:hAnsi="Times New Roman"/>
        </w:rPr>
        <w:t>100mg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每</w:t>
      </w:r>
      <w:r w:rsidRPr="00932EBB">
        <w:rPr>
          <w:rFonts w:ascii="Times New Roman" w:hAnsi="Times New Roman"/>
        </w:rPr>
        <w:t>3</w:t>
      </w:r>
      <w:r>
        <w:rPr>
          <w:rFonts w:ascii="Times New Roman" w:hAnsi="Times New Roman"/>
        </w:rPr>
        <w:t>周一次或</w:t>
      </w:r>
      <w:r w:rsidRPr="00932EBB">
        <w:rPr>
          <w:rFonts w:ascii="Times New Roman" w:hAnsi="Times New Roman"/>
        </w:rPr>
        <w:t>40mg</w:t>
      </w:r>
      <w:r>
        <w:rPr>
          <w:rFonts w:ascii="Times New Roman" w:hAnsi="Times New Roman"/>
        </w:rPr>
        <w:t>/</w:t>
      </w:r>
      <w:r w:rsidRPr="00932EBB">
        <w:rPr>
          <w:rFonts w:ascii="Times New Roman" w:hAnsi="Times New Roman"/>
        </w:rPr>
        <w:t>m</w:t>
      </w:r>
      <w:r>
        <w:rPr>
          <w:rFonts w:ascii="Times New Roman" w:hAnsi="Times New Roman"/>
        </w:rPr>
        <w:t>²</w:t>
      </w:r>
      <w:r>
        <w:rPr>
          <w:rFonts w:ascii="Times New Roman" w:hAnsi="Times New Roman"/>
        </w:rPr>
        <w:t>每周一次</w:t>
      </w:r>
      <w:r>
        <w:rPr>
          <w:rFonts w:ascii="Times New Roman" w:hAnsi="Times New Roman" w:hint="eastAsia"/>
        </w:rPr>
        <w:t>，</w:t>
      </w:r>
      <w:r>
        <w:rPr>
          <w:rFonts w:ascii="Times New Roman" w:hAnsi="Times New Roman"/>
        </w:rPr>
        <w:t>同步靶向治疗联合尼妥珠单抗，剂量为</w:t>
      </w:r>
      <w:r w:rsidRPr="00932EBB">
        <w:rPr>
          <w:rFonts w:ascii="Times New Roman" w:hAnsi="Times New Roman"/>
        </w:rPr>
        <w:t>200mg</w:t>
      </w:r>
      <w:r>
        <w:rPr>
          <w:rFonts w:ascii="Times New Roman" w:hAnsi="Times New Roman"/>
        </w:rPr>
        <w:t>每周</w:t>
      </w:r>
      <w:r w:rsidRPr="00932EBB">
        <w:rPr>
          <w:rFonts w:ascii="Times New Roman" w:hAnsi="Times New Roman"/>
        </w:rPr>
        <w:t>1</w:t>
      </w:r>
      <w:r>
        <w:rPr>
          <w:rFonts w:ascii="Times New Roman" w:hAnsi="Times New Roman"/>
        </w:rPr>
        <w:t>次，持续</w:t>
      </w:r>
      <w:r w:rsidRPr="00932EBB">
        <w:rPr>
          <w:rFonts w:ascii="Times New Roman" w:hAnsi="Times New Roman"/>
        </w:rPr>
        <w:t>6</w:t>
      </w:r>
      <w:r>
        <w:rPr>
          <w:rFonts w:ascii="Times New Roman" w:hAnsi="Times New Roman"/>
        </w:rPr>
        <w:t>～</w:t>
      </w:r>
      <w:r w:rsidRPr="00932EBB">
        <w:rPr>
          <w:rFonts w:ascii="Times New Roman" w:hAnsi="Times New Roman"/>
        </w:rPr>
        <w:t>7</w:t>
      </w:r>
      <w:r>
        <w:rPr>
          <w:rFonts w:ascii="Times New Roman" w:hAnsi="Times New Roman"/>
        </w:rPr>
        <w:t>周</w:t>
      </w:r>
      <w:r>
        <w:rPr>
          <w:rFonts w:ascii="Times New Roman" w:hAnsi="Times New Roman" w:hint="eastAsia"/>
        </w:rPr>
        <w:t>。</w:t>
      </w:r>
    </w:p>
    <w:p w14:paraId="4BAE7BD5"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4</w:t>
      </w:r>
      <w:r>
        <w:rPr>
          <w:rFonts w:ascii="Times New Roman" w:hAnsi="Times New Roman" w:hint="eastAsia"/>
          <w:b/>
          <w:bCs/>
        </w:rPr>
        <w:t xml:space="preserve"> </w:t>
      </w:r>
      <w:r>
        <w:rPr>
          <w:rFonts w:ascii="Times New Roman" w:hAnsi="Times New Roman" w:hint="eastAsia"/>
          <w:b/>
          <w:bCs/>
        </w:rPr>
        <w:t>随访及评估</w:t>
      </w:r>
    </w:p>
    <w:p w14:paraId="7FD18406" w14:textId="5F5DEC1A" w:rsidR="00D606CB" w:rsidRDefault="00000000">
      <w:pPr>
        <w:pStyle w:val="a9"/>
        <w:adjustRightInd w:val="0"/>
        <w:snapToGrid w:val="0"/>
        <w:spacing w:after="0" w:line="360" w:lineRule="auto"/>
        <w:ind w:firstLineChars="200" w:firstLine="480"/>
        <w:rPr>
          <w:rFonts w:ascii="Times New Roman" w:hAnsi="Times New Roman"/>
        </w:rPr>
      </w:pPr>
      <w:r>
        <w:rPr>
          <w:rFonts w:ascii="Times New Roman" w:hAnsi="Times New Roman" w:hint="eastAsia"/>
        </w:rPr>
        <w:lastRenderedPageBreak/>
        <w:t>近期疗效于诱导治疗结束后及放疗结束后</w:t>
      </w:r>
      <w:r w:rsidRPr="00932EBB">
        <w:rPr>
          <w:rFonts w:ascii="Times New Roman" w:hAnsi="Times New Roman" w:hint="eastAsia"/>
        </w:rPr>
        <w:t>4</w:t>
      </w:r>
      <w:r>
        <w:rPr>
          <w:rFonts w:ascii="Times New Roman" w:hAnsi="Times New Roman" w:hint="eastAsia"/>
        </w:rPr>
        <w:t>～</w:t>
      </w:r>
      <w:r w:rsidRPr="00932EBB">
        <w:rPr>
          <w:rFonts w:ascii="Times New Roman" w:hAnsi="Times New Roman" w:hint="eastAsia"/>
        </w:rPr>
        <w:t>6</w:t>
      </w:r>
      <w:r>
        <w:rPr>
          <w:rFonts w:ascii="Times New Roman" w:hAnsi="Times New Roman" w:hint="eastAsia"/>
        </w:rPr>
        <w:t>周评估，依据</w:t>
      </w:r>
      <w:r w:rsidRPr="00932EBB">
        <w:rPr>
          <w:rFonts w:ascii="Times New Roman" w:hAnsi="Times New Roman" w:hint="eastAsia"/>
        </w:rPr>
        <w:t>RECIST1</w:t>
      </w:r>
      <w:r>
        <w:rPr>
          <w:rFonts w:ascii="Times New Roman" w:hAnsi="Times New Roman" w:hint="eastAsia"/>
        </w:rPr>
        <w:t>.</w:t>
      </w:r>
      <w:r w:rsidRPr="00932EBB">
        <w:rPr>
          <w:rFonts w:ascii="Times New Roman" w:hAnsi="Times New Roman" w:hint="eastAsia"/>
        </w:rPr>
        <w:t>1</w:t>
      </w:r>
      <w:r>
        <w:rPr>
          <w:rFonts w:ascii="Times New Roman" w:hAnsi="Times New Roman" w:hint="eastAsia"/>
        </w:rPr>
        <w:t>标准分为完全缓解（</w:t>
      </w:r>
      <w:r w:rsidRPr="00932EBB">
        <w:rPr>
          <w:rFonts w:ascii="Times New Roman" w:hAnsi="Times New Roman" w:hint="eastAsia"/>
        </w:rPr>
        <w:t>CR</w:t>
      </w:r>
      <w:r>
        <w:rPr>
          <w:rFonts w:ascii="Times New Roman" w:hAnsi="Times New Roman" w:hint="eastAsia"/>
        </w:rPr>
        <w:t>）、部分缓解（</w:t>
      </w:r>
      <w:r w:rsidRPr="00932EBB">
        <w:rPr>
          <w:rFonts w:ascii="Times New Roman" w:hAnsi="Times New Roman" w:hint="eastAsia"/>
        </w:rPr>
        <w:t>PR</w:t>
      </w:r>
      <w:r>
        <w:rPr>
          <w:rFonts w:ascii="Times New Roman" w:hAnsi="Times New Roman" w:hint="eastAsia"/>
        </w:rPr>
        <w:t>）、疾病稳定（</w:t>
      </w:r>
      <w:r w:rsidRPr="00932EBB">
        <w:rPr>
          <w:rFonts w:ascii="Times New Roman" w:hAnsi="Times New Roman" w:hint="eastAsia"/>
        </w:rPr>
        <w:t>SD</w:t>
      </w:r>
      <w:r>
        <w:rPr>
          <w:rFonts w:ascii="Times New Roman" w:hAnsi="Times New Roman" w:hint="eastAsia"/>
        </w:rPr>
        <w:t>）和疾病进展（</w:t>
      </w:r>
      <w:r w:rsidRPr="00932EBB">
        <w:rPr>
          <w:rFonts w:ascii="Times New Roman" w:hAnsi="Times New Roman" w:hint="eastAsia"/>
        </w:rPr>
        <w:t>PD</w:t>
      </w:r>
      <w:r>
        <w:rPr>
          <w:rFonts w:ascii="Times New Roman" w:hAnsi="Times New Roman" w:hint="eastAsia"/>
        </w:rPr>
        <w:t>）。</w:t>
      </w:r>
      <w:r>
        <w:rPr>
          <w:rFonts w:ascii="Times New Roman" w:hAnsi="Times New Roman"/>
        </w:rPr>
        <w:t>放疗结束后前</w:t>
      </w:r>
      <w:r w:rsidRPr="00932EBB">
        <w:rPr>
          <w:rFonts w:ascii="Times New Roman" w:hAnsi="Times New Roman"/>
        </w:rPr>
        <w:t>3</w:t>
      </w:r>
      <w:r>
        <w:rPr>
          <w:rFonts w:ascii="Times New Roman" w:hAnsi="Times New Roman"/>
        </w:rPr>
        <w:t>年每</w:t>
      </w:r>
      <w:r w:rsidRPr="00932EBB">
        <w:rPr>
          <w:rFonts w:ascii="Times New Roman" w:hAnsi="Times New Roman"/>
        </w:rPr>
        <w:t>3</w:t>
      </w:r>
      <w:r>
        <w:rPr>
          <w:rFonts w:ascii="Times New Roman" w:hAnsi="Times New Roman"/>
        </w:rPr>
        <w:t>～</w:t>
      </w:r>
      <w:r w:rsidRPr="00932EBB">
        <w:rPr>
          <w:rFonts w:ascii="Times New Roman" w:hAnsi="Times New Roman"/>
        </w:rPr>
        <w:t>6</w:t>
      </w:r>
      <w:r>
        <w:rPr>
          <w:rFonts w:ascii="Times New Roman" w:hAnsi="Times New Roman"/>
        </w:rPr>
        <w:t>个月随访一次，第</w:t>
      </w:r>
      <w:r w:rsidRPr="00932EBB">
        <w:rPr>
          <w:rFonts w:ascii="Times New Roman" w:hAnsi="Times New Roman"/>
        </w:rPr>
        <w:t>4</w:t>
      </w:r>
      <w:r>
        <w:rPr>
          <w:rFonts w:ascii="Times New Roman" w:hAnsi="Times New Roman"/>
        </w:rPr>
        <w:t>～</w:t>
      </w:r>
      <w:r w:rsidRPr="00932EBB">
        <w:rPr>
          <w:rFonts w:ascii="Times New Roman" w:hAnsi="Times New Roman"/>
        </w:rPr>
        <w:t>5</w:t>
      </w:r>
      <w:r>
        <w:rPr>
          <w:rFonts w:ascii="Times New Roman" w:hAnsi="Times New Roman"/>
        </w:rPr>
        <w:t>年每</w:t>
      </w:r>
      <w:r w:rsidRPr="00932EBB">
        <w:rPr>
          <w:rFonts w:ascii="Times New Roman" w:hAnsi="Times New Roman"/>
        </w:rPr>
        <w:t>6</w:t>
      </w:r>
      <w:r>
        <w:rPr>
          <w:rFonts w:ascii="Times New Roman" w:hAnsi="Times New Roman"/>
        </w:rPr>
        <w:t>～</w:t>
      </w:r>
      <w:r w:rsidRPr="00932EBB">
        <w:rPr>
          <w:rFonts w:ascii="Times New Roman" w:hAnsi="Times New Roman"/>
        </w:rPr>
        <w:t>12</w:t>
      </w:r>
      <w:r>
        <w:rPr>
          <w:rFonts w:ascii="Times New Roman" w:hAnsi="Times New Roman"/>
        </w:rPr>
        <w:t>个月随访一次，</w:t>
      </w:r>
      <w:r w:rsidRPr="00932EBB">
        <w:rPr>
          <w:rFonts w:ascii="Times New Roman" w:hAnsi="Times New Roman"/>
        </w:rPr>
        <w:t>5</w:t>
      </w:r>
      <w:r>
        <w:rPr>
          <w:rFonts w:ascii="Times New Roman" w:hAnsi="Times New Roman"/>
        </w:rPr>
        <w:t>年后每年随访一次。随访内容包括影像学评估、生存状态及治疗相关不良反应。</w:t>
      </w:r>
      <w:r>
        <w:rPr>
          <w:rFonts w:ascii="Times New Roman" w:hAnsi="Times New Roman" w:hint="eastAsia"/>
        </w:rPr>
        <w:t>影像学评估以鼻咽及颈部增强</w:t>
      </w:r>
      <w:r w:rsidRPr="00932EBB">
        <w:rPr>
          <w:rFonts w:ascii="Times New Roman" w:hAnsi="Times New Roman" w:hint="eastAsia"/>
        </w:rPr>
        <w:t>MRI</w:t>
      </w:r>
      <w:r>
        <w:rPr>
          <w:rFonts w:ascii="Times New Roman" w:hAnsi="Times New Roman" w:hint="eastAsia"/>
        </w:rPr>
        <w:t>为主，必要时结合</w:t>
      </w:r>
      <w:r w:rsidRPr="00932EBB">
        <w:rPr>
          <w:rFonts w:ascii="Times New Roman" w:hAnsi="Times New Roman" w:hint="eastAsia"/>
        </w:rPr>
        <w:t>PET</w:t>
      </w:r>
      <w:r>
        <w:rPr>
          <w:rFonts w:ascii="Times New Roman" w:hAnsi="Times New Roman" w:hint="eastAsia"/>
        </w:rPr>
        <w:t>-</w:t>
      </w:r>
      <w:r w:rsidRPr="00932EBB">
        <w:rPr>
          <w:rFonts w:ascii="Times New Roman" w:hAnsi="Times New Roman" w:hint="eastAsia"/>
        </w:rPr>
        <w:t>CT</w:t>
      </w:r>
      <w:r>
        <w:rPr>
          <w:rFonts w:ascii="Times New Roman" w:hAnsi="Times New Roman" w:hint="eastAsia"/>
        </w:rPr>
        <w:t>或内镜检查。</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rPr>
        <w:t>表达采用免疫组织化学（</w:t>
      </w:r>
      <w:r w:rsidRPr="00932EBB">
        <w:rPr>
          <w:rFonts w:ascii="Times New Roman" w:hAnsi="Times New Roman"/>
        </w:rPr>
        <w:t>IHC</w:t>
      </w:r>
      <w:r>
        <w:rPr>
          <w:rFonts w:ascii="Times New Roman" w:hAnsi="Times New Roman"/>
        </w:rPr>
        <w:t>）方法检测，以</w:t>
      </w:r>
      <w:r w:rsidRPr="00932EBB">
        <w:rPr>
          <w:rFonts w:ascii="Times New Roman" w:hAnsi="Times New Roman"/>
        </w:rPr>
        <w:t>CPS</w:t>
      </w:r>
      <w:r>
        <w:rPr>
          <w:rFonts w:ascii="Times New Roman" w:hAnsi="Times New Roman"/>
        </w:rPr>
        <w:t>（</w:t>
      </w:r>
      <w:r w:rsidRPr="00932EBB">
        <w:rPr>
          <w:rFonts w:ascii="Times New Roman" w:hAnsi="Times New Roman"/>
        </w:rPr>
        <w:t>combined</w:t>
      </w:r>
      <w:r>
        <w:rPr>
          <w:rFonts w:ascii="Times New Roman" w:hAnsi="Times New Roman"/>
        </w:rPr>
        <w:t xml:space="preserve"> </w:t>
      </w:r>
      <w:r w:rsidRPr="00932EBB">
        <w:rPr>
          <w:rFonts w:ascii="Times New Roman" w:hAnsi="Times New Roman"/>
        </w:rPr>
        <w:t>positive</w:t>
      </w:r>
      <w:r>
        <w:rPr>
          <w:rFonts w:ascii="Times New Roman" w:hAnsi="Times New Roman"/>
        </w:rPr>
        <w:t xml:space="preserve"> </w:t>
      </w:r>
      <w:r w:rsidRPr="00932EBB">
        <w:rPr>
          <w:rFonts w:ascii="Times New Roman" w:hAnsi="Times New Roman"/>
        </w:rPr>
        <w:t>score</w:t>
      </w:r>
      <w:r>
        <w:rPr>
          <w:rFonts w:ascii="Times New Roman" w:hAnsi="Times New Roman"/>
        </w:rPr>
        <w:t>）进行评估，检测平台为</w:t>
      </w:r>
      <w:r w:rsidRPr="00932EBB">
        <w:rPr>
          <w:rFonts w:ascii="Times New Roman" w:hAnsi="Times New Roman"/>
        </w:rPr>
        <w:t>Ventana</w:t>
      </w:r>
      <w:r>
        <w:rPr>
          <w:rFonts w:ascii="Times New Roman" w:hAnsi="Times New Roman"/>
        </w:rPr>
        <w:t xml:space="preserve"> </w:t>
      </w:r>
      <w:r w:rsidRPr="00932EBB">
        <w:rPr>
          <w:rFonts w:ascii="Times New Roman" w:hAnsi="Times New Roman"/>
        </w:rPr>
        <w:t>BenchMark</w:t>
      </w:r>
      <w:r>
        <w:rPr>
          <w:rFonts w:ascii="Times New Roman" w:hAnsi="Times New Roman"/>
        </w:rPr>
        <w:t>系统。</w:t>
      </w:r>
      <w:r w:rsidRPr="00932EBB">
        <w:rPr>
          <w:rFonts w:ascii="Times New Roman" w:hAnsi="Times New Roman"/>
        </w:rPr>
        <w:t>EGFR</w:t>
      </w:r>
      <w:r>
        <w:rPr>
          <w:rFonts w:ascii="Times New Roman" w:hAnsi="Times New Roman"/>
        </w:rPr>
        <w:t>表达水平依据显微镜下观察到的染色强度及分布模式进行分级，并被分为四个等级：阴性（</w:t>
      </w:r>
      <w:r>
        <w:rPr>
          <w:rFonts w:ascii="Times New Roman" w:hAnsi="Times New Roman"/>
        </w:rPr>
        <w:t>–</w:t>
      </w:r>
      <w:r>
        <w:rPr>
          <w:rFonts w:ascii="Times New Roman" w:hAnsi="Times New Roman"/>
        </w:rPr>
        <w:t>）、弱阳性（</w:t>
      </w:r>
      <w:r>
        <w:rPr>
          <w:rFonts w:ascii="Times New Roman" w:hAnsi="Times New Roman"/>
        </w:rPr>
        <w:t>+</w:t>
      </w:r>
      <w:r>
        <w:rPr>
          <w:rFonts w:ascii="Times New Roman" w:hAnsi="Times New Roman"/>
        </w:rPr>
        <w:t>）、中等阳性（</w:t>
      </w:r>
      <w:r>
        <w:rPr>
          <w:rFonts w:ascii="Times New Roman" w:hAnsi="Times New Roman"/>
        </w:rPr>
        <w:t>++</w:t>
      </w:r>
      <w:r>
        <w:rPr>
          <w:rFonts w:ascii="Times New Roman" w:hAnsi="Times New Roman"/>
        </w:rPr>
        <w:t>）和强阳性（</w:t>
      </w:r>
      <w:r>
        <w:rPr>
          <w:rFonts w:ascii="Times New Roman" w:hAnsi="Times New Roman"/>
        </w:rPr>
        <w:t>+++</w:t>
      </w:r>
      <w:r>
        <w:rPr>
          <w:rFonts w:ascii="Times New Roman" w:hAnsi="Times New Roman"/>
        </w:rPr>
        <w:t>）</w:t>
      </w:r>
      <w:r>
        <w:rPr>
          <w:rFonts w:ascii="Times New Roman" w:hAnsi="Times New Roman" w:hint="eastAsia"/>
        </w:rPr>
        <w:t>。不良反应依据</w:t>
      </w:r>
      <w:r w:rsidR="000F3B9C" w:rsidRPr="000F3B9C">
        <w:rPr>
          <w:rFonts w:ascii="Times New Roman" w:hAnsi="Times New Roman"/>
        </w:rPr>
        <w:t>Common Terminology Criteria for Adverse Events version 4.0</w:t>
      </w:r>
      <w:r w:rsidR="000F3B9C" w:rsidRPr="000F3B9C">
        <w:rPr>
          <w:rFonts w:ascii="Times New Roman" w:hAnsi="Times New Roman"/>
        </w:rPr>
        <w:t>（</w:t>
      </w:r>
      <w:r w:rsidR="000F3B9C" w:rsidRPr="000F3B9C">
        <w:rPr>
          <w:rFonts w:ascii="Times New Roman" w:hAnsi="Times New Roman"/>
        </w:rPr>
        <w:t>CTCAE 4.0</w:t>
      </w:r>
      <w:r w:rsidR="000F3B9C" w:rsidRPr="000F3B9C">
        <w:rPr>
          <w:rFonts w:ascii="Times New Roman" w:hAnsi="Times New Roman"/>
        </w:rPr>
        <w:t>）</w:t>
      </w:r>
      <w:r>
        <w:rPr>
          <w:rFonts w:ascii="Times New Roman" w:hAnsi="Times New Roman" w:hint="eastAsia"/>
        </w:rPr>
        <w:t>进行分级，记录治疗期间出现的最高级别。</w:t>
      </w:r>
    </w:p>
    <w:p w14:paraId="23C2DEBB"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5</w:t>
      </w:r>
      <w:r>
        <w:rPr>
          <w:rFonts w:ascii="Times New Roman" w:hAnsi="Times New Roman" w:hint="eastAsia"/>
          <w:b/>
          <w:bCs/>
        </w:rPr>
        <w:t xml:space="preserve"> </w:t>
      </w:r>
      <w:r>
        <w:rPr>
          <w:rFonts w:ascii="Times New Roman" w:hAnsi="Times New Roman" w:hint="eastAsia"/>
          <w:b/>
          <w:bCs/>
        </w:rPr>
        <w:t>研究终点</w:t>
      </w:r>
    </w:p>
    <w:p w14:paraId="05E76BDA"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主要研究终点为诱导治疗结束后的客观缓解率（</w:t>
      </w:r>
      <w:r w:rsidRPr="00932EBB">
        <w:rPr>
          <w:rFonts w:ascii="Times New Roman" w:hAnsi="Times New Roman"/>
        </w:rPr>
        <w:t>ORR</w:t>
      </w:r>
      <w:r>
        <w:rPr>
          <w:rFonts w:ascii="Times New Roman" w:hAnsi="Times New Roman"/>
        </w:rPr>
        <w:t>＝</w:t>
      </w:r>
      <w:r w:rsidRPr="00932EBB">
        <w:rPr>
          <w:rFonts w:ascii="Times New Roman" w:hAnsi="Times New Roman"/>
        </w:rPr>
        <w:t>CR</w:t>
      </w:r>
      <w:r>
        <w:rPr>
          <w:rFonts w:ascii="Times New Roman" w:hAnsi="Times New Roman"/>
        </w:rPr>
        <w:t>＋</w:t>
      </w:r>
      <w:r w:rsidRPr="00932EBB">
        <w:rPr>
          <w:rFonts w:ascii="Times New Roman" w:hAnsi="Times New Roman"/>
        </w:rPr>
        <w:t>PR</w:t>
      </w:r>
      <w:r>
        <w:rPr>
          <w:rFonts w:ascii="Times New Roman" w:hAnsi="Times New Roman"/>
        </w:rPr>
        <w:t>），次要研究终点包括无进展生存期（</w:t>
      </w:r>
      <w:r w:rsidRPr="00932EBB">
        <w:rPr>
          <w:rFonts w:ascii="Times New Roman" w:hAnsi="Times New Roman"/>
        </w:rPr>
        <w:t>PFS</w:t>
      </w:r>
      <w:r>
        <w:rPr>
          <w:rFonts w:ascii="Times New Roman" w:hAnsi="Times New Roman"/>
        </w:rPr>
        <w:t>）、局部区域无复发生存期（</w:t>
      </w:r>
      <w:r w:rsidRPr="00932EBB">
        <w:rPr>
          <w:rFonts w:ascii="Times New Roman" w:hAnsi="Times New Roman"/>
        </w:rPr>
        <w:t>LRFS</w:t>
      </w:r>
      <w:r>
        <w:rPr>
          <w:rFonts w:ascii="Times New Roman" w:hAnsi="Times New Roman"/>
        </w:rPr>
        <w:t>）、无远处转移生存期（</w:t>
      </w:r>
      <w:r w:rsidRPr="00932EBB">
        <w:rPr>
          <w:rFonts w:ascii="Times New Roman" w:hAnsi="Times New Roman"/>
        </w:rPr>
        <w:t>DMFS</w:t>
      </w:r>
      <w:r>
        <w:rPr>
          <w:rFonts w:ascii="Times New Roman" w:hAnsi="Times New Roman"/>
        </w:rPr>
        <w:t>）及总生存期（</w:t>
      </w:r>
      <w:r w:rsidRPr="00932EBB">
        <w:rPr>
          <w:rFonts w:ascii="Times New Roman" w:hAnsi="Times New Roman"/>
        </w:rPr>
        <w:t>OS</w:t>
      </w:r>
      <w:r>
        <w:rPr>
          <w:rFonts w:ascii="Times New Roman" w:hAnsi="Times New Roman"/>
        </w:rPr>
        <w:t>）。</w:t>
      </w:r>
    </w:p>
    <w:p w14:paraId="1A213B5A"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1</w:t>
      </w:r>
      <w:r>
        <w:rPr>
          <w:rFonts w:ascii="Times New Roman" w:hAnsi="Times New Roman" w:hint="eastAsia"/>
          <w:b/>
          <w:bCs/>
        </w:rPr>
        <w:t>.</w:t>
      </w:r>
      <w:r w:rsidRPr="00932EBB">
        <w:rPr>
          <w:rFonts w:ascii="Times New Roman" w:hAnsi="Times New Roman" w:hint="eastAsia"/>
          <w:b/>
          <w:bCs/>
        </w:rPr>
        <w:t>6</w:t>
      </w:r>
      <w:r>
        <w:rPr>
          <w:rFonts w:ascii="Times New Roman" w:hAnsi="Times New Roman" w:hint="eastAsia"/>
          <w:b/>
          <w:bCs/>
        </w:rPr>
        <w:t xml:space="preserve"> </w:t>
      </w:r>
      <w:r>
        <w:rPr>
          <w:rFonts w:ascii="Times New Roman" w:hAnsi="Times New Roman" w:hint="eastAsia"/>
          <w:b/>
          <w:bCs/>
        </w:rPr>
        <w:t>统计分析</w:t>
      </w:r>
    </w:p>
    <w:p w14:paraId="07EEA52B" w14:textId="510A8679"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所有统计分析均采用</w:t>
      </w:r>
      <w:r w:rsidRPr="00932EBB">
        <w:rPr>
          <w:rFonts w:ascii="Times New Roman" w:hAnsi="Times New Roman"/>
        </w:rPr>
        <w:t>R</w:t>
      </w:r>
      <w:r>
        <w:rPr>
          <w:rFonts w:ascii="Times New Roman" w:hAnsi="Times New Roman" w:hint="eastAsia"/>
        </w:rPr>
        <w:t xml:space="preserve"> </w:t>
      </w:r>
      <w:r w:rsidRPr="00932EBB">
        <w:rPr>
          <w:rFonts w:ascii="Times New Roman" w:hAnsi="Times New Roman"/>
        </w:rPr>
        <w:t>4</w:t>
      </w:r>
      <w:r>
        <w:rPr>
          <w:rFonts w:ascii="Times New Roman" w:hAnsi="Times New Roman"/>
        </w:rPr>
        <w:t>.</w:t>
      </w:r>
      <w:r w:rsidRPr="00932EBB">
        <w:rPr>
          <w:rFonts w:ascii="Times New Roman" w:hAnsi="Times New Roman"/>
        </w:rPr>
        <w:t>5</w:t>
      </w:r>
      <w:r>
        <w:rPr>
          <w:rFonts w:ascii="Times New Roman" w:hAnsi="Times New Roman"/>
        </w:rPr>
        <w:t>.</w:t>
      </w:r>
      <w:r w:rsidRPr="00932EBB">
        <w:rPr>
          <w:rFonts w:ascii="Times New Roman" w:hAnsi="Times New Roman"/>
        </w:rPr>
        <w:t>1</w:t>
      </w:r>
      <w:r>
        <w:rPr>
          <w:rFonts w:ascii="Times New Roman" w:hAnsi="Times New Roman"/>
        </w:rPr>
        <w:t xml:space="preserve"> </w:t>
      </w:r>
      <w:r>
        <w:rPr>
          <w:rFonts w:ascii="Times New Roman" w:hAnsi="Times New Roman"/>
        </w:rPr>
        <w:t>软件完成，双侧检验，</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05</w:t>
      </w:r>
      <w:r>
        <w:rPr>
          <w:rFonts w:ascii="Times New Roman" w:hAnsi="Times New Roman"/>
        </w:rPr>
        <w:t>认为差异具有统计学意义。连续变量根据分布情况以均数</w:t>
      </w:r>
      <w:r>
        <w:rPr>
          <w:rFonts w:ascii="Times New Roman" w:hAnsi="Times New Roman"/>
        </w:rPr>
        <w:t>±</w:t>
      </w:r>
      <w:r>
        <w:rPr>
          <w:rFonts w:ascii="Times New Roman" w:hAnsi="Times New Roman"/>
        </w:rPr>
        <w:t>标准差或中位数（</w:t>
      </w:r>
      <w:r w:rsidRPr="00932EBB">
        <w:rPr>
          <w:rFonts w:ascii="Times New Roman" w:hAnsi="Times New Roman"/>
        </w:rPr>
        <w:t>IQR</w:t>
      </w:r>
      <w:r>
        <w:rPr>
          <w:rFonts w:ascii="Times New Roman" w:hAnsi="Times New Roman"/>
        </w:rPr>
        <w:t>）表示，组间比较采用独立样本</w:t>
      </w:r>
      <w:r w:rsidRPr="00932EBB">
        <w:rPr>
          <w:rFonts w:ascii="Times New Roman" w:hAnsi="Times New Roman"/>
        </w:rPr>
        <w:t>t</w:t>
      </w:r>
      <w:r>
        <w:rPr>
          <w:rFonts w:ascii="Times New Roman" w:hAnsi="Times New Roman"/>
        </w:rPr>
        <w:t>检验或</w:t>
      </w:r>
      <w:r w:rsidRPr="00932EBB">
        <w:rPr>
          <w:rFonts w:ascii="Times New Roman" w:hAnsi="Times New Roman"/>
        </w:rPr>
        <w:t>Mann</w:t>
      </w:r>
      <w:r>
        <w:rPr>
          <w:rFonts w:ascii="Times New Roman" w:hAnsi="Times New Roman"/>
        </w:rPr>
        <w:t>–</w:t>
      </w:r>
      <w:r w:rsidRPr="00932EBB">
        <w:rPr>
          <w:rFonts w:ascii="Times New Roman" w:hAnsi="Times New Roman"/>
        </w:rPr>
        <w:t>Whitney</w:t>
      </w:r>
      <w:r>
        <w:rPr>
          <w:rFonts w:ascii="Times New Roman" w:hAnsi="Times New Roman"/>
        </w:rPr>
        <w:t xml:space="preserve"> </w:t>
      </w:r>
      <w:r w:rsidRPr="00932EBB">
        <w:rPr>
          <w:rFonts w:ascii="Times New Roman" w:hAnsi="Times New Roman"/>
        </w:rPr>
        <w:t>U</w:t>
      </w:r>
      <w:r>
        <w:rPr>
          <w:rFonts w:ascii="Times New Roman" w:hAnsi="Times New Roman"/>
        </w:rPr>
        <w:t>检验；分类变量以频数和百分比表示，组间比较采用</w:t>
      </w:r>
      <w:r>
        <w:rPr>
          <w:rFonts w:ascii="Times New Roman" w:hAnsi="Times New Roman"/>
        </w:rPr>
        <w:t>χ²</w:t>
      </w:r>
      <w:r>
        <w:rPr>
          <w:rFonts w:ascii="Times New Roman" w:hAnsi="Times New Roman"/>
        </w:rPr>
        <w:t>检验或</w:t>
      </w:r>
      <w:r w:rsidRPr="00932EBB">
        <w:rPr>
          <w:rFonts w:ascii="Times New Roman" w:hAnsi="Times New Roman"/>
        </w:rPr>
        <w:t>Fisher</w:t>
      </w:r>
      <w:r>
        <w:rPr>
          <w:rFonts w:ascii="Times New Roman" w:hAnsi="Times New Roman"/>
        </w:rPr>
        <w:t>精确检验。生存结局采用</w:t>
      </w:r>
      <w:r w:rsidRPr="00932EBB">
        <w:rPr>
          <w:rFonts w:ascii="Times New Roman" w:hAnsi="Times New Roman"/>
        </w:rPr>
        <w:t>Kaplan</w:t>
      </w:r>
      <w:r>
        <w:rPr>
          <w:rFonts w:ascii="Times New Roman" w:hAnsi="Times New Roman"/>
        </w:rPr>
        <w:t>–</w:t>
      </w:r>
      <w:r w:rsidRPr="00932EBB">
        <w:rPr>
          <w:rFonts w:ascii="Times New Roman" w:hAnsi="Times New Roman"/>
        </w:rPr>
        <w:t>Meier</w:t>
      </w:r>
      <w:r>
        <w:rPr>
          <w:rFonts w:ascii="Times New Roman" w:hAnsi="Times New Roman"/>
        </w:rPr>
        <w:t>法估计，组间差异通过</w:t>
      </w:r>
      <w:r w:rsidRPr="00932EBB">
        <w:rPr>
          <w:rFonts w:ascii="Times New Roman" w:hAnsi="Times New Roman"/>
        </w:rPr>
        <w:t>log</w:t>
      </w:r>
      <w:r>
        <w:rPr>
          <w:rFonts w:ascii="Times New Roman" w:hAnsi="Times New Roman"/>
        </w:rPr>
        <w:t>-</w:t>
      </w:r>
      <w:r w:rsidRPr="00932EBB">
        <w:rPr>
          <w:rFonts w:ascii="Times New Roman" w:hAnsi="Times New Roman"/>
        </w:rPr>
        <w:t>rank</w:t>
      </w:r>
      <w:r>
        <w:rPr>
          <w:rFonts w:ascii="Times New Roman" w:hAnsi="Times New Roman"/>
        </w:rPr>
        <w:t>检验进行比较。</w:t>
      </w:r>
    </w:p>
    <w:p w14:paraId="6943224F"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在整体队列中，以诱导治疗结束后的</w:t>
      </w:r>
      <w:r w:rsidRPr="00932EBB">
        <w:rPr>
          <w:rFonts w:ascii="Times New Roman" w:hAnsi="Times New Roman"/>
        </w:rPr>
        <w:t>ORR</w:t>
      </w:r>
      <w:r>
        <w:rPr>
          <w:rFonts w:ascii="Times New Roman" w:hAnsi="Times New Roman"/>
        </w:rPr>
        <w:t>为结局变量，建立多因素</w:t>
      </w:r>
      <w:r w:rsidRPr="00932EBB">
        <w:rPr>
          <w:rFonts w:ascii="Times New Roman" w:hAnsi="Times New Roman"/>
        </w:rPr>
        <w:t>Logistic</w:t>
      </w:r>
      <w:r>
        <w:rPr>
          <w:rFonts w:ascii="Times New Roman" w:hAnsi="Times New Roman"/>
        </w:rPr>
        <w:t>回归模型。根据临床意义及既往研究，将年龄、性别、</w:t>
      </w:r>
      <w:r w:rsidRPr="00932EBB">
        <w:rPr>
          <w:rFonts w:ascii="Times New Roman" w:hAnsi="Times New Roman"/>
        </w:rPr>
        <w:t>T</w:t>
      </w:r>
      <w:r>
        <w:rPr>
          <w:rFonts w:ascii="Times New Roman" w:hAnsi="Times New Roman"/>
        </w:rPr>
        <w:t>分期、</w:t>
      </w:r>
      <w:r w:rsidRPr="00932EBB">
        <w:rPr>
          <w:rFonts w:ascii="Times New Roman" w:hAnsi="Times New Roman"/>
        </w:rPr>
        <w:t>N</w:t>
      </w:r>
      <w:r>
        <w:rPr>
          <w:rFonts w:ascii="Times New Roman" w:hAnsi="Times New Roman"/>
        </w:rPr>
        <w:t>分期、基线</w:t>
      </w:r>
      <w:r w:rsidRPr="00932EBB">
        <w:rPr>
          <w:rFonts w:ascii="Times New Roman" w:hAnsi="Times New Roman"/>
        </w:rPr>
        <w:t>EBV</w:t>
      </w:r>
      <w:r>
        <w:rPr>
          <w:rFonts w:ascii="Times New Roman" w:hAnsi="Times New Roman"/>
        </w:rPr>
        <w:t>-</w:t>
      </w:r>
      <w:r w:rsidRPr="00932EBB">
        <w:rPr>
          <w:rFonts w:ascii="Times New Roman" w:hAnsi="Times New Roman"/>
        </w:rPr>
        <w:t>DNA</w:t>
      </w:r>
      <w:r>
        <w:rPr>
          <w:rFonts w:ascii="Times New Roman" w:hAnsi="Times New Roman"/>
        </w:rPr>
        <w:t>水平、结外侵犯、淋巴结坏死、</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rPr>
        <w:t>表达及</w:t>
      </w:r>
      <w:r w:rsidRPr="00932EBB">
        <w:rPr>
          <w:rFonts w:ascii="Times New Roman" w:hAnsi="Times New Roman"/>
        </w:rPr>
        <w:t>EGFR</w:t>
      </w:r>
      <w:r>
        <w:rPr>
          <w:rFonts w:ascii="Times New Roman" w:hAnsi="Times New Roman"/>
        </w:rPr>
        <w:t>表达纳入模型，计算校正后的</w:t>
      </w:r>
      <w:r w:rsidRPr="00932EBB">
        <w:rPr>
          <w:rFonts w:ascii="Times New Roman" w:hAnsi="Times New Roman"/>
        </w:rPr>
        <w:t>OR</w:t>
      </w:r>
      <w:r>
        <w:rPr>
          <w:rFonts w:ascii="Times New Roman" w:hAnsi="Times New Roman"/>
        </w:rPr>
        <w:t>及</w:t>
      </w:r>
      <w:r w:rsidRPr="00932EBB">
        <w:rPr>
          <w:rFonts w:ascii="Times New Roman" w:hAnsi="Times New Roman"/>
        </w:rPr>
        <w:t>95</w:t>
      </w:r>
      <w:r>
        <w:rPr>
          <w:rFonts w:ascii="Times New Roman" w:hAnsi="Times New Roman"/>
        </w:rPr>
        <w:t xml:space="preserve">% </w:t>
      </w:r>
      <w:r w:rsidRPr="00932EBB">
        <w:rPr>
          <w:rFonts w:ascii="Times New Roman" w:hAnsi="Times New Roman"/>
        </w:rPr>
        <w:t>CI</w:t>
      </w:r>
      <w:r>
        <w:rPr>
          <w:rFonts w:ascii="Times New Roman" w:hAnsi="Times New Roman"/>
        </w:rPr>
        <w:t>。</w:t>
      </w:r>
    </w:p>
    <w:p w14:paraId="4F8819AC"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采用倾向评分匹配法（</w:t>
      </w:r>
      <w:r w:rsidRPr="00932EBB">
        <w:rPr>
          <w:rFonts w:ascii="Times New Roman" w:hAnsi="Times New Roman"/>
        </w:rPr>
        <w:t>PSM</w:t>
      </w:r>
      <w:r>
        <w:rPr>
          <w:rFonts w:ascii="Times New Roman" w:hAnsi="Times New Roman"/>
        </w:rPr>
        <w:t>）构建匹配队列。根据整体多因素分析结果及临床相关性，将年龄（</w:t>
      </w:r>
      <w:r>
        <w:rPr>
          <w:rFonts w:ascii="Times New Roman" w:hAnsi="Times New Roman"/>
        </w:rPr>
        <w:t>≥</w:t>
      </w:r>
      <w:r w:rsidRPr="00932EBB">
        <w:rPr>
          <w:rFonts w:ascii="Times New Roman" w:hAnsi="Times New Roman"/>
        </w:rPr>
        <w:t>60</w:t>
      </w:r>
      <w:r>
        <w:rPr>
          <w:rFonts w:ascii="Times New Roman" w:hAnsi="Times New Roman"/>
        </w:rPr>
        <w:t>岁</w:t>
      </w:r>
      <w:r>
        <w:rPr>
          <w:rFonts w:ascii="Times New Roman" w:hAnsi="Times New Roman"/>
        </w:rPr>
        <w:t xml:space="preserve"> </w:t>
      </w:r>
      <w:r w:rsidRPr="00932EBB">
        <w:rPr>
          <w:rFonts w:ascii="Times New Roman" w:hAnsi="Times New Roman"/>
        </w:rPr>
        <w:t>vs</w:t>
      </w:r>
      <w:r>
        <w:rPr>
          <w:rFonts w:ascii="Times New Roman" w:hAnsi="Times New Roman"/>
        </w:rPr>
        <w:t xml:space="preserve"> </w:t>
      </w:r>
      <w:r>
        <w:rPr>
          <w:rFonts w:ascii="Times New Roman" w:hAnsi="Times New Roman"/>
        </w:rPr>
        <w:t>＜</w:t>
      </w:r>
      <w:r w:rsidRPr="00932EBB">
        <w:rPr>
          <w:rFonts w:ascii="Times New Roman" w:hAnsi="Times New Roman"/>
        </w:rPr>
        <w:t>60</w:t>
      </w:r>
      <w:r>
        <w:rPr>
          <w:rFonts w:ascii="Times New Roman" w:hAnsi="Times New Roman"/>
        </w:rPr>
        <w:t>岁）、</w:t>
      </w:r>
      <w:r w:rsidRPr="00932EBB">
        <w:rPr>
          <w:rFonts w:ascii="Times New Roman" w:hAnsi="Times New Roman"/>
        </w:rPr>
        <w:t>T</w:t>
      </w:r>
      <w:r>
        <w:rPr>
          <w:rFonts w:ascii="Times New Roman" w:hAnsi="Times New Roman"/>
        </w:rPr>
        <w:t>分期（</w:t>
      </w:r>
      <w:r w:rsidRPr="00932EBB">
        <w:rPr>
          <w:rFonts w:ascii="Times New Roman" w:hAnsi="Times New Roman"/>
        </w:rPr>
        <w:t>T3</w:t>
      </w:r>
      <w:r>
        <w:rPr>
          <w:rFonts w:ascii="Times New Roman" w:hAnsi="Times New Roman"/>
        </w:rPr>
        <w:t>–</w:t>
      </w:r>
      <w:r w:rsidRPr="00932EBB">
        <w:rPr>
          <w:rFonts w:ascii="Times New Roman" w:hAnsi="Times New Roman"/>
        </w:rPr>
        <w:t>4</w:t>
      </w:r>
      <w:r>
        <w:rPr>
          <w:rFonts w:ascii="Times New Roman" w:hAnsi="Times New Roman"/>
        </w:rPr>
        <w:t>期</w:t>
      </w:r>
      <w:r>
        <w:rPr>
          <w:rFonts w:ascii="Times New Roman" w:hAnsi="Times New Roman"/>
        </w:rPr>
        <w:t xml:space="preserve"> </w:t>
      </w:r>
      <w:r w:rsidRPr="00932EBB">
        <w:rPr>
          <w:rFonts w:ascii="Times New Roman" w:hAnsi="Times New Roman"/>
        </w:rPr>
        <w:t>vs</w:t>
      </w:r>
      <w:r>
        <w:rPr>
          <w:rFonts w:ascii="Times New Roman" w:hAnsi="Times New Roman"/>
        </w:rPr>
        <w:t xml:space="preserve"> </w:t>
      </w:r>
      <w:r w:rsidRPr="00932EBB">
        <w:rPr>
          <w:rFonts w:ascii="Times New Roman" w:hAnsi="Times New Roman"/>
        </w:rPr>
        <w:t>T1</w:t>
      </w:r>
      <w:r>
        <w:rPr>
          <w:rFonts w:ascii="Times New Roman" w:hAnsi="Times New Roman"/>
        </w:rPr>
        <w:t>–</w:t>
      </w:r>
      <w:r w:rsidRPr="00932EBB">
        <w:rPr>
          <w:rFonts w:ascii="Times New Roman" w:hAnsi="Times New Roman"/>
        </w:rPr>
        <w:t>2</w:t>
      </w:r>
      <w:r>
        <w:rPr>
          <w:rFonts w:ascii="Times New Roman" w:hAnsi="Times New Roman"/>
        </w:rPr>
        <w:t>期）、</w:t>
      </w:r>
      <w:r w:rsidRPr="00932EBB">
        <w:rPr>
          <w:rFonts w:ascii="Times New Roman" w:hAnsi="Times New Roman"/>
        </w:rPr>
        <w:t>N</w:t>
      </w:r>
      <w:r>
        <w:rPr>
          <w:rFonts w:ascii="Times New Roman" w:hAnsi="Times New Roman"/>
        </w:rPr>
        <w:t>分期（</w:t>
      </w:r>
      <w:r w:rsidRPr="00932EBB">
        <w:rPr>
          <w:rFonts w:ascii="Times New Roman" w:hAnsi="Times New Roman"/>
        </w:rPr>
        <w:t>N2</w:t>
      </w:r>
      <w:r>
        <w:rPr>
          <w:rFonts w:ascii="Times New Roman" w:hAnsi="Times New Roman"/>
        </w:rPr>
        <w:t>–</w:t>
      </w:r>
      <w:r w:rsidRPr="00932EBB">
        <w:rPr>
          <w:rFonts w:ascii="Times New Roman" w:hAnsi="Times New Roman"/>
        </w:rPr>
        <w:t>3</w:t>
      </w:r>
      <w:r>
        <w:rPr>
          <w:rFonts w:ascii="Times New Roman" w:hAnsi="Times New Roman"/>
        </w:rPr>
        <w:t>期</w:t>
      </w:r>
      <w:r>
        <w:rPr>
          <w:rFonts w:ascii="Times New Roman" w:hAnsi="Times New Roman"/>
        </w:rPr>
        <w:t xml:space="preserve"> </w:t>
      </w:r>
      <w:r w:rsidRPr="00932EBB">
        <w:rPr>
          <w:rFonts w:ascii="Times New Roman" w:hAnsi="Times New Roman"/>
        </w:rPr>
        <w:t>vs</w:t>
      </w:r>
      <w:r>
        <w:rPr>
          <w:rFonts w:ascii="Times New Roman" w:hAnsi="Times New Roman"/>
        </w:rPr>
        <w:t xml:space="preserve"> </w:t>
      </w:r>
      <w:r w:rsidRPr="00932EBB">
        <w:rPr>
          <w:rFonts w:ascii="Times New Roman" w:hAnsi="Times New Roman"/>
        </w:rPr>
        <w:t>N0</w:t>
      </w:r>
      <w:r>
        <w:rPr>
          <w:rFonts w:ascii="Times New Roman" w:hAnsi="Times New Roman"/>
        </w:rPr>
        <w:t>–</w:t>
      </w:r>
      <w:r w:rsidRPr="00932EBB">
        <w:rPr>
          <w:rFonts w:ascii="Times New Roman" w:hAnsi="Times New Roman"/>
        </w:rPr>
        <w:t>1</w:t>
      </w:r>
      <w:r>
        <w:rPr>
          <w:rFonts w:ascii="Times New Roman" w:hAnsi="Times New Roman"/>
        </w:rPr>
        <w:t>期）及基线</w:t>
      </w:r>
      <w:r w:rsidRPr="00932EBB">
        <w:rPr>
          <w:rFonts w:ascii="Times New Roman" w:hAnsi="Times New Roman"/>
        </w:rPr>
        <w:t>EBV</w:t>
      </w:r>
      <w:r>
        <w:rPr>
          <w:rFonts w:ascii="Times New Roman" w:hAnsi="Times New Roman"/>
        </w:rPr>
        <w:t>-</w:t>
      </w:r>
      <w:r w:rsidRPr="00932EBB">
        <w:rPr>
          <w:rFonts w:ascii="Times New Roman" w:hAnsi="Times New Roman"/>
        </w:rPr>
        <w:t>DNA</w:t>
      </w:r>
      <w:r>
        <w:rPr>
          <w:rFonts w:ascii="Times New Roman" w:hAnsi="Times New Roman"/>
        </w:rPr>
        <w:t>水平（</w:t>
      </w:r>
      <w:r>
        <w:rPr>
          <w:rFonts w:ascii="Times New Roman" w:hAnsi="Times New Roman"/>
        </w:rPr>
        <w:t>≥</w:t>
      </w:r>
      <w:r w:rsidRPr="00932EBB">
        <w:rPr>
          <w:rFonts w:ascii="Times New Roman" w:hAnsi="Times New Roman"/>
        </w:rPr>
        <w:t>4000</w:t>
      </w:r>
      <w:r>
        <w:rPr>
          <w:rFonts w:ascii="Times New Roman" w:hAnsi="Times New Roman"/>
        </w:rPr>
        <w:t xml:space="preserve"> </w:t>
      </w:r>
      <w:r w:rsidRPr="00932EBB">
        <w:rPr>
          <w:rFonts w:ascii="Times New Roman" w:hAnsi="Times New Roman"/>
        </w:rPr>
        <w:t>vs</w:t>
      </w:r>
      <w:r>
        <w:rPr>
          <w:rFonts w:ascii="Times New Roman" w:hAnsi="Times New Roman"/>
        </w:rPr>
        <w:t xml:space="preserve"> </w:t>
      </w:r>
      <w:r>
        <w:rPr>
          <w:rFonts w:ascii="Times New Roman" w:hAnsi="Times New Roman"/>
        </w:rPr>
        <w:t>＜</w:t>
      </w:r>
      <w:r w:rsidRPr="00932EBB">
        <w:rPr>
          <w:rFonts w:ascii="Times New Roman" w:hAnsi="Times New Roman"/>
        </w:rPr>
        <w:t>4000</w:t>
      </w:r>
      <w:r>
        <w:rPr>
          <w:rFonts w:ascii="Times New Roman" w:hAnsi="Times New Roman"/>
        </w:rPr>
        <w:t xml:space="preserve"> </w:t>
      </w:r>
      <w:r w:rsidRPr="00932EBB">
        <w:rPr>
          <w:rFonts w:ascii="Times New Roman" w:hAnsi="Times New Roman"/>
        </w:rPr>
        <w:lastRenderedPageBreak/>
        <w:t>copies</w:t>
      </w:r>
      <w:r>
        <w:rPr>
          <w:rFonts w:ascii="Times New Roman" w:hAnsi="Times New Roman"/>
        </w:rPr>
        <w:t>/</w:t>
      </w:r>
      <w:r w:rsidRPr="00932EBB">
        <w:rPr>
          <w:rFonts w:ascii="Times New Roman" w:hAnsi="Times New Roman"/>
        </w:rPr>
        <w:t>mL</w:t>
      </w:r>
      <w:r>
        <w:rPr>
          <w:rFonts w:ascii="Times New Roman" w:hAnsi="Times New Roman"/>
        </w:rPr>
        <w:t>）作为协变量，进行</w:t>
      </w:r>
      <w:r w:rsidRPr="00932EBB">
        <w:rPr>
          <w:rFonts w:ascii="Times New Roman" w:hAnsi="Times New Roman"/>
        </w:rPr>
        <w:t>1</w:t>
      </w:r>
      <w:r>
        <w:rPr>
          <w:rFonts w:ascii="Cambria Math" w:hAnsi="Cambria Math" w:cs="Cambria Math"/>
        </w:rPr>
        <w:t>∶</w:t>
      </w:r>
      <w:r w:rsidRPr="00932EBB">
        <w:rPr>
          <w:rFonts w:ascii="Times New Roman" w:hAnsi="Times New Roman"/>
        </w:rPr>
        <w:t>1</w:t>
      </w:r>
      <w:r>
        <w:rPr>
          <w:rFonts w:ascii="Times New Roman" w:hAnsi="Times New Roman"/>
        </w:rPr>
        <w:t>最优配对匹配。匹配前后基线平衡采用标准化差异（</w:t>
      </w:r>
      <w:r w:rsidRPr="00932EBB">
        <w:rPr>
          <w:rFonts w:ascii="Times New Roman" w:hAnsi="Times New Roman"/>
        </w:rPr>
        <w:t>SMD</w:t>
      </w:r>
      <w:r>
        <w:rPr>
          <w:rFonts w:ascii="Times New Roman" w:hAnsi="Times New Roman"/>
        </w:rPr>
        <w:t>）进行评估，</w:t>
      </w:r>
      <w:r w:rsidRPr="00932EBB">
        <w:rPr>
          <w:rFonts w:ascii="Times New Roman" w:hAnsi="Times New Roman"/>
        </w:rPr>
        <w:t>SMD</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1</w:t>
      </w:r>
      <w:r>
        <w:rPr>
          <w:rFonts w:ascii="Times New Roman" w:hAnsi="Times New Roman"/>
        </w:rPr>
        <w:t>视为达到良好平衡。</w:t>
      </w:r>
    </w:p>
    <w:p w14:paraId="334DC7AF"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在匹配队列中，进一步建立简化</w:t>
      </w:r>
      <w:r w:rsidRPr="00932EBB">
        <w:rPr>
          <w:rFonts w:ascii="Times New Roman" w:hAnsi="Times New Roman"/>
        </w:rPr>
        <w:t>Logistic</w:t>
      </w:r>
      <w:r>
        <w:rPr>
          <w:rFonts w:ascii="Times New Roman" w:hAnsi="Times New Roman"/>
        </w:rPr>
        <w:t>回归模型，纳入治疗组别（</w:t>
      </w:r>
      <w:r w:rsidRPr="00932EBB">
        <w:rPr>
          <w:rFonts w:ascii="Times New Roman" w:hAnsi="Times New Roman"/>
        </w:rPr>
        <w:t>ICIT</w:t>
      </w:r>
      <w:r>
        <w:rPr>
          <w:rFonts w:ascii="Times New Roman" w:hAnsi="Times New Roman"/>
        </w:rPr>
        <w:t xml:space="preserve"> </w:t>
      </w:r>
      <w:r w:rsidRPr="00932EBB">
        <w:rPr>
          <w:rFonts w:ascii="Times New Roman" w:hAnsi="Times New Roman"/>
        </w:rPr>
        <w:t>vs</w:t>
      </w:r>
      <w:r>
        <w:rPr>
          <w:rFonts w:ascii="Times New Roman" w:hAnsi="Times New Roman"/>
        </w:rPr>
        <w:t xml:space="preserve"> </w:t>
      </w:r>
      <w:r w:rsidRPr="00932EBB">
        <w:rPr>
          <w:rFonts w:ascii="Times New Roman" w:hAnsi="Times New Roman"/>
        </w:rPr>
        <w:t>IC</w:t>
      </w:r>
      <w:r>
        <w:rPr>
          <w:rFonts w:ascii="Times New Roman" w:hAnsi="Times New Roman"/>
        </w:rPr>
        <w:t>）及关键生物标志物（</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rPr>
        <w:t>、</w:t>
      </w:r>
      <w:r w:rsidRPr="00932EBB">
        <w:rPr>
          <w:rFonts w:ascii="Times New Roman" w:hAnsi="Times New Roman"/>
        </w:rPr>
        <w:t>EGFR</w:t>
      </w:r>
      <w:r>
        <w:rPr>
          <w:rFonts w:ascii="Times New Roman" w:hAnsi="Times New Roman"/>
        </w:rPr>
        <w:t>），计算校正后的</w:t>
      </w:r>
      <w:r w:rsidRPr="00932EBB">
        <w:rPr>
          <w:rFonts w:ascii="Times New Roman" w:hAnsi="Times New Roman"/>
        </w:rPr>
        <w:t>OR</w:t>
      </w:r>
      <w:r>
        <w:rPr>
          <w:rFonts w:ascii="Times New Roman" w:hAnsi="Times New Roman"/>
        </w:rPr>
        <w:t>及</w:t>
      </w:r>
      <w:r w:rsidRPr="00932EBB">
        <w:rPr>
          <w:rFonts w:ascii="Times New Roman" w:hAnsi="Times New Roman"/>
        </w:rPr>
        <w:t>95</w:t>
      </w:r>
      <w:r>
        <w:rPr>
          <w:rFonts w:ascii="Times New Roman" w:hAnsi="Times New Roman"/>
        </w:rPr>
        <w:t>%</w:t>
      </w:r>
      <w:r w:rsidRPr="00932EBB">
        <w:rPr>
          <w:rFonts w:ascii="Times New Roman" w:hAnsi="Times New Roman"/>
        </w:rPr>
        <w:t>CI</w:t>
      </w:r>
      <w:r>
        <w:rPr>
          <w:rFonts w:ascii="Times New Roman" w:hAnsi="Times New Roman"/>
        </w:rPr>
        <w:t>。</w:t>
      </w:r>
    </w:p>
    <w:p w14:paraId="49F24324"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根据性别、年龄、</w:t>
      </w:r>
      <w:r w:rsidRPr="00932EBB">
        <w:rPr>
          <w:rFonts w:ascii="Times New Roman" w:hAnsi="Times New Roman"/>
        </w:rPr>
        <w:t>T</w:t>
      </w:r>
      <w:r>
        <w:rPr>
          <w:rFonts w:ascii="Times New Roman" w:hAnsi="Times New Roman"/>
        </w:rPr>
        <w:t>分期、</w:t>
      </w:r>
      <w:r w:rsidRPr="00932EBB">
        <w:rPr>
          <w:rFonts w:ascii="Times New Roman" w:hAnsi="Times New Roman"/>
        </w:rPr>
        <w:t>N</w:t>
      </w:r>
      <w:r>
        <w:rPr>
          <w:rFonts w:ascii="Times New Roman" w:hAnsi="Times New Roman"/>
        </w:rPr>
        <w:t>分期、</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hint="eastAsia"/>
        </w:rPr>
        <w:t xml:space="preserve"> </w:t>
      </w:r>
      <w:r w:rsidRPr="00932EBB">
        <w:rPr>
          <w:rFonts w:ascii="Times New Roman" w:hAnsi="Times New Roman"/>
        </w:rPr>
        <w:t>CPS</w:t>
      </w:r>
      <w:r>
        <w:rPr>
          <w:rFonts w:ascii="Times New Roman" w:hAnsi="Times New Roman"/>
        </w:rPr>
        <w:t>、基线</w:t>
      </w:r>
      <w:r w:rsidRPr="00932EBB">
        <w:rPr>
          <w:rFonts w:ascii="Times New Roman" w:hAnsi="Times New Roman"/>
        </w:rPr>
        <w:t>EBV</w:t>
      </w:r>
      <w:r>
        <w:rPr>
          <w:rFonts w:ascii="Times New Roman" w:hAnsi="Times New Roman"/>
        </w:rPr>
        <w:t>-</w:t>
      </w:r>
      <w:r w:rsidRPr="00932EBB">
        <w:rPr>
          <w:rFonts w:ascii="Times New Roman" w:hAnsi="Times New Roman"/>
        </w:rPr>
        <w:t>DNA</w:t>
      </w:r>
      <w:r>
        <w:rPr>
          <w:rFonts w:ascii="Times New Roman" w:hAnsi="Times New Roman"/>
        </w:rPr>
        <w:t>、</w:t>
      </w:r>
      <w:r w:rsidRPr="00932EBB">
        <w:rPr>
          <w:rFonts w:ascii="Times New Roman" w:hAnsi="Times New Roman"/>
        </w:rPr>
        <w:t>ENE</w:t>
      </w:r>
      <w:r>
        <w:rPr>
          <w:rFonts w:ascii="Times New Roman" w:hAnsi="Times New Roman"/>
        </w:rPr>
        <w:t>及淋巴结坏死等基线特征进行预设亚组分析。各亚组中</w:t>
      </w:r>
      <w:r w:rsidRPr="00932EBB">
        <w:rPr>
          <w:rFonts w:ascii="Times New Roman" w:hAnsi="Times New Roman"/>
        </w:rPr>
        <w:t>ICIT</w:t>
      </w:r>
      <w:r>
        <w:rPr>
          <w:rFonts w:ascii="Times New Roman" w:hAnsi="Times New Roman"/>
        </w:rPr>
        <w:t>与</w:t>
      </w:r>
      <w:r w:rsidRPr="00932EBB">
        <w:rPr>
          <w:rFonts w:ascii="Times New Roman" w:hAnsi="Times New Roman"/>
        </w:rPr>
        <w:t>IC</w:t>
      </w:r>
      <w:r>
        <w:rPr>
          <w:rFonts w:ascii="Times New Roman" w:hAnsi="Times New Roman"/>
        </w:rPr>
        <w:t>的</w:t>
      </w:r>
      <w:r w:rsidRPr="00932EBB">
        <w:rPr>
          <w:rFonts w:ascii="Times New Roman" w:hAnsi="Times New Roman"/>
        </w:rPr>
        <w:t>ORR</w:t>
      </w:r>
      <w:r>
        <w:rPr>
          <w:rFonts w:ascii="Times New Roman" w:hAnsi="Times New Roman"/>
        </w:rPr>
        <w:t>差异采用</w:t>
      </w:r>
      <w:r w:rsidRPr="00932EBB">
        <w:rPr>
          <w:rFonts w:ascii="Times New Roman" w:hAnsi="Times New Roman"/>
        </w:rPr>
        <w:t>Fisher</w:t>
      </w:r>
      <w:r>
        <w:rPr>
          <w:rFonts w:ascii="Times New Roman" w:hAnsi="Times New Roman"/>
        </w:rPr>
        <w:t>精确检验比较，并使用</w:t>
      </w:r>
      <w:r w:rsidRPr="00932EBB">
        <w:rPr>
          <w:rFonts w:ascii="Times New Roman" w:hAnsi="Times New Roman"/>
        </w:rPr>
        <w:t>Haldane</w:t>
      </w:r>
      <w:r>
        <w:rPr>
          <w:rFonts w:ascii="Times New Roman" w:hAnsi="Times New Roman"/>
        </w:rPr>
        <w:t>–</w:t>
      </w:r>
      <w:r w:rsidRPr="00932EBB">
        <w:rPr>
          <w:rFonts w:ascii="Times New Roman" w:hAnsi="Times New Roman"/>
        </w:rPr>
        <w:t>Anscombe</w:t>
      </w:r>
      <w:r>
        <w:rPr>
          <w:rFonts w:ascii="Times New Roman" w:hAnsi="Times New Roman"/>
        </w:rPr>
        <w:t>校正计算</w:t>
      </w:r>
      <w:r w:rsidRPr="00932EBB">
        <w:rPr>
          <w:rFonts w:ascii="Times New Roman" w:hAnsi="Times New Roman"/>
        </w:rPr>
        <w:t>OR</w:t>
      </w:r>
      <w:r>
        <w:rPr>
          <w:rFonts w:ascii="Times New Roman" w:hAnsi="Times New Roman"/>
        </w:rPr>
        <w:t>及</w:t>
      </w:r>
      <w:r w:rsidRPr="00932EBB">
        <w:rPr>
          <w:rFonts w:ascii="Times New Roman" w:hAnsi="Times New Roman"/>
        </w:rPr>
        <w:t>95</w:t>
      </w:r>
      <w:r>
        <w:rPr>
          <w:rFonts w:ascii="Times New Roman" w:hAnsi="Times New Roman"/>
        </w:rPr>
        <w:t>%</w:t>
      </w:r>
      <w:r w:rsidRPr="00932EBB">
        <w:rPr>
          <w:rFonts w:ascii="Times New Roman" w:hAnsi="Times New Roman"/>
        </w:rPr>
        <w:t>CI</w:t>
      </w:r>
      <w:r>
        <w:rPr>
          <w:rFonts w:ascii="Times New Roman" w:hAnsi="Times New Roman"/>
        </w:rPr>
        <w:t>。</w:t>
      </w:r>
    </w:p>
    <w:p w14:paraId="66F072C9" w14:textId="77777777" w:rsidR="009A12F5" w:rsidRDefault="009A12F5">
      <w:pPr>
        <w:pStyle w:val="a9"/>
        <w:adjustRightInd w:val="0"/>
        <w:snapToGrid w:val="0"/>
        <w:spacing w:before="0" w:beforeAutospacing="0" w:after="0" w:afterAutospacing="0" w:line="360" w:lineRule="auto"/>
        <w:ind w:firstLineChars="200" w:firstLine="480"/>
        <w:rPr>
          <w:rFonts w:ascii="Times New Roman" w:hAnsi="Times New Roman"/>
        </w:rPr>
      </w:pPr>
    </w:p>
    <w:p w14:paraId="6E068940"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Pr>
          <w:rFonts w:ascii="Times New Roman" w:hAnsi="Times New Roman" w:hint="eastAsia"/>
          <w:b/>
          <w:bCs/>
        </w:rPr>
        <w:t>结果</w:t>
      </w:r>
    </w:p>
    <w:p w14:paraId="0BCC5FE7"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sidRPr="00932EBB">
        <w:rPr>
          <w:rFonts w:ascii="Times New Roman" w:hAnsi="Times New Roman" w:hint="eastAsia"/>
          <w:b/>
          <w:bCs/>
        </w:rPr>
        <w:t>1</w:t>
      </w:r>
      <w:r>
        <w:rPr>
          <w:rFonts w:ascii="Times New Roman" w:hAnsi="Times New Roman" w:hint="eastAsia"/>
          <w:b/>
          <w:bCs/>
        </w:rPr>
        <w:t>基线特征</w:t>
      </w:r>
    </w:p>
    <w:p w14:paraId="3A87D9F0" w14:textId="1613D550" w:rsidR="00D606CB" w:rsidRDefault="00000000">
      <w:pPr>
        <w:pStyle w:val="a9"/>
        <w:adjustRightInd w:val="0"/>
        <w:snapToGrid w:val="0"/>
        <w:spacing w:after="0" w:line="360" w:lineRule="auto"/>
        <w:ind w:firstLineChars="200" w:firstLine="480"/>
        <w:rPr>
          <w:rFonts w:ascii="Times New Roman" w:hAnsi="Times New Roman"/>
        </w:rPr>
      </w:pPr>
      <w:r>
        <w:rPr>
          <w:rFonts w:ascii="Times New Roman" w:hAnsi="Times New Roman"/>
        </w:rPr>
        <w:t>本研究最终纳入</w:t>
      </w:r>
      <w:r w:rsidRPr="00932EBB">
        <w:rPr>
          <w:rFonts w:ascii="Times New Roman" w:hAnsi="Times New Roman"/>
        </w:rPr>
        <w:t>104</w:t>
      </w:r>
      <w:r>
        <w:rPr>
          <w:rFonts w:ascii="Times New Roman" w:hAnsi="Times New Roman"/>
        </w:rPr>
        <w:t>例</w:t>
      </w:r>
      <w:r w:rsidRPr="00932EBB">
        <w:rPr>
          <w:rFonts w:ascii="Times New Roman" w:hAnsi="Times New Roman"/>
        </w:rPr>
        <w:t>LA</w:t>
      </w:r>
      <w:r>
        <w:rPr>
          <w:rFonts w:ascii="Times New Roman" w:hAnsi="Times New Roman"/>
        </w:rPr>
        <w:t>-</w:t>
      </w:r>
      <w:r w:rsidRPr="00932EBB">
        <w:rPr>
          <w:rFonts w:ascii="Times New Roman" w:hAnsi="Times New Roman"/>
        </w:rPr>
        <w:t>NPC</w:t>
      </w:r>
      <w:r>
        <w:rPr>
          <w:rFonts w:ascii="Times New Roman" w:hAnsi="Times New Roman"/>
        </w:rPr>
        <w:t>患者，其中</w:t>
      </w:r>
      <w:r w:rsidRPr="00932EBB">
        <w:rPr>
          <w:rFonts w:ascii="Times New Roman" w:hAnsi="Times New Roman"/>
        </w:rPr>
        <w:t>74</w:t>
      </w:r>
      <w:r>
        <w:rPr>
          <w:rFonts w:ascii="Times New Roman" w:hAnsi="Times New Roman"/>
        </w:rPr>
        <w:t>例接受单纯诱导化疗（</w:t>
      </w:r>
      <w:r w:rsidRPr="00932EBB">
        <w:rPr>
          <w:rFonts w:ascii="Times New Roman" w:hAnsi="Times New Roman"/>
        </w:rPr>
        <w:t>IC</w:t>
      </w:r>
      <w:r>
        <w:rPr>
          <w:rFonts w:ascii="Times New Roman" w:hAnsi="Times New Roman"/>
        </w:rPr>
        <w:t>组），</w:t>
      </w:r>
      <w:r w:rsidRPr="00932EBB">
        <w:rPr>
          <w:rFonts w:ascii="Times New Roman" w:hAnsi="Times New Roman"/>
        </w:rPr>
        <w:t>30</w:t>
      </w:r>
      <w:r>
        <w:rPr>
          <w:rFonts w:ascii="Times New Roman" w:hAnsi="Times New Roman"/>
        </w:rPr>
        <w:t>例接受诱导化疗联合</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抑制剂及尼妥珠单抗（</w:t>
      </w:r>
      <w:r w:rsidRPr="00932EBB">
        <w:rPr>
          <w:rFonts w:ascii="Times New Roman" w:hAnsi="Times New Roman"/>
        </w:rPr>
        <w:t>ICIT</w:t>
      </w:r>
      <w:r>
        <w:rPr>
          <w:rFonts w:ascii="Times New Roman" w:hAnsi="Times New Roman"/>
        </w:rPr>
        <w:t>组）。</w:t>
      </w:r>
      <w:r w:rsidRPr="00932EBB">
        <w:rPr>
          <w:rFonts w:ascii="Times New Roman" w:hAnsi="Times New Roman"/>
        </w:rPr>
        <w:t>ICIT</w:t>
      </w:r>
      <w:r>
        <w:rPr>
          <w:rFonts w:ascii="Times New Roman" w:hAnsi="Times New Roman"/>
        </w:rPr>
        <w:t>组中所使用的</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抑制剂以特瑞普利单抗（</w:t>
      </w:r>
      <w:r w:rsidRPr="00932EBB">
        <w:rPr>
          <w:rFonts w:ascii="Times New Roman" w:hAnsi="Times New Roman"/>
        </w:rPr>
        <w:t>66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rPr>
        <w:t>）和信迪利单抗（</w:t>
      </w:r>
      <w:r w:rsidRPr="00932EBB">
        <w:rPr>
          <w:rFonts w:ascii="Times New Roman" w:hAnsi="Times New Roman"/>
        </w:rPr>
        <w:t>33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）为主。患者基线特征见</w:t>
      </w:r>
      <w:r w:rsidRPr="00932EBB">
        <w:rPr>
          <w:rFonts w:ascii="Times New Roman" w:hAnsi="Times New Roman"/>
        </w:rPr>
        <w:t>Table</w:t>
      </w:r>
      <w:r>
        <w:rPr>
          <w:rFonts w:ascii="Times New Roman" w:hAnsi="Times New Roman"/>
        </w:rPr>
        <w:t xml:space="preserve"> </w:t>
      </w:r>
      <w:r w:rsidRPr="00932EBB">
        <w:rPr>
          <w:rFonts w:ascii="Times New Roman" w:hAnsi="Times New Roman"/>
        </w:rPr>
        <w:t>1</w:t>
      </w:r>
      <w:r>
        <w:rPr>
          <w:rFonts w:ascii="Times New Roman" w:hAnsi="Times New Roman"/>
        </w:rPr>
        <w:t>。在整体队列中，患者中位年龄为</w:t>
      </w:r>
      <w:r w:rsidRPr="00932EBB">
        <w:rPr>
          <w:rFonts w:ascii="Times New Roman" w:hAnsi="Times New Roman"/>
        </w:rPr>
        <w:t>54</w:t>
      </w:r>
      <w:r>
        <w:rPr>
          <w:rFonts w:ascii="Times New Roman" w:hAnsi="Times New Roman"/>
        </w:rPr>
        <w:t>岁（</w:t>
      </w:r>
      <w:r w:rsidRPr="00932EBB">
        <w:rPr>
          <w:rFonts w:ascii="Times New Roman" w:hAnsi="Times New Roman"/>
        </w:rPr>
        <w:t>IQR</w:t>
      </w:r>
      <w:r>
        <w:rPr>
          <w:rFonts w:ascii="Times New Roman" w:hAnsi="Times New Roman"/>
        </w:rPr>
        <w:t xml:space="preserve"> </w:t>
      </w:r>
      <w:r w:rsidRPr="00932EBB">
        <w:rPr>
          <w:rFonts w:ascii="Times New Roman" w:hAnsi="Times New Roman"/>
        </w:rPr>
        <w:t>18</w:t>
      </w:r>
      <w:r>
        <w:rPr>
          <w:rFonts w:ascii="Times New Roman" w:hAnsi="Times New Roman"/>
        </w:rPr>
        <w:t>.</w:t>
      </w:r>
      <w:r w:rsidRPr="00932EBB">
        <w:rPr>
          <w:rFonts w:ascii="Times New Roman" w:hAnsi="Times New Roman"/>
        </w:rPr>
        <w:t>3</w:t>
      </w:r>
      <w:r>
        <w:rPr>
          <w:rFonts w:ascii="Times New Roman" w:hAnsi="Times New Roman"/>
        </w:rPr>
        <w:t>），两组在年龄、性别、</w:t>
      </w:r>
      <w:r w:rsidRPr="00932EBB">
        <w:rPr>
          <w:rFonts w:ascii="Times New Roman" w:hAnsi="Times New Roman"/>
        </w:rPr>
        <w:t>T</w:t>
      </w:r>
      <w:r>
        <w:rPr>
          <w:rFonts w:ascii="Times New Roman" w:hAnsi="Times New Roman"/>
        </w:rPr>
        <w:t>分期、基线</w:t>
      </w:r>
      <w:r w:rsidRPr="00932EBB">
        <w:rPr>
          <w:rFonts w:ascii="Times New Roman" w:hAnsi="Times New Roman"/>
        </w:rPr>
        <w:t>EBV</w:t>
      </w:r>
      <w:r>
        <w:rPr>
          <w:rFonts w:ascii="Times New Roman" w:hAnsi="Times New Roman"/>
        </w:rPr>
        <w:t>-</w:t>
      </w:r>
      <w:r w:rsidRPr="00932EBB">
        <w:rPr>
          <w:rFonts w:ascii="Times New Roman" w:hAnsi="Times New Roman"/>
        </w:rPr>
        <w:t>DNA</w:t>
      </w:r>
      <w:r>
        <w:rPr>
          <w:rFonts w:ascii="Times New Roman" w:hAnsi="Times New Roman"/>
        </w:rPr>
        <w:t>水平、</w:t>
      </w:r>
      <w:r w:rsidRPr="00932EBB">
        <w:rPr>
          <w:rFonts w:ascii="Times New Roman" w:hAnsi="Times New Roman"/>
        </w:rPr>
        <w:t>ENE</w:t>
      </w:r>
      <w:r>
        <w:rPr>
          <w:rFonts w:ascii="Times New Roman" w:hAnsi="Times New Roman"/>
        </w:rPr>
        <w:t>及淋巴结坏死等主要临床特征方面分布相对均衡，均以</w:t>
      </w:r>
      <w:r>
        <w:rPr>
          <w:rFonts w:ascii="Times New Roman" w:hAnsi="Times New Roman"/>
        </w:rPr>
        <w:t>&lt;</w:t>
      </w:r>
      <w:r w:rsidRPr="00932EBB">
        <w:rPr>
          <w:rFonts w:ascii="Times New Roman" w:hAnsi="Times New Roman"/>
        </w:rPr>
        <w:t>60</w:t>
      </w:r>
      <w:r>
        <w:rPr>
          <w:rFonts w:ascii="Times New Roman" w:hAnsi="Times New Roman"/>
        </w:rPr>
        <w:t>岁、男性及</w:t>
      </w:r>
      <w:r w:rsidRPr="00932EBB">
        <w:rPr>
          <w:rFonts w:ascii="Times New Roman" w:hAnsi="Times New Roman"/>
        </w:rPr>
        <w:t>T3</w:t>
      </w:r>
      <w:r>
        <w:rPr>
          <w:rFonts w:ascii="Times New Roman" w:hAnsi="Times New Roman"/>
        </w:rPr>
        <w:t>–</w:t>
      </w:r>
      <w:r w:rsidRPr="00932EBB">
        <w:rPr>
          <w:rFonts w:ascii="Times New Roman" w:hAnsi="Times New Roman"/>
        </w:rPr>
        <w:t>4</w:t>
      </w:r>
      <w:r>
        <w:rPr>
          <w:rFonts w:ascii="Times New Roman" w:hAnsi="Times New Roman"/>
        </w:rPr>
        <w:t>期患者为主。</w:t>
      </w:r>
      <w:r w:rsidRPr="00932EBB">
        <w:rPr>
          <w:rFonts w:ascii="Times New Roman" w:hAnsi="Times New Roman"/>
        </w:rPr>
        <w:t>ICIT</w:t>
      </w:r>
      <w:r>
        <w:rPr>
          <w:rFonts w:ascii="Times New Roman" w:hAnsi="Times New Roman"/>
        </w:rPr>
        <w:t>组中</w:t>
      </w:r>
      <w:r w:rsidRPr="00932EBB">
        <w:rPr>
          <w:rFonts w:ascii="Times New Roman" w:hAnsi="Times New Roman"/>
        </w:rPr>
        <w:t>N2</w:t>
      </w:r>
      <w:r>
        <w:rPr>
          <w:rFonts w:ascii="Times New Roman" w:hAnsi="Times New Roman"/>
        </w:rPr>
        <w:t>–</w:t>
      </w:r>
      <w:r w:rsidRPr="00932EBB">
        <w:rPr>
          <w:rFonts w:ascii="Times New Roman" w:hAnsi="Times New Roman"/>
        </w:rPr>
        <w:t>3</w:t>
      </w:r>
      <w:r>
        <w:rPr>
          <w:rFonts w:ascii="Times New Roman" w:hAnsi="Times New Roman"/>
        </w:rPr>
        <w:t>期及</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rPr>
        <w:t xml:space="preserve"> </w:t>
      </w:r>
      <w:r w:rsidRPr="00932EBB">
        <w:rPr>
          <w:rFonts w:ascii="Times New Roman" w:hAnsi="Times New Roman"/>
        </w:rPr>
        <w:t>CPS</w:t>
      </w:r>
      <w:r>
        <w:rPr>
          <w:rFonts w:ascii="Times New Roman" w:hAnsi="Times New Roman"/>
        </w:rPr>
        <w:t>≥</w:t>
      </w:r>
      <w:r w:rsidRPr="00932EBB">
        <w:rPr>
          <w:rFonts w:ascii="Times New Roman" w:hAnsi="Times New Roman"/>
        </w:rPr>
        <w:t>20</w:t>
      </w:r>
      <w:r>
        <w:rPr>
          <w:rFonts w:ascii="Times New Roman" w:hAnsi="Times New Roman"/>
        </w:rPr>
        <w:t>%</w:t>
      </w:r>
      <w:r>
        <w:rPr>
          <w:rFonts w:ascii="Times New Roman" w:hAnsi="Times New Roman"/>
        </w:rPr>
        <w:t>患者比例相对较高，</w:t>
      </w:r>
      <w:r w:rsidRPr="00932EBB">
        <w:rPr>
          <w:rFonts w:ascii="Times New Roman" w:hAnsi="Times New Roman"/>
        </w:rPr>
        <w:t>EGFR</w:t>
      </w:r>
      <w:r>
        <w:rPr>
          <w:rFonts w:ascii="Times New Roman" w:hAnsi="Times New Roman"/>
        </w:rPr>
        <w:t>强阳性（</w:t>
      </w:r>
      <w:r>
        <w:rPr>
          <w:rFonts w:ascii="Times New Roman" w:hAnsi="Times New Roman"/>
        </w:rPr>
        <w:t>+++</w:t>
      </w:r>
      <w:r>
        <w:rPr>
          <w:rFonts w:ascii="Times New Roman" w:hAnsi="Times New Roman"/>
        </w:rPr>
        <w:t>）比例亦略高于</w:t>
      </w:r>
      <w:r w:rsidRPr="00932EBB">
        <w:rPr>
          <w:rFonts w:ascii="Times New Roman" w:hAnsi="Times New Roman"/>
        </w:rPr>
        <w:t>IC</w:t>
      </w:r>
      <w:r>
        <w:rPr>
          <w:rFonts w:ascii="Times New Roman" w:hAnsi="Times New Roman"/>
        </w:rPr>
        <w:t>组。经倾向性评分匹配后，共获得</w:t>
      </w:r>
      <w:r w:rsidRPr="00932EBB">
        <w:rPr>
          <w:rFonts w:ascii="Times New Roman" w:hAnsi="Times New Roman"/>
        </w:rPr>
        <w:t>60</w:t>
      </w:r>
      <w:r>
        <w:rPr>
          <w:rFonts w:ascii="Times New Roman" w:hAnsi="Times New Roman"/>
        </w:rPr>
        <w:t>例患者（</w:t>
      </w:r>
      <w:r w:rsidRPr="00932EBB">
        <w:rPr>
          <w:rFonts w:ascii="Times New Roman" w:hAnsi="Times New Roman"/>
        </w:rPr>
        <w:t>IC</w:t>
      </w:r>
      <w:r>
        <w:rPr>
          <w:rFonts w:ascii="Times New Roman" w:hAnsi="Times New Roman"/>
        </w:rPr>
        <w:t>组</w:t>
      </w:r>
      <w:r w:rsidRPr="00932EBB">
        <w:rPr>
          <w:rFonts w:ascii="Times New Roman" w:hAnsi="Times New Roman"/>
        </w:rPr>
        <w:t>30</w:t>
      </w:r>
      <w:r>
        <w:rPr>
          <w:rFonts w:ascii="Times New Roman" w:hAnsi="Times New Roman"/>
        </w:rPr>
        <w:t>例，</w:t>
      </w:r>
      <w:r w:rsidRPr="00932EBB">
        <w:rPr>
          <w:rFonts w:ascii="Times New Roman" w:hAnsi="Times New Roman"/>
        </w:rPr>
        <w:t>ICIT</w:t>
      </w:r>
      <w:r>
        <w:rPr>
          <w:rFonts w:ascii="Times New Roman" w:hAnsi="Times New Roman"/>
        </w:rPr>
        <w:t>组</w:t>
      </w:r>
      <w:r w:rsidRPr="00932EBB">
        <w:rPr>
          <w:rFonts w:ascii="Times New Roman" w:hAnsi="Times New Roman"/>
        </w:rPr>
        <w:t>30</w:t>
      </w:r>
      <w:r>
        <w:rPr>
          <w:rFonts w:ascii="Times New Roman" w:hAnsi="Times New Roman"/>
        </w:rPr>
        <w:t>例）。匹配后主要预后相关临床协变量（年龄、</w:t>
      </w:r>
      <w:r w:rsidRPr="00932EBB">
        <w:rPr>
          <w:rFonts w:ascii="Times New Roman" w:hAnsi="Times New Roman"/>
        </w:rPr>
        <w:t>T</w:t>
      </w:r>
      <w:r>
        <w:rPr>
          <w:rFonts w:ascii="Times New Roman" w:hAnsi="Times New Roman"/>
        </w:rPr>
        <w:t>分期、</w:t>
      </w:r>
      <w:r w:rsidRPr="00932EBB">
        <w:rPr>
          <w:rFonts w:ascii="Times New Roman" w:hAnsi="Times New Roman"/>
        </w:rPr>
        <w:t>N</w:t>
      </w:r>
      <w:r>
        <w:rPr>
          <w:rFonts w:ascii="Times New Roman" w:hAnsi="Times New Roman"/>
        </w:rPr>
        <w:t>分期及基线</w:t>
      </w:r>
      <w:r w:rsidRPr="00932EBB">
        <w:rPr>
          <w:rFonts w:ascii="Times New Roman" w:hAnsi="Times New Roman"/>
        </w:rPr>
        <w:t>EBV</w:t>
      </w:r>
      <w:r>
        <w:rPr>
          <w:rFonts w:ascii="Times New Roman" w:hAnsi="Times New Roman"/>
        </w:rPr>
        <w:t>-</w:t>
      </w:r>
      <w:r w:rsidRPr="00932EBB">
        <w:rPr>
          <w:rFonts w:ascii="Times New Roman" w:hAnsi="Times New Roman"/>
        </w:rPr>
        <w:t>DNA</w:t>
      </w:r>
      <w:r>
        <w:rPr>
          <w:rFonts w:ascii="Times New Roman" w:hAnsi="Times New Roman"/>
        </w:rPr>
        <w:t>）在两组间达到平衡，</w:t>
      </w:r>
      <w:r w:rsidRPr="00932EBB">
        <w:rPr>
          <w:rFonts w:ascii="Times New Roman" w:hAnsi="Times New Roman"/>
        </w:rPr>
        <w:t>ENE</w:t>
      </w:r>
      <w:r>
        <w:rPr>
          <w:rFonts w:ascii="Times New Roman" w:hAnsi="Times New Roman"/>
        </w:rPr>
        <w:t>分布亦无统计学差异。性别及淋巴结坏死存在轻度数值差异，</w:t>
      </w:r>
      <w:r w:rsidRPr="00932EBB">
        <w:rPr>
          <w:rFonts w:ascii="Times New Roman" w:hAnsi="Times New Roman"/>
        </w:rPr>
        <w:t>PD</w:t>
      </w:r>
      <w:r>
        <w:rPr>
          <w:rFonts w:ascii="Times New Roman" w:hAnsi="Times New Roman"/>
        </w:rPr>
        <w:t>-</w:t>
      </w:r>
      <w:r w:rsidRPr="00932EBB">
        <w:rPr>
          <w:rFonts w:ascii="Times New Roman" w:hAnsi="Times New Roman"/>
        </w:rPr>
        <w:t>L1</w:t>
      </w:r>
      <w:r>
        <w:rPr>
          <w:rFonts w:ascii="Times New Roman" w:hAnsi="Times New Roman"/>
        </w:rPr>
        <w:t>表达及</w:t>
      </w:r>
      <w:r w:rsidRPr="00932EBB">
        <w:rPr>
          <w:rFonts w:ascii="Times New Roman" w:hAnsi="Times New Roman"/>
        </w:rPr>
        <w:t>EGFR</w:t>
      </w:r>
      <w:r>
        <w:rPr>
          <w:rFonts w:ascii="Times New Roman" w:hAnsi="Times New Roman"/>
        </w:rPr>
        <w:t>状态在两组间仍保留了一定差异。</w:t>
      </w:r>
    </w:p>
    <w:p w14:paraId="774F4549" w14:textId="77777777" w:rsidR="00F6573B" w:rsidRPr="00B90BC5" w:rsidRDefault="00F6573B" w:rsidP="00F6573B">
      <w:pPr>
        <w:pStyle w:val="2"/>
        <w:rPr>
          <w:rFonts w:ascii="Times New Roman" w:eastAsia="宋体" w:hAnsi="Times New Roman" w:cs="Times New Roman"/>
          <w:b/>
          <w:bCs/>
          <w:color w:val="auto"/>
          <w:sz w:val="18"/>
          <w:szCs w:val="18"/>
        </w:rPr>
      </w:pPr>
      <w:r w:rsidRPr="00B90BC5">
        <w:rPr>
          <w:rFonts w:ascii="Times New Roman" w:eastAsia="宋体" w:hAnsi="Times New Roman" w:cs="Times New Roman"/>
          <w:b/>
          <w:bCs/>
          <w:color w:val="auto"/>
          <w:sz w:val="18"/>
          <w:szCs w:val="18"/>
        </w:rPr>
        <w:t xml:space="preserve">Table 1. </w:t>
      </w:r>
      <w:r w:rsidRPr="00B90BC5">
        <w:rPr>
          <w:rFonts w:ascii="Times New Roman" w:eastAsia="宋体" w:hAnsi="Times New Roman" w:cs="Times New Roman" w:hint="eastAsia"/>
          <w:b/>
          <w:bCs/>
          <w:color w:val="auto"/>
          <w:sz w:val="18"/>
          <w:szCs w:val="18"/>
        </w:rPr>
        <w:t>Baseline characteristics before and after PSM</w:t>
      </w:r>
    </w:p>
    <w:tbl>
      <w:tblPr>
        <w:tblW w:w="0" w:type="auto"/>
        <w:jc w:val="center"/>
        <w:tblCellMar>
          <w:left w:w="0" w:type="dxa"/>
          <w:right w:w="0" w:type="dxa"/>
        </w:tblCellMar>
        <w:tblLook w:val="04A0" w:firstRow="1" w:lastRow="0" w:firstColumn="1" w:lastColumn="0" w:noHBand="0" w:noVBand="1"/>
      </w:tblPr>
      <w:tblGrid>
        <w:gridCol w:w="1555"/>
        <w:gridCol w:w="1079"/>
        <w:gridCol w:w="1074"/>
        <w:gridCol w:w="1157"/>
        <w:gridCol w:w="605"/>
        <w:gridCol w:w="1074"/>
        <w:gridCol w:w="1157"/>
        <w:gridCol w:w="605"/>
      </w:tblGrid>
      <w:tr w:rsidR="00F6573B" w:rsidRPr="00B90BC5" w14:paraId="4D2BA3DC" w14:textId="77777777" w:rsidTr="0064688D">
        <w:trPr>
          <w:tblHeader/>
          <w:jc w:val="center"/>
        </w:trPr>
        <w:tc>
          <w:tcPr>
            <w:tcW w:w="0" w:type="auto"/>
            <w:tcBorders>
              <w:top w:val="single" w:sz="12" w:space="0" w:color="000000"/>
            </w:tcBorders>
            <w:shd w:val="clear" w:color="auto" w:fill="FFFFFF"/>
            <w:tcMar>
              <w:top w:w="0" w:type="dxa"/>
              <w:left w:w="0" w:type="dxa"/>
              <w:bottom w:w="0" w:type="dxa"/>
              <w:right w:w="0" w:type="dxa"/>
            </w:tcMar>
            <w:vAlign w:val="center"/>
          </w:tcPr>
          <w:p w14:paraId="372204C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Characteristic</w:t>
            </w:r>
          </w:p>
        </w:tc>
        <w:tc>
          <w:tcPr>
            <w:tcW w:w="0" w:type="auto"/>
            <w:tcBorders>
              <w:top w:val="single" w:sz="12" w:space="0" w:color="000000"/>
              <w:left w:val="nil"/>
              <w:right w:val="nil"/>
            </w:tcBorders>
            <w:shd w:val="clear" w:color="auto" w:fill="FFFFFF"/>
            <w:tcMar>
              <w:top w:w="0" w:type="dxa"/>
              <w:left w:w="0" w:type="dxa"/>
              <w:bottom w:w="0" w:type="dxa"/>
              <w:right w:w="0" w:type="dxa"/>
            </w:tcMar>
            <w:vAlign w:val="center"/>
          </w:tcPr>
          <w:p w14:paraId="2F1EC29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Level</w:t>
            </w:r>
          </w:p>
        </w:tc>
        <w:tc>
          <w:tcPr>
            <w:tcW w:w="0" w:type="auto"/>
            <w:gridSpan w:val="3"/>
            <w:tcBorders>
              <w:top w:val="single" w:sz="12" w:space="0" w:color="000000"/>
              <w:left w:val="nil"/>
              <w:bottom w:val="single" w:sz="6" w:space="0" w:color="000000"/>
              <w:right w:val="nil"/>
            </w:tcBorders>
            <w:shd w:val="clear" w:color="auto" w:fill="FFFFFF"/>
            <w:tcMar>
              <w:top w:w="0" w:type="dxa"/>
              <w:left w:w="0" w:type="dxa"/>
              <w:bottom w:w="0" w:type="dxa"/>
              <w:right w:w="0" w:type="dxa"/>
            </w:tcMar>
            <w:vAlign w:val="center"/>
          </w:tcPr>
          <w:p w14:paraId="4A1B71A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Before matching</w:t>
            </w:r>
          </w:p>
        </w:tc>
        <w:tc>
          <w:tcPr>
            <w:tcW w:w="0" w:type="auto"/>
            <w:gridSpan w:val="3"/>
            <w:tcBorders>
              <w:top w:val="single" w:sz="12" w:space="0" w:color="000000"/>
              <w:left w:val="nil"/>
              <w:bottom w:val="single" w:sz="6" w:space="0" w:color="000000"/>
              <w:right w:val="nil"/>
            </w:tcBorders>
            <w:shd w:val="clear" w:color="auto" w:fill="FFFFFF"/>
            <w:tcMar>
              <w:top w:w="0" w:type="dxa"/>
              <w:left w:w="0" w:type="dxa"/>
              <w:bottom w:w="0" w:type="dxa"/>
              <w:right w:w="0" w:type="dxa"/>
            </w:tcMar>
            <w:vAlign w:val="center"/>
          </w:tcPr>
          <w:p w14:paraId="19E3A48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After matching</w:t>
            </w:r>
          </w:p>
        </w:tc>
      </w:tr>
      <w:tr w:rsidR="00F6573B" w:rsidRPr="00B90BC5" w14:paraId="2365772D" w14:textId="77777777" w:rsidTr="0064688D">
        <w:trPr>
          <w:tblHeader/>
          <w:jc w:val="center"/>
        </w:trPr>
        <w:tc>
          <w:tcPr>
            <w:tcW w:w="0" w:type="auto"/>
            <w:tcBorders>
              <w:bottom w:val="single" w:sz="12" w:space="0" w:color="666666"/>
            </w:tcBorders>
            <w:shd w:val="clear" w:color="auto" w:fill="FFFFFF"/>
            <w:tcMar>
              <w:top w:w="0" w:type="dxa"/>
              <w:left w:w="0" w:type="dxa"/>
              <w:bottom w:w="0" w:type="dxa"/>
              <w:right w:w="0" w:type="dxa"/>
            </w:tcMar>
            <w:vAlign w:val="center"/>
          </w:tcPr>
          <w:p w14:paraId="1E3A207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bottom w:val="single" w:sz="12" w:space="0" w:color="666666"/>
            </w:tcBorders>
            <w:shd w:val="clear" w:color="auto" w:fill="FFFFFF"/>
            <w:tcMar>
              <w:top w:w="0" w:type="dxa"/>
              <w:left w:w="0" w:type="dxa"/>
              <w:bottom w:w="0" w:type="dxa"/>
              <w:right w:w="0" w:type="dxa"/>
            </w:tcMar>
            <w:vAlign w:val="center"/>
          </w:tcPr>
          <w:p w14:paraId="36FB49A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single" w:sz="6" w:space="0" w:color="000000"/>
              <w:bottom w:val="single" w:sz="12" w:space="0" w:color="666666"/>
            </w:tcBorders>
            <w:shd w:val="clear" w:color="auto" w:fill="FFFFFF"/>
            <w:tcMar>
              <w:top w:w="0" w:type="dxa"/>
              <w:left w:w="0" w:type="dxa"/>
              <w:bottom w:w="0" w:type="dxa"/>
              <w:right w:w="0" w:type="dxa"/>
            </w:tcMar>
            <w:vAlign w:val="center"/>
          </w:tcPr>
          <w:p w14:paraId="61451A6D" w14:textId="5AE7F5B4"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 xml:space="preserve">IC </w:t>
            </w:r>
            <w:r w:rsidR="00DE4C15" w:rsidRPr="00DE4C15">
              <w:rPr>
                <w:rFonts w:ascii="Times New Roman" w:eastAsia="宋体" w:hAnsi="Times New Roman" w:cs="Times New Roman"/>
                <w:color w:val="000000"/>
                <w:sz w:val="18"/>
                <w:szCs w:val="18"/>
              </w:rPr>
              <w:t>(n=74), n (%)</w:t>
            </w:r>
          </w:p>
        </w:tc>
        <w:tc>
          <w:tcPr>
            <w:tcW w:w="0" w:type="auto"/>
            <w:tcBorders>
              <w:top w:val="single" w:sz="6" w:space="0" w:color="000000"/>
              <w:bottom w:val="single" w:sz="12" w:space="0" w:color="666666"/>
            </w:tcBorders>
            <w:shd w:val="clear" w:color="auto" w:fill="FFFFFF"/>
            <w:tcMar>
              <w:top w:w="0" w:type="dxa"/>
              <w:left w:w="0" w:type="dxa"/>
              <w:bottom w:w="0" w:type="dxa"/>
              <w:right w:w="0" w:type="dxa"/>
            </w:tcMar>
            <w:vAlign w:val="center"/>
          </w:tcPr>
          <w:p w14:paraId="3313BF7C" w14:textId="4DDA02BF"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 xml:space="preserve">ICIT </w:t>
            </w:r>
            <w:r w:rsidR="00DE4C15" w:rsidRPr="00DE4C15">
              <w:rPr>
                <w:rFonts w:ascii="Times New Roman" w:eastAsia="宋体" w:hAnsi="Times New Roman" w:cs="Times New Roman"/>
                <w:color w:val="000000"/>
                <w:sz w:val="18"/>
                <w:szCs w:val="18"/>
              </w:rPr>
              <w:t>(n=30), n (%)</w:t>
            </w:r>
          </w:p>
        </w:tc>
        <w:tc>
          <w:tcPr>
            <w:tcW w:w="0" w:type="auto"/>
            <w:tcBorders>
              <w:bottom w:val="single" w:sz="12" w:space="0" w:color="666666"/>
            </w:tcBorders>
            <w:shd w:val="clear" w:color="auto" w:fill="FFFFFF"/>
            <w:tcMar>
              <w:top w:w="0" w:type="dxa"/>
              <w:left w:w="0" w:type="dxa"/>
              <w:bottom w:w="0" w:type="dxa"/>
              <w:right w:w="0" w:type="dxa"/>
            </w:tcMar>
            <w:vAlign w:val="center"/>
          </w:tcPr>
          <w:p w14:paraId="17A5C38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SMD</w:t>
            </w:r>
          </w:p>
        </w:tc>
        <w:tc>
          <w:tcPr>
            <w:tcW w:w="0" w:type="auto"/>
            <w:tcBorders>
              <w:top w:val="single" w:sz="6" w:space="0" w:color="000000"/>
              <w:bottom w:val="single" w:sz="12" w:space="0" w:color="666666"/>
            </w:tcBorders>
            <w:shd w:val="clear" w:color="auto" w:fill="FFFFFF"/>
            <w:tcMar>
              <w:top w:w="0" w:type="dxa"/>
              <w:left w:w="0" w:type="dxa"/>
              <w:bottom w:w="0" w:type="dxa"/>
              <w:right w:w="0" w:type="dxa"/>
            </w:tcMar>
            <w:vAlign w:val="center"/>
          </w:tcPr>
          <w:p w14:paraId="4D49DBF7" w14:textId="02E51450"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 xml:space="preserve">IC </w:t>
            </w:r>
            <w:r w:rsidR="00DE4C15" w:rsidRPr="00DE4C15">
              <w:rPr>
                <w:rFonts w:ascii="Times New Roman" w:eastAsia="宋体" w:hAnsi="Times New Roman" w:cs="Times New Roman"/>
                <w:color w:val="000000"/>
                <w:sz w:val="18"/>
                <w:szCs w:val="18"/>
              </w:rPr>
              <w:t>(n=30), n (%)</w:t>
            </w:r>
          </w:p>
        </w:tc>
        <w:tc>
          <w:tcPr>
            <w:tcW w:w="0" w:type="auto"/>
            <w:tcBorders>
              <w:top w:val="single" w:sz="6" w:space="0" w:color="000000"/>
              <w:bottom w:val="single" w:sz="12" w:space="0" w:color="666666"/>
            </w:tcBorders>
            <w:shd w:val="clear" w:color="auto" w:fill="FFFFFF"/>
            <w:tcMar>
              <w:top w:w="0" w:type="dxa"/>
              <w:left w:w="0" w:type="dxa"/>
              <w:bottom w:w="0" w:type="dxa"/>
              <w:right w:w="0" w:type="dxa"/>
            </w:tcMar>
            <w:vAlign w:val="center"/>
          </w:tcPr>
          <w:p w14:paraId="25888419" w14:textId="3972A5DC"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 xml:space="preserve">ICIT </w:t>
            </w:r>
            <w:r w:rsidR="00DE4C15" w:rsidRPr="00DE4C15">
              <w:rPr>
                <w:rFonts w:ascii="Times New Roman" w:eastAsia="宋体" w:hAnsi="Times New Roman" w:cs="Times New Roman"/>
                <w:color w:val="000000"/>
                <w:sz w:val="18"/>
                <w:szCs w:val="18"/>
              </w:rPr>
              <w:t>(n=30), n (%)</w:t>
            </w:r>
          </w:p>
        </w:tc>
        <w:tc>
          <w:tcPr>
            <w:tcW w:w="0" w:type="auto"/>
            <w:tcBorders>
              <w:top w:val="single" w:sz="6" w:space="0" w:color="000000"/>
              <w:bottom w:val="single" w:sz="12" w:space="0" w:color="666666"/>
            </w:tcBorders>
            <w:shd w:val="clear" w:color="auto" w:fill="FFFFFF"/>
            <w:tcMar>
              <w:top w:w="0" w:type="dxa"/>
              <w:left w:w="0" w:type="dxa"/>
              <w:bottom w:w="0" w:type="dxa"/>
              <w:right w:w="0" w:type="dxa"/>
            </w:tcMar>
            <w:vAlign w:val="center"/>
          </w:tcPr>
          <w:p w14:paraId="0140861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SMD</w:t>
            </w:r>
          </w:p>
        </w:tc>
      </w:tr>
      <w:tr w:rsidR="00F6573B" w:rsidRPr="00B90BC5" w14:paraId="11005A1A" w14:textId="77777777" w:rsidTr="0064688D">
        <w:trPr>
          <w:jc w:val="center"/>
        </w:trPr>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0699CA2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Age, years</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54EBE54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&lt;60</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78C6FCF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47 (63.5)</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04E2713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7E1CE46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0.212</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357406F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3F3BCB6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single" w:sz="12" w:space="0" w:color="666666"/>
              <w:left w:val="nil"/>
              <w:bottom w:val="nil"/>
              <w:right w:val="nil"/>
            </w:tcBorders>
            <w:shd w:val="clear" w:color="auto" w:fill="FFFFFF"/>
            <w:tcMar>
              <w:top w:w="0" w:type="dxa"/>
              <w:left w:w="0" w:type="dxa"/>
              <w:bottom w:w="0" w:type="dxa"/>
              <w:right w:w="0" w:type="dxa"/>
            </w:tcMar>
            <w:vAlign w:val="center"/>
          </w:tcPr>
          <w:p w14:paraId="73F8206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0.000</w:t>
            </w:r>
          </w:p>
        </w:tc>
      </w:tr>
      <w:tr w:rsidR="00F6573B" w:rsidRPr="00B90BC5" w14:paraId="259A83F3"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558D57F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A743AE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≥60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804952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(36.5)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2DA957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6A5CF9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2191B4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838940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D941947"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35D590AC"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33C4BBD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lastRenderedPageBreak/>
              <w:t>Sex</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D68358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Female</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1D9410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24 (32.4)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6A04EA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EF5735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0.127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955DBC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12 (40.0)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DDDCDC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12BBBE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0.286</w:t>
            </w:r>
          </w:p>
        </w:tc>
      </w:tr>
      <w:tr w:rsidR="00F6573B" w:rsidRPr="00B90BC5" w14:paraId="47CA596F"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5D1BF00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3D3F25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Male</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504DD7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50 (67.6)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6B1846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33189F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E875A3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18 (60.0)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99CEFB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4A5CD8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31A5585C"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38D5C34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T stage</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BB241D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T1–2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095431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20 (27.0)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93B2BE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E1054B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0.008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38F22B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53464E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610E81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0.000</w:t>
            </w:r>
          </w:p>
        </w:tc>
      </w:tr>
      <w:tr w:rsidR="00F6573B" w:rsidRPr="00B90BC5" w14:paraId="009F4215"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2F3B814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8DAB7E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T3–4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9CD636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54 (73.0)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76BE58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152185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57D357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F7A2C3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CFE3E0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51CBC47D"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78B6CC6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N stage</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7CDAFF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N0–1</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8E5776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32 (43.2)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6231D0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7 (23.3)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C1DC1F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0.432</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CA685C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7 (23.3)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B662E5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7 (23.3)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A0C37F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0.000</w:t>
            </w:r>
          </w:p>
        </w:tc>
      </w:tr>
      <w:tr w:rsidR="00F6573B" w:rsidRPr="00B90BC5" w14:paraId="5AE9B48E"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113DCD6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AFC86D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N2–3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4CC901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42 (56.8)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6C1650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23 (76.7)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44CA13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AD2A51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23 (76.7)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E14F7F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23 (76.7)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57A966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1796457A"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52C0871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EBV-DNA (copies/mL)</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F0AB56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&lt;4000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8DEE20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23 (31.1)</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992E33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32299C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0.098</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17346D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9 (30.0)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E72234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BC09EB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0.074</w:t>
            </w:r>
          </w:p>
        </w:tc>
      </w:tr>
      <w:tr w:rsidR="00F6573B" w:rsidRPr="00B90BC5" w14:paraId="109A9EE3"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7AF40F1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FF4DBC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≥4000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FA007B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51 (68.9)</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95571D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DFC338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F5151E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21 (70.0)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DC0DE6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B21893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5B6D1457"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16CE270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ENE</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DBB489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No</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4DC08D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70 (94.6)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84D01F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(90.0)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D5242D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0.173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7DB1C9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(90.0)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BE437E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(90.0)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D406B9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0.000</w:t>
            </w:r>
          </w:p>
        </w:tc>
      </w:tr>
      <w:tr w:rsidR="00F6573B" w:rsidRPr="00B90BC5" w14:paraId="13A31AD4"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02B23157"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91B810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Yes</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F3148F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 (5.4)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0C8829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 (10.0)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74689D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822AC4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 (10.0)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5393D2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 (10.0)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FEC9F2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65BB9EEA"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7348E13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LN necrosis</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DF4457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No</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F1A658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47 (63.5)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2B526A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 (56.7)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A98F39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0.140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8C5CBA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21 (70.0)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722EA2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 (56.7)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17D0F2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0.279</w:t>
            </w:r>
          </w:p>
        </w:tc>
      </w:tr>
      <w:tr w:rsidR="00F6573B" w:rsidRPr="00B90BC5" w14:paraId="5D013BF1"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69CC5D2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01DD14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Yes</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2F3125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(36.5)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212B917"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13 (43.3)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353975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8E306A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9 (30.0)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88236A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13 (43.3)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676F77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4C7B0F17"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13657BF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PD-L1 CPS</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751B6C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&lt;20%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4DCE5E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21 (28.4)</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96C95F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 (10.0)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5C16C9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0.480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87074A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11 (36.7)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D37747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3 (10.0)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37CF976"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0.664</w:t>
            </w:r>
          </w:p>
        </w:tc>
      </w:tr>
      <w:tr w:rsidR="00F6573B" w:rsidRPr="00B90BC5" w14:paraId="62183E8B"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27FEBC6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28F579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021472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53 (71.6)</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7B47014"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(90.0)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03C63D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7D0112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19 (63.3)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42DBD9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(90.0)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9D02B4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0542788E"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572443D8"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EGFR</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54B9E2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60FEC1C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47 (63.5)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285C4B4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 (56.7)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7BFC84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0.140</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373AA42"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75764B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 (56.7)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EBEB56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0.355</w:t>
            </w:r>
          </w:p>
        </w:tc>
      </w:tr>
      <w:tr w:rsidR="00F6573B" w:rsidRPr="00B90BC5" w14:paraId="79A242C7"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62179947"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E6033C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0BAE295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 (36.5)</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3759BB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13 (43.3)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1E4A26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B368C0C"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 (26.7)</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6A7B1A0"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13 (43.3)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A563E57"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3DCB1FC4" w14:textId="77777777" w:rsidTr="0064688D">
        <w:trPr>
          <w:jc w:val="center"/>
        </w:trPr>
        <w:tc>
          <w:tcPr>
            <w:tcW w:w="0" w:type="auto"/>
            <w:tcBorders>
              <w:top w:val="nil"/>
              <w:left w:val="nil"/>
              <w:bottom w:val="nil"/>
              <w:right w:val="nil"/>
            </w:tcBorders>
            <w:shd w:val="clear" w:color="auto" w:fill="FFFFFF"/>
            <w:tcMar>
              <w:top w:w="0" w:type="dxa"/>
              <w:left w:w="0" w:type="dxa"/>
              <w:bottom w:w="0" w:type="dxa"/>
              <w:right w:w="0" w:type="dxa"/>
            </w:tcMar>
            <w:vAlign w:val="center"/>
          </w:tcPr>
          <w:p w14:paraId="60E8CED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PD-1 inhibitors</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E5311F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Sintilimab</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3E471F1"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5DF3FC2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 (33.3)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741D1039"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1A04536B"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3300FB53"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 (33.3)</w:t>
            </w:r>
          </w:p>
        </w:tc>
        <w:tc>
          <w:tcPr>
            <w:tcW w:w="0" w:type="auto"/>
            <w:tcBorders>
              <w:top w:val="nil"/>
              <w:left w:val="nil"/>
              <w:bottom w:val="nil"/>
              <w:right w:val="nil"/>
            </w:tcBorders>
            <w:shd w:val="clear" w:color="auto" w:fill="FFFFFF"/>
            <w:tcMar>
              <w:top w:w="0" w:type="dxa"/>
              <w:left w:w="0" w:type="dxa"/>
              <w:bottom w:w="0" w:type="dxa"/>
              <w:right w:w="0" w:type="dxa"/>
            </w:tcMar>
            <w:vAlign w:val="center"/>
          </w:tcPr>
          <w:p w14:paraId="47B6759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r w:rsidR="00F6573B" w:rsidRPr="00B90BC5" w14:paraId="001D5FBE" w14:textId="77777777" w:rsidTr="0064688D">
        <w:trPr>
          <w:jc w:val="center"/>
        </w:trPr>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348E753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5833EF6F"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Toripalimab</w:t>
            </w: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5B756C7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42CEBD5D"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20 (66.7)</w:t>
            </w: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1043721A"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067D16B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07DCC745"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20 (66.7)</w:t>
            </w:r>
          </w:p>
        </w:tc>
        <w:tc>
          <w:tcPr>
            <w:tcW w:w="0" w:type="auto"/>
            <w:tcBorders>
              <w:top w:val="nil"/>
              <w:left w:val="nil"/>
              <w:bottom w:val="single" w:sz="12" w:space="0" w:color="000000"/>
              <w:right w:val="nil"/>
            </w:tcBorders>
            <w:shd w:val="clear" w:color="auto" w:fill="FFFFFF"/>
            <w:tcMar>
              <w:top w:w="0" w:type="dxa"/>
              <w:left w:w="0" w:type="dxa"/>
              <w:bottom w:w="0" w:type="dxa"/>
              <w:right w:w="0" w:type="dxa"/>
            </w:tcMar>
            <w:vAlign w:val="center"/>
          </w:tcPr>
          <w:p w14:paraId="3BD5474E" w14:textId="77777777" w:rsidR="00F6573B" w:rsidRPr="00B90BC5" w:rsidRDefault="00F6573B"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r>
    </w:tbl>
    <w:p w14:paraId="4AAD597F" w14:textId="5D3F8727" w:rsidR="00F6573B" w:rsidRPr="00F6573B" w:rsidRDefault="00F6573B" w:rsidP="00F6573B">
      <w:pPr>
        <w:widowControl/>
        <w:spacing w:before="100" w:beforeAutospacing="1" w:after="100" w:afterAutospacing="1" w:line="240" w:lineRule="auto"/>
        <w:rPr>
          <w:rFonts w:ascii="Times New Roman" w:eastAsia="宋体" w:hAnsi="Times New Roman" w:cs="Times New Roman"/>
          <w:kern w:val="0"/>
          <w:sz w:val="18"/>
          <w:szCs w:val="18"/>
          <w14:ligatures w14:val="none"/>
        </w:rPr>
      </w:pPr>
      <w:r w:rsidRPr="00B90BC5">
        <w:rPr>
          <w:rFonts w:ascii="Times New Roman" w:eastAsia="宋体" w:hAnsi="Times New Roman" w:cs="Times New Roman"/>
          <w:kern w:val="0"/>
          <w:sz w:val="18"/>
          <w:szCs w:val="18"/>
          <w14:ligatures w14:val="none"/>
        </w:rPr>
        <w:t>Abbreviations: IC, induction chemotherapy;</w:t>
      </w:r>
      <w:r w:rsidRPr="00B90BC5">
        <w:rPr>
          <w:rFonts w:ascii="Times New Roman" w:eastAsia="宋体" w:hAnsi="Times New Roman" w:cs="Times New Roman"/>
          <w:sz w:val="18"/>
          <w:szCs w:val="18"/>
        </w:rPr>
        <w:t xml:space="preserve"> ICIT, induction chemotherapy combined with PD-1 inhibitor and nimotuzumab</w:t>
      </w:r>
      <w:r w:rsidRPr="00B90BC5">
        <w:rPr>
          <w:rFonts w:ascii="Times New Roman" w:eastAsia="宋体" w:hAnsi="Times New Roman" w:cs="Times New Roman"/>
          <w:kern w:val="0"/>
          <w:sz w:val="18"/>
          <w:szCs w:val="18"/>
          <w14:ligatures w14:val="none"/>
        </w:rPr>
        <w:t>;SMD, standardized mean difference;EBV-DNA, Epstein–Barr virus DNA;ENE, extranodal extension;LN, lymph node;PD-L1, programmed death-ligand 1;CPS, combined positive score;EGFR, epidermal growth factor receptor.</w:t>
      </w:r>
    </w:p>
    <w:p w14:paraId="57C3D537" w14:textId="029C8BD7" w:rsidR="00D42639" w:rsidRDefault="00D42639">
      <w:pPr>
        <w:pStyle w:val="a9"/>
        <w:adjustRightInd w:val="0"/>
        <w:snapToGrid w:val="0"/>
        <w:spacing w:before="0" w:beforeAutospacing="0" w:line="360" w:lineRule="auto"/>
        <w:rPr>
          <w:rFonts w:ascii="Times New Roman" w:hAnsi="Times New Roman"/>
          <w:b/>
          <w:bCs/>
        </w:rPr>
      </w:pPr>
      <w:r w:rsidRPr="00932EBB">
        <w:rPr>
          <w:rFonts w:ascii="Times New Roman" w:hAnsi="Times New Roman" w:hint="eastAsia"/>
          <w:b/>
          <w:bCs/>
        </w:rPr>
        <w:lastRenderedPageBreak/>
        <w:t>2</w:t>
      </w:r>
      <w:r>
        <w:rPr>
          <w:rFonts w:ascii="Times New Roman" w:hAnsi="Times New Roman" w:hint="eastAsia"/>
          <w:b/>
          <w:bCs/>
        </w:rPr>
        <w:t>.</w:t>
      </w:r>
      <w:r w:rsidRPr="00932EBB">
        <w:rPr>
          <w:rFonts w:ascii="Times New Roman" w:hAnsi="Times New Roman" w:hint="eastAsia"/>
          <w:b/>
          <w:bCs/>
        </w:rPr>
        <w:t>2</w:t>
      </w:r>
      <w:r w:rsidRPr="00D42639">
        <w:rPr>
          <w:rFonts w:ascii="Times New Roman" w:hAnsi="Times New Roman"/>
          <w:b/>
          <w:bCs/>
        </w:rPr>
        <w:t>治疗完成情况</w:t>
      </w:r>
      <w:r w:rsidR="00205217" w:rsidRPr="00205217">
        <w:rPr>
          <w:rFonts w:ascii="Times New Roman" w:hAnsi="Times New Roman"/>
          <w:b/>
          <w:bCs/>
        </w:rPr>
        <w:t>及剂量调整</w:t>
      </w:r>
    </w:p>
    <w:p w14:paraId="03372367" w14:textId="1BEE472D" w:rsidR="00D42639" w:rsidRPr="00D42639" w:rsidRDefault="00D42639" w:rsidP="0061397C">
      <w:pPr>
        <w:pStyle w:val="a9"/>
        <w:adjustRightInd w:val="0"/>
        <w:snapToGrid w:val="0"/>
        <w:spacing w:before="0" w:beforeAutospacing="0" w:line="360" w:lineRule="auto"/>
        <w:ind w:firstLineChars="200" w:firstLine="480"/>
        <w:rPr>
          <w:rFonts w:hint="eastAsia"/>
        </w:rPr>
      </w:pPr>
      <w:r w:rsidRPr="00D42639">
        <w:t>在</w:t>
      </w:r>
      <w:r w:rsidRPr="00932EBB">
        <w:rPr>
          <w:rFonts w:ascii="Times New Roman" w:hAnsi="Times New Roman" w:cs="Times New Roman"/>
        </w:rPr>
        <w:t>PSM</w:t>
      </w:r>
      <w:r w:rsidRPr="00D42639">
        <w:t>匹配队列中，两组患者均完成诱导治疗</w:t>
      </w:r>
      <w:r w:rsidR="00F6573B">
        <w:rPr>
          <w:rFonts w:hint="eastAsia"/>
        </w:rPr>
        <w:t>及</w:t>
      </w:r>
      <w:r w:rsidRPr="00D42639">
        <w:t>同步放化疗。</w:t>
      </w:r>
      <w:r w:rsidRPr="00932EBB">
        <w:rPr>
          <w:rFonts w:ascii="Times New Roman" w:hAnsi="Times New Roman" w:cs="Times New Roman"/>
        </w:rPr>
        <w:t>IC</w:t>
      </w:r>
      <w:r w:rsidRPr="00D42639">
        <w:t>组</w:t>
      </w:r>
      <w:r w:rsidRPr="00932EBB">
        <w:rPr>
          <w:rFonts w:ascii="Times New Roman" w:hAnsi="Times New Roman" w:cs="Times New Roman"/>
        </w:rPr>
        <w:t>30</w:t>
      </w:r>
      <w:r w:rsidRPr="00D42639">
        <w:t>例中，</w:t>
      </w:r>
      <w:r w:rsidRPr="00932EBB">
        <w:rPr>
          <w:rFonts w:ascii="Times New Roman" w:hAnsi="Times New Roman" w:cs="Times New Roman"/>
        </w:rPr>
        <w:t>24</w:t>
      </w:r>
      <w:r w:rsidRPr="00D42639">
        <w:t>例</w:t>
      </w:r>
      <w:r w:rsidRPr="00D42639">
        <w:rPr>
          <w:rFonts w:ascii="Times New Roman" w:hAnsi="Times New Roman" w:cs="Times New Roman"/>
        </w:rPr>
        <w:t>（</w:t>
      </w:r>
      <w:r w:rsidRPr="00932EBB">
        <w:rPr>
          <w:rFonts w:ascii="Times New Roman" w:hAnsi="Times New Roman" w:cs="Times New Roman"/>
        </w:rPr>
        <w:t>80</w:t>
      </w:r>
      <w:r w:rsidRPr="00D42639">
        <w:rPr>
          <w:rFonts w:ascii="Times New Roman" w:hAnsi="Times New Roman" w:cs="Times New Roman"/>
        </w:rPr>
        <w:t>.</w:t>
      </w:r>
      <w:r w:rsidRPr="00932EBB">
        <w:rPr>
          <w:rFonts w:ascii="Times New Roman" w:hAnsi="Times New Roman" w:cs="Times New Roman"/>
        </w:rPr>
        <w:t>0</w:t>
      </w:r>
      <w:r w:rsidRPr="00D42639">
        <w:rPr>
          <w:rFonts w:ascii="Times New Roman" w:hAnsi="Times New Roman" w:cs="Times New Roman"/>
        </w:rPr>
        <w:t>%</w:t>
      </w:r>
      <w:r w:rsidRPr="00D42639">
        <w:rPr>
          <w:rFonts w:ascii="Times New Roman" w:hAnsi="Times New Roman" w:cs="Times New Roman"/>
        </w:rPr>
        <w:t>）</w:t>
      </w:r>
      <w:r w:rsidRPr="00D42639">
        <w:t>完成</w:t>
      </w:r>
      <w:r w:rsidRPr="00932EBB">
        <w:rPr>
          <w:rFonts w:ascii="Times New Roman" w:hAnsi="Times New Roman" w:cs="Times New Roman"/>
        </w:rPr>
        <w:t>3</w:t>
      </w:r>
      <w:r w:rsidRPr="00D42639">
        <w:t>个周期诱导化疗，</w:t>
      </w:r>
      <w:r w:rsidRPr="00932EBB">
        <w:rPr>
          <w:rFonts w:ascii="Times New Roman" w:hAnsi="Times New Roman" w:cs="Times New Roman"/>
        </w:rPr>
        <w:t>6</w:t>
      </w:r>
      <w:r w:rsidRPr="00D42639">
        <w:t>例</w:t>
      </w:r>
      <w:r w:rsidRPr="00D42639">
        <w:rPr>
          <w:rFonts w:ascii="Times New Roman" w:hAnsi="Times New Roman" w:cs="Times New Roman"/>
        </w:rPr>
        <w:t>（</w:t>
      </w:r>
      <w:r w:rsidRPr="00932EBB">
        <w:rPr>
          <w:rFonts w:ascii="Times New Roman" w:hAnsi="Times New Roman" w:cs="Times New Roman"/>
        </w:rPr>
        <w:t>20</w:t>
      </w:r>
      <w:r w:rsidRPr="00D42639">
        <w:rPr>
          <w:rFonts w:ascii="Times New Roman" w:hAnsi="Times New Roman" w:cs="Times New Roman"/>
        </w:rPr>
        <w:t>.</w:t>
      </w:r>
      <w:r w:rsidRPr="00932EBB">
        <w:rPr>
          <w:rFonts w:ascii="Times New Roman" w:hAnsi="Times New Roman" w:cs="Times New Roman"/>
        </w:rPr>
        <w:t>0</w:t>
      </w:r>
      <w:r w:rsidRPr="00D42639">
        <w:rPr>
          <w:rFonts w:ascii="Times New Roman" w:hAnsi="Times New Roman" w:cs="Times New Roman"/>
        </w:rPr>
        <w:t>%</w:t>
      </w:r>
      <w:r w:rsidRPr="00D42639">
        <w:rPr>
          <w:rFonts w:ascii="Times New Roman" w:hAnsi="Times New Roman" w:cs="Times New Roman"/>
        </w:rPr>
        <w:t>）</w:t>
      </w:r>
      <w:r w:rsidRPr="00D42639">
        <w:t>完成</w:t>
      </w:r>
      <w:r w:rsidRPr="00932EBB">
        <w:rPr>
          <w:rFonts w:ascii="Times New Roman" w:hAnsi="Times New Roman" w:cs="Times New Roman"/>
        </w:rPr>
        <w:t>2</w:t>
      </w:r>
      <w:r w:rsidRPr="00D42639">
        <w:t>个周期；</w:t>
      </w:r>
      <w:r w:rsidRPr="00932EBB">
        <w:rPr>
          <w:rFonts w:ascii="Times New Roman" w:hAnsi="Times New Roman"/>
        </w:rPr>
        <w:t>ICIT</w:t>
      </w:r>
      <w:r w:rsidRPr="00D42639">
        <w:t>组</w:t>
      </w:r>
      <w:r w:rsidRPr="00932EBB">
        <w:rPr>
          <w:rFonts w:ascii="Times New Roman" w:hAnsi="Times New Roman"/>
        </w:rPr>
        <w:t>30</w:t>
      </w:r>
      <w:r w:rsidRPr="00D42639">
        <w:t>例中，</w:t>
      </w:r>
      <w:r w:rsidRPr="00932EBB">
        <w:rPr>
          <w:rFonts w:ascii="Times New Roman" w:hAnsi="Times New Roman"/>
        </w:rPr>
        <w:t>25</w:t>
      </w:r>
      <w:r w:rsidRPr="00D42639">
        <w:t>例（</w:t>
      </w:r>
      <w:r w:rsidRPr="00932EBB">
        <w:rPr>
          <w:rFonts w:ascii="Times New Roman" w:hAnsi="Times New Roman"/>
        </w:rPr>
        <w:t>83</w:t>
      </w:r>
      <w:r w:rsidRPr="00D42639">
        <w:t>.</w:t>
      </w:r>
      <w:r w:rsidRPr="00932EBB">
        <w:rPr>
          <w:rFonts w:ascii="Times New Roman" w:hAnsi="Times New Roman"/>
        </w:rPr>
        <w:t>3</w:t>
      </w:r>
      <w:r w:rsidRPr="00D42639">
        <w:t>%）完成</w:t>
      </w:r>
      <w:r w:rsidRPr="00932EBB">
        <w:rPr>
          <w:rFonts w:ascii="Times New Roman" w:hAnsi="Times New Roman"/>
        </w:rPr>
        <w:t>3</w:t>
      </w:r>
      <w:r w:rsidRPr="00D42639">
        <w:t>个周期诱导治疗，</w:t>
      </w:r>
      <w:r w:rsidRPr="00932EBB">
        <w:rPr>
          <w:rFonts w:ascii="Times New Roman" w:hAnsi="Times New Roman"/>
        </w:rPr>
        <w:t>5</w:t>
      </w:r>
      <w:r w:rsidRPr="00D42639">
        <w:t>例（</w:t>
      </w:r>
      <w:r w:rsidRPr="00932EBB">
        <w:rPr>
          <w:rFonts w:ascii="Times New Roman" w:hAnsi="Times New Roman"/>
        </w:rPr>
        <w:t>16</w:t>
      </w:r>
      <w:r w:rsidRPr="00D42639">
        <w:t>.</w:t>
      </w:r>
      <w:r w:rsidRPr="00932EBB">
        <w:rPr>
          <w:rFonts w:ascii="Times New Roman" w:hAnsi="Times New Roman"/>
        </w:rPr>
        <w:t>7</w:t>
      </w:r>
      <w:r w:rsidRPr="00D42639">
        <w:t>%）完成</w:t>
      </w:r>
      <w:r w:rsidRPr="00932EBB">
        <w:rPr>
          <w:rFonts w:ascii="Times New Roman" w:hAnsi="Times New Roman"/>
        </w:rPr>
        <w:t>2</w:t>
      </w:r>
      <w:r w:rsidRPr="00D42639">
        <w:t>个周期。</w:t>
      </w:r>
      <w:r w:rsidRPr="00932EBB">
        <w:rPr>
          <w:rFonts w:ascii="Times New Roman" w:hAnsi="Times New Roman"/>
        </w:rPr>
        <w:t>ICIT</w:t>
      </w:r>
      <w:r w:rsidRPr="00D42639">
        <w:t>组中，</w:t>
      </w:r>
      <w:r w:rsidRPr="00932EBB">
        <w:rPr>
          <w:rFonts w:ascii="Times New Roman" w:hAnsi="Times New Roman"/>
        </w:rPr>
        <w:t>27</w:t>
      </w:r>
      <w:r w:rsidRPr="00D42639">
        <w:t>例（</w:t>
      </w:r>
      <w:r w:rsidRPr="00932EBB">
        <w:rPr>
          <w:rFonts w:ascii="Times New Roman" w:hAnsi="Times New Roman"/>
        </w:rPr>
        <w:t>90</w:t>
      </w:r>
      <w:r w:rsidRPr="00D42639">
        <w:t>.</w:t>
      </w:r>
      <w:r w:rsidRPr="00932EBB">
        <w:rPr>
          <w:rFonts w:ascii="Times New Roman" w:hAnsi="Times New Roman"/>
        </w:rPr>
        <w:t>0</w:t>
      </w:r>
      <w:r w:rsidRPr="00D42639">
        <w:t>%）按计划完成</w:t>
      </w:r>
      <w:r w:rsidRPr="00932EBB">
        <w:rPr>
          <w:rFonts w:ascii="Times New Roman" w:hAnsi="Times New Roman"/>
        </w:rPr>
        <w:t>PD</w:t>
      </w:r>
      <w:r w:rsidR="00932EBB" w:rsidRPr="00932EBB">
        <w:rPr>
          <w:rFonts w:ascii="Times New Roman" w:hAnsi="Times New Roman"/>
        </w:rPr>
        <w:t>-</w:t>
      </w:r>
      <w:r w:rsidRPr="00932EBB">
        <w:rPr>
          <w:rFonts w:ascii="Times New Roman" w:hAnsi="Times New Roman"/>
        </w:rPr>
        <w:t>1</w:t>
      </w:r>
      <w:r w:rsidRPr="00D42639">
        <w:t>抑制剂治疗，</w:t>
      </w:r>
      <w:r w:rsidRPr="00932EBB">
        <w:rPr>
          <w:rFonts w:ascii="Times New Roman" w:hAnsi="Times New Roman"/>
        </w:rPr>
        <w:t>3</w:t>
      </w:r>
      <w:r w:rsidRPr="00D42639">
        <w:t>例（</w:t>
      </w:r>
      <w:r w:rsidRPr="00932EBB">
        <w:rPr>
          <w:rFonts w:ascii="Times New Roman" w:hAnsi="Times New Roman"/>
        </w:rPr>
        <w:t>10</w:t>
      </w:r>
      <w:r w:rsidRPr="00D42639">
        <w:t>.</w:t>
      </w:r>
      <w:r w:rsidRPr="00932EBB">
        <w:rPr>
          <w:rFonts w:ascii="Times New Roman" w:hAnsi="Times New Roman"/>
        </w:rPr>
        <w:t>0</w:t>
      </w:r>
      <w:r w:rsidRPr="00D42639">
        <w:t>%）因治疗相关不良反应出现</w:t>
      </w:r>
      <w:r w:rsidR="00F6573B" w:rsidRPr="00D42639">
        <w:t>延期</w:t>
      </w:r>
      <w:r w:rsidRPr="00D42639">
        <w:t>给药。</w:t>
      </w:r>
      <w:r w:rsidRPr="00932EBB">
        <w:rPr>
          <w:rFonts w:ascii="Times New Roman" w:hAnsi="Times New Roman"/>
        </w:rPr>
        <w:t>26</w:t>
      </w:r>
      <w:r w:rsidRPr="00D42639">
        <w:t>例（</w:t>
      </w:r>
      <w:r w:rsidRPr="00932EBB">
        <w:rPr>
          <w:rFonts w:ascii="Times New Roman" w:hAnsi="Times New Roman"/>
        </w:rPr>
        <w:t>86</w:t>
      </w:r>
      <w:r w:rsidRPr="00D42639">
        <w:t>.</w:t>
      </w:r>
      <w:r w:rsidRPr="00932EBB">
        <w:rPr>
          <w:rFonts w:ascii="Times New Roman" w:hAnsi="Times New Roman"/>
        </w:rPr>
        <w:t>7</w:t>
      </w:r>
      <w:r w:rsidRPr="00D42639">
        <w:t>%）按计划完成尼妥珠单抗治疗，</w:t>
      </w:r>
      <w:r w:rsidRPr="00932EBB">
        <w:rPr>
          <w:rFonts w:ascii="Times New Roman" w:hAnsi="Times New Roman"/>
        </w:rPr>
        <w:t>4</w:t>
      </w:r>
      <w:r w:rsidRPr="00D42639">
        <w:t>例（</w:t>
      </w:r>
      <w:r w:rsidRPr="00932EBB">
        <w:rPr>
          <w:rFonts w:ascii="Times New Roman" w:hAnsi="Times New Roman"/>
        </w:rPr>
        <w:t>13</w:t>
      </w:r>
      <w:r w:rsidRPr="00D42639">
        <w:t>.</w:t>
      </w:r>
      <w:r w:rsidRPr="00932EBB">
        <w:rPr>
          <w:rFonts w:ascii="Times New Roman" w:hAnsi="Times New Roman"/>
        </w:rPr>
        <w:t>3</w:t>
      </w:r>
      <w:r w:rsidRPr="00D42639">
        <w:t>%）因骨髓抑制、口腔黏膜反应出现</w:t>
      </w:r>
      <w:r w:rsidR="00D23EFE" w:rsidRPr="00D23EFE">
        <w:t>延期给药</w:t>
      </w:r>
      <w:r w:rsidRPr="00D42639">
        <w:t>。</w:t>
      </w:r>
      <w:r w:rsidR="00D23EFE" w:rsidRPr="00D23EFE">
        <w:t>所有患者均完成根治性</w:t>
      </w:r>
      <w:r w:rsidR="00D23EFE" w:rsidRPr="00D23EFE">
        <w:rPr>
          <w:rFonts w:ascii="Times New Roman" w:hAnsi="Times New Roman" w:cs="Times New Roman"/>
        </w:rPr>
        <w:t>IMRT</w:t>
      </w:r>
      <w:r w:rsidR="00D23EFE">
        <w:rPr>
          <w:rFonts w:hint="eastAsia"/>
        </w:rPr>
        <w:t>，</w:t>
      </w:r>
      <w:r w:rsidR="00932EBB" w:rsidRPr="00932EBB">
        <w:t>同步治疗期间，</w:t>
      </w:r>
      <w:r w:rsidR="00932EBB" w:rsidRPr="00932EBB">
        <w:rPr>
          <w:rFonts w:ascii="Times New Roman" w:hAnsi="Times New Roman" w:cs="Times New Roman"/>
        </w:rPr>
        <w:t>6</w:t>
      </w:r>
      <w:r w:rsidR="00932EBB" w:rsidRPr="00932EBB">
        <w:t>例</w:t>
      </w:r>
      <w:r w:rsidR="00932EBB" w:rsidRPr="00932EBB">
        <w:rPr>
          <w:rFonts w:ascii="Times New Roman" w:hAnsi="Times New Roman" w:cs="Times New Roman"/>
        </w:rPr>
        <w:t>（</w:t>
      </w:r>
      <w:r w:rsidR="00932EBB" w:rsidRPr="00932EBB">
        <w:rPr>
          <w:rFonts w:ascii="Times New Roman" w:hAnsi="Times New Roman" w:cs="Times New Roman"/>
        </w:rPr>
        <w:t>10.0%</w:t>
      </w:r>
      <w:r w:rsidR="00932EBB" w:rsidRPr="00932EBB">
        <w:rPr>
          <w:rFonts w:ascii="Times New Roman" w:hAnsi="Times New Roman" w:cs="Times New Roman"/>
        </w:rPr>
        <w:t>）</w:t>
      </w:r>
      <w:r w:rsidR="00932EBB" w:rsidRPr="00932EBB">
        <w:t>患者</w:t>
      </w:r>
      <w:r w:rsidR="00D23EFE" w:rsidRPr="00D23EFE">
        <w:t>因口腔黏膜炎、胃肠道反应或骨髓抑制等治疗相关不良反应进行了顺铂剂量调整</w:t>
      </w:r>
      <w:r w:rsidR="00932EBB" w:rsidRPr="00932EBB">
        <w:t>，</w:t>
      </w:r>
      <w:r w:rsidR="00932EBB" w:rsidRPr="00932EBB">
        <w:rPr>
          <w:rFonts w:ascii="Times New Roman" w:hAnsi="Times New Roman" w:cs="Times New Roman"/>
        </w:rPr>
        <w:t>4</w:t>
      </w:r>
      <w:r w:rsidR="00932EBB" w:rsidRPr="00932EBB">
        <w:t>例</w:t>
      </w:r>
      <w:r w:rsidR="00932EBB" w:rsidRPr="00932EBB">
        <w:rPr>
          <w:rFonts w:ascii="Times New Roman" w:hAnsi="Times New Roman" w:cs="Times New Roman"/>
        </w:rPr>
        <w:t>（</w:t>
      </w:r>
      <w:r w:rsidR="00932EBB" w:rsidRPr="00932EBB">
        <w:rPr>
          <w:rFonts w:ascii="Times New Roman" w:hAnsi="Times New Roman" w:cs="Times New Roman"/>
        </w:rPr>
        <w:t>6.7%</w:t>
      </w:r>
      <w:r w:rsidR="00932EBB" w:rsidRPr="00932EBB">
        <w:rPr>
          <w:rFonts w:ascii="Times New Roman" w:hAnsi="Times New Roman" w:cs="Times New Roman"/>
        </w:rPr>
        <w:t>）</w:t>
      </w:r>
      <w:r w:rsidR="00932EBB" w:rsidRPr="00932EBB">
        <w:t>患者出现</w:t>
      </w:r>
      <w:r w:rsidR="00D23EFE" w:rsidRPr="00D23EFE">
        <w:t>治疗延期</w:t>
      </w:r>
      <w:r w:rsidR="00932EBB" w:rsidRPr="00932EBB">
        <w:t>，但未见因毒性导致治疗中断者。</w:t>
      </w:r>
    </w:p>
    <w:p w14:paraId="01F2EC02" w14:textId="00AE2820" w:rsidR="00D606CB" w:rsidRDefault="00000000">
      <w:pPr>
        <w:pStyle w:val="a9"/>
        <w:adjustRightInd w:val="0"/>
        <w:snapToGrid w:val="0"/>
        <w:spacing w:before="0" w:beforeAutospacing="0" w:line="360" w:lineRule="auto"/>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sidR="00D52B88">
        <w:rPr>
          <w:rFonts w:ascii="Times New Roman" w:hAnsi="Times New Roman" w:hint="eastAsia"/>
          <w:b/>
          <w:bCs/>
        </w:rPr>
        <w:t>3</w:t>
      </w:r>
      <w:r>
        <w:rPr>
          <w:rFonts w:ascii="Times New Roman" w:hAnsi="Times New Roman" w:hint="eastAsia"/>
          <w:b/>
          <w:bCs/>
        </w:rPr>
        <w:t>短期疗效</w:t>
      </w:r>
    </w:p>
    <w:p w14:paraId="5F54AA38" w14:textId="77777777" w:rsidR="00D606CB" w:rsidRDefault="00000000">
      <w:pPr>
        <w:pStyle w:val="a9"/>
        <w:adjustRightInd w:val="0"/>
        <w:snapToGrid w:val="0"/>
        <w:spacing w:before="0" w:beforeAutospacing="0" w:line="360" w:lineRule="auto"/>
        <w:ind w:firstLineChars="200" w:firstLine="480"/>
        <w:rPr>
          <w:rFonts w:ascii="Times New Roman" w:hAnsi="Times New Roman"/>
        </w:rPr>
      </w:pPr>
      <w:r>
        <w:rPr>
          <w:rFonts w:ascii="Times New Roman" w:hAnsi="Times New Roman"/>
        </w:rPr>
        <w:t>诱导治疗结束后，</w:t>
      </w:r>
      <w:r w:rsidRPr="00932EBB">
        <w:rPr>
          <w:rFonts w:ascii="Times New Roman" w:hAnsi="Times New Roman"/>
        </w:rPr>
        <w:t>ICIT</w:t>
      </w:r>
      <w:r>
        <w:rPr>
          <w:rFonts w:ascii="Times New Roman" w:hAnsi="Times New Roman"/>
        </w:rPr>
        <w:t>组的</w:t>
      </w:r>
      <w:r w:rsidRPr="00932EBB">
        <w:rPr>
          <w:rFonts w:ascii="Times New Roman" w:hAnsi="Times New Roman"/>
        </w:rPr>
        <w:t>ORR</w:t>
      </w:r>
      <w:r>
        <w:rPr>
          <w:rFonts w:ascii="Times New Roman" w:hAnsi="Times New Roman"/>
        </w:rPr>
        <w:t>为</w:t>
      </w:r>
      <w:r w:rsidRPr="00932EBB">
        <w:rPr>
          <w:rFonts w:ascii="Times New Roman" w:hAnsi="Times New Roman"/>
        </w:rPr>
        <w:t>100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w:t>
      </w:r>
      <w:r w:rsidRPr="00932EBB">
        <w:rPr>
          <w:rFonts w:ascii="Times New Roman" w:hAnsi="Times New Roman"/>
        </w:rPr>
        <w:t>30</w:t>
      </w:r>
      <w:r>
        <w:rPr>
          <w:rFonts w:ascii="Times New Roman" w:hAnsi="Times New Roman"/>
        </w:rPr>
        <w:t>/</w:t>
      </w:r>
      <w:r w:rsidRPr="00932EBB">
        <w:rPr>
          <w:rFonts w:ascii="Times New Roman" w:hAnsi="Times New Roman"/>
        </w:rPr>
        <w:t>30</w:t>
      </w:r>
      <w:r>
        <w:rPr>
          <w:rFonts w:ascii="Times New Roman" w:hAnsi="Times New Roman"/>
        </w:rPr>
        <w:t>），显著高于</w:t>
      </w:r>
      <w:r w:rsidRPr="00932EBB">
        <w:rPr>
          <w:rFonts w:ascii="Times New Roman" w:hAnsi="Times New Roman"/>
        </w:rPr>
        <w:t>IC</w:t>
      </w:r>
      <w:r>
        <w:rPr>
          <w:rFonts w:ascii="Times New Roman" w:hAnsi="Times New Roman"/>
        </w:rPr>
        <w:t>组的</w:t>
      </w:r>
      <w:r w:rsidRPr="00932EBB">
        <w:rPr>
          <w:rFonts w:ascii="Times New Roman" w:hAnsi="Times New Roman"/>
        </w:rPr>
        <w:t>80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w:t>
      </w:r>
      <w:r w:rsidRPr="00932EBB">
        <w:rPr>
          <w:rFonts w:ascii="Times New Roman" w:hAnsi="Times New Roman"/>
        </w:rPr>
        <w:t>24</w:t>
      </w:r>
      <w:r>
        <w:rPr>
          <w:rFonts w:ascii="Times New Roman" w:hAnsi="Times New Roman"/>
        </w:rPr>
        <w:t>/</w:t>
      </w:r>
      <w:r w:rsidRPr="00932EBB">
        <w:rPr>
          <w:rFonts w:ascii="Times New Roman" w:hAnsi="Times New Roman"/>
        </w:rPr>
        <w:t>30</w:t>
      </w:r>
      <w:r>
        <w:rPr>
          <w:rFonts w:ascii="Times New Roman" w:hAnsi="Times New Roman"/>
        </w:rPr>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024</w:t>
      </w:r>
      <w:r>
        <w:rPr>
          <w:rFonts w:ascii="Times New Roman" w:hAnsi="Times New Roman"/>
        </w:rPr>
        <w:t>）。该差异主要源于</w:t>
      </w:r>
      <w:r w:rsidRPr="00932EBB">
        <w:rPr>
          <w:rFonts w:ascii="Times New Roman" w:hAnsi="Times New Roman"/>
        </w:rPr>
        <w:t>ICIT</w:t>
      </w:r>
      <w:r>
        <w:rPr>
          <w:rFonts w:ascii="Times New Roman" w:hAnsi="Times New Roman"/>
        </w:rPr>
        <w:t>组未观察到</w:t>
      </w:r>
      <w:r w:rsidRPr="00932EBB">
        <w:rPr>
          <w:rFonts w:ascii="Times New Roman" w:hAnsi="Times New Roman"/>
        </w:rPr>
        <w:t>SD</w:t>
      </w:r>
      <w:r>
        <w:rPr>
          <w:rFonts w:ascii="Times New Roman" w:hAnsi="Times New Roman"/>
        </w:rPr>
        <w:t>病例，而</w:t>
      </w:r>
      <w:r w:rsidRPr="00932EBB">
        <w:rPr>
          <w:rFonts w:ascii="Times New Roman" w:hAnsi="Times New Roman"/>
        </w:rPr>
        <w:t>IC</w:t>
      </w:r>
      <w:r>
        <w:rPr>
          <w:rFonts w:ascii="Times New Roman" w:hAnsi="Times New Roman"/>
        </w:rPr>
        <w:t>组有</w:t>
      </w:r>
      <w:r w:rsidRPr="00932EBB">
        <w:rPr>
          <w:rFonts w:ascii="Times New Roman" w:hAnsi="Times New Roman"/>
        </w:rPr>
        <w:t>6</w:t>
      </w:r>
      <w:r>
        <w:rPr>
          <w:rFonts w:ascii="Times New Roman" w:hAnsi="Times New Roman"/>
        </w:rPr>
        <w:t>例（</w:t>
      </w:r>
      <w:r w:rsidRPr="00932EBB">
        <w:rPr>
          <w:rFonts w:ascii="Times New Roman" w:hAnsi="Times New Roman"/>
        </w:rPr>
        <w:t>20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）表现为</w:t>
      </w:r>
      <w:r w:rsidRPr="00932EBB">
        <w:rPr>
          <w:rFonts w:ascii="Times New Roman" w:hAnsi="Times New Roman"/>
        </w:rPr>
        <w:t>SD</w:t>
      </w:r>
      <w:r>
        <w:rPr>
          <w:rFonts w:ascii="Times New Roman" w:hAnsi="Times New Roman"/>
        </w:rPr>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024</w:t>
      </w:r>
      <w:r>
        <w:rPr>
          <w:rFonts w:ascii="Times New Roman" w:hAnsi="Times New Roman"/>
        </w:rPr>
        <w:t>）。两组在</w:t>
      </w:r>
      <w:r w:rsidRPr="00932EBB">
        <w:rPr>
          <w:rFonts w:ascii="Times New Roman" w:hAnsi="Times New Roman"/>
        </w:rPr>
        <w:t>CR</w:t>
      </w:r>
      <w:r>
        <w:rPr>
          <w:rFonts w:ascii="Times New Roman" w:hAnsi="Times New Roman"/>
        </w:rPr>
        <w:t>（</w:t>
      </w:r>
      <w:r w:rsidRPr="00932EBB">
        <w:rPr>
          <w:rFonts w:ascii="Times New Roman" w:hAnsi="Times New Roman"/>
        </w:rPr>
        <w:t>16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rPr>
        <w:t>）和</w:t>
      </w:r>
      <w:r w:rsidRPr="00932EBB">
        <w:rPr>
          <w:rFonts w:ascii="Times New Roman" w:hAnsi="Times New Roman"/>
        </w:rPr>
        <w:t>PR</w:t>
      </w:r>
      <w:r>
        <w:rPr>
          <w:rFonts w:ascii="Times New Roman" w:hAnsi="Times New Roman"/>
        </w:rPr>
        <w:t>（</w:t>
      </w:r>
      <w:r w:rsidRPr="00932EBB">
        <w:rPr>
          <w:rFonts w:ascii="Times New Roman" w:hAnsi="Times New Roman"/>
        </w:rPr>
        <w:t>83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73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）比例上的差异无统计学意义（均</w:t>
      </w:r>
      <w:r w:rsidRPr="00932EBB">
        <w:rPr>
          <w:rFonts w:ascii="Times New Roman" w:hAnsi="Times New Roman"/>
        </w:rPr>
        <w:t>P</w:t>
      </w:r>
      <w:r>
        <w:rPr>
          <w:rFonts w:ascii="Times New Roman" w:hAnsi="Times New Roman"/>
        </w:rPr>
        <w:t>&gt;</w:t>
      </w:r>
      <w:r w:rsidRPr="00932EBB">
        <w:rPr>
          <w:rFonts w:ascii="Times New Roman" w:hAnsi="Times New Roman"/>
        </w:rPr>
        <w:t>0</w:t>
      </w:r>
      <w:r>
        <w:rPr>
          <w:rFonts w:ascii="Times New Roman" w:hAnsi="Times New Roman"/>
        </w:rPr>
        <w:t>.</w:t>
      </w:r>
      <w:r w:rsidRPr="00932EBB">
        <w:rPr>
          <w:rFonts w:ascii="Times New Roman" w:hAnsi="Times New Roman"/>
        </w:rPr>
        <w:t>05</w:t>
      </w:r>
      <w:r>
        <w:rPr>
          <w:rFonts w:ascii="Times New Roman" w:hAnsi="Times New Roman"/>
        </w:rPr>
        <w:t>）。两组均未观察到</w:t>
      </w:r>
      <w:r w:rsidRPr="00932EBB">
        <w:rPr>
          <w:rFonts w:ascii="Times New Roman" w:hAnsi="Times New Roman"/>
        </w:rPr>
        <w:t>PD</w:t>
      </w:r>
      <w:r>
        <w:rPr>
          <w:rFonts w:ascii="Times New Roman" w:hAnsi="Times New Roman"/>
        </w:rPr>
        <w:t>。在</w:t>
      </w:r>
      <w:r w:rsidRPr="00932EBB">
        <w:rPr>
          <w:rFonts w:ascii="Times New Roman" w:hAnsi="Times New Roman"/>
        </w:rPr>
        <w:t>ICIT</w:t>
      </w:r>
      <w:r>
        <w:rPr>
          <w:rFonts w:ascii="Times New Roman" w:hAnsi="Times New Roman"/>
        </w:rPr>
        <w:t>组内部，接受特瑞普利单抗（</w:t>
      </w:r>
      <w:r w:rsidRPr="00932EBB">
        <w:rPr>
          <w:rFonts w:ascii="Times New Roman" w:hAnsi="Times New Roman"/>
        </w:rPr>
        <w:t>20</w:t>
      </w:r>
      <w:r>
        <w:rPr>
          <w:rFonts w:ascii="Times New Roman" w:hAnsi="Times New Roman"/>
        </w:rPr>
        <w:t>例）和信迪利单抗（</w:t>
      </w:r>
      <w:r w:rsidRPr="00932EBB">
        <w:rPr>
          <w:rFonts w:ascii="Times New Roman" w:hAnsi="Times New Roman"/>
        </w:rPr>
        <w:t>10</w:t>
      </w:r>
      <w:r>
        <w:rPr>
          <w:rFonts w:ascii="Times New Roman" w:hAnsi="Times New Roman"/>
        </w:rPr>
        <w:t>例）治疗的亚组</w:t>
      </w:r>
      <w:r w:rsidRPr="00932EBB">
        <w:rPr>
          <w:rFonts w:ascii="Times New Roman" w:hAnsi="Times New Roman"/>
        </w:rPr>
        <w:t>ORR</w:t>
      </w:r>
      <w:r>
        <w:rPr>
          <w:rFonts w:ascii="Times New Roman" w:hAnsi="Times New Roman"/>
        </w:rPr>
        <w:t>均为</w:t>
      </w:r>
      <w:r w:rsidRPr="00932EBB">
        <w:rPr>
          <w:rFonts w:ascii="Times New Roman" w:hAnsi="Times New Roman"/>
        </w:rPr>
        <w:t>100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。在</w:t>
      </w:r>
      <w:r w:rsidRPr="00932EBB">
        <w:rPr>
          <w:rFonts w:ascii="Times New Roman" w:hAnsi="Times New Roman"/>
        </w:rPr>
        <w:t>CCRT</w:t>
      </w:r>
      <w:r>
        <w:rPr>
          <w:rFonts w:ascii="Times New Roman" w:hAnsi="Times New Roman"/>
        </w:rPr>
        <w:t>结束后</w:t>
      </w:r>
      <w:r w:rsidRPr="00932EBB">
        <w:rPr>
          <w:rFonts w:ascii="Times New Roman" w:hAnsi="Times New Roman"/>
        </w:rPr>
        <w:t>3</w:t>
      </w:r>
      <w:r>
        <w:rPr>
          <w:rFonts w:ascii="Times New Roman" w:hAnsi="Times New Roman"/>
        </w:rPr>
        <w:t>个月，</w:t>
      </w:r>
      <w:r w:rsidRPr="00932EBB">
        <w:rPr>
          <w:rFonts w:ascii="Times New Roman" w:hAnsi="Times New Roman"/>
        </w:rPr>
        <w:t>ICIT</w:t>
      </w:r>
      <w:r>
        <w:rPr>
          <w:rFonts w:ascii="Times New Roman" w:hAnsi="Times New Roman"/>
        </w:rPr>
        <w:t>组的</w:t>
      </w:r>
      <w:r w:rsidRPr="00932EBB">
        <w:rPr>
          <w:rFonts w:ascii="Times New Roman" w:hAnsi="Times New Roman"/>
        </w:rPr>
        <w:t>CR</w:t>
      </w:r>
      <w:r>
        <w:rPr>
          <w:rFonts w:ascii="Times New Roman" w:hAnsi="Times New Roman"/>
        </w:rPr>
        <w:t>比例显著高于</w:t>
      </w:r>
      <w:r w:rsidRPr="00932EBB">
        <w:rPr>
          <w:rFonts w:ascii="Times New Roman" w:hAnsi="Times New Roman"/>
        </w:rPr>
        <w:t>IC</w:t>
      </w:r>
      <w:r>
        <w:rPr>
          <w:rFonts w:ascii="Times New Roman" w:hAnsi="Times New Roman"/>
        </w:rPr>
        <w:t>组（</w:t>
      </w:r>
      <w:r w:rsidRPr="00932EBB">
        <w:rPr>
          <w:rFonts w:ascii="Times New Roman" w:hAnsi="Times New Roman"/>
        </w:rPr>
        <w:t>93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70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042</w:t>
      </w:r>
      <w:r>
        <w:rPr>
          <w:rFonts w:ascii="Times New Roman" w:hAnsi="Times New Roman"/>
        </w:rPr>
        <w:t>），</w:t>
      </w:r>
      <w:r w:rsidRPr="00932EBB">
        <w:rPr>
          <w:rFonts w:ascii="Times New Roman" w:hAnsi="Times New Roman"/>
        </w:rPr>
        <w:t>PR</w:t>
      </w:r>
      <w:r>
        <w:rPr>
          <w:rFonts w:ascii="Times New Roman" w:hAnsi="Times New Roman"/>
        </w:rPr>
        <w:t>比例则相应较低（</w:t>
      </w:r>
      <w:r w:rsidRPr="00932EBB">
        <w:rPr>
          <w:rFonts w:ascii="Times New Roman" w:hAnsi="Times New Roman"/>
        </w:rPr>
        <w:t>6</w:t>
      </w:r>
      <w:r>
        <w:rPr>
          <w:rFonts w:ascii="Times New Roman" w:hAnsi="Times New Roman"/>
        </w:rPr>
        <w:t>.</w:t>
      </w:r>
      <w:r w:rsidRPr="00932EBB">
        <w:rPr>
          <w:rFonts w:ascii="Times New Roman" w:hAnsi="Times New Roman"/>
        </w:rPr>
        <w:t>7</w:t>
      </w:r>
      <w:r>
        <w:rPr>
          <w:rFonts w:ascii="Times New Roman" w:hAnsi="Times New Roman"/>
        </w:rPr>
        <w:t>%</w:t>
      </w:r>
      <w:r w:rsidRPr="00932EBB">
        <w:rPr>
          <w:rFonts w:ascii="Times New Roman" w:hAnsi="Times New Roman"/>
        </w:rPr>
        <w:t>vs</w:t>
      </w:r>
      <w:r>
        <w:rPr>
          <w:rFonts w:ascii="Times New Roman" w:hAnsi="Times New Roman"/>
        </w:rPr>
        <w:t>.</w:t>
      </w:r>
      <w:r w:rsidRPr="00932EBB">
        <w:rPr>
          <w:rFonts w:ascii="Times New Roman" w:hAnsi="Times New Roman"/>
        </w:rPr>
        <w:t>30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042</w:t>
      </w:r>
      <w:r>
        <w:rPr>
          <w:rFonts w:ascii="Times New Roman" w:hAnsi="Times New Roman"/>
        </w:rPr>
        <w:t>）。此时，两组均未观察到</w:t>
      </w:r>
      <w:r w:rsidRPr="00932EBB">
        <w:rPr>
          <w:rFonts w:ascii="Times New Roman" w:hAnsi="Times New Roman"/>
        </w:rPr>
        <w:t>SD</w:t>
      </w:r>
      <w:r>
        <w:rPr>
          <w:rFonts w:ascii="Times New Roman" w:hAnsi="Times New Roman"/>
        </w:rPr>
        <w:t>或</w:t>
      </w:r>
      <w:r w:rsidRPr="00932EBB">
        <w:rPr>
          <w:rFonts w:ascii="Times New Roman" w:hAnsi="Times New Roman"/>
        </w:rPr>
        <w:t>PD</w:t>
      </w:r>
      <w:r>
        <w:rPr>
          <w:rFonts w:ascii="Times New Roman" w:hAnsi="Times New Roman"/>
        </w:rPr>
        <w:t>，</w:t>
      </w:r>
      <w:r w:rsidRPr="00932EBB">
        <w:rPr>
          <w:rFonts w:ascii="Times New Roman" w:hAnsi="Times New Roman"/>
        </w:rPr>
        <w:t>ORR</w:t>
      </w:r>
      <w:r>
        <w:rPr>
          <w:rFonts w:ascii="Times New Roman" w:hAnsi="Times New Roman"/>
        </w:rPr>
        <w:t>均达到</w:t>
      </w:r>
      <w:r w:rsidRPr="00932EBB">
        <w:rPr>
          <w:rFonts w:ascii="Times New Roman" w:hAnsi="Times New Roman"/>
        </w:rPr>
        <w:t>100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，组间差异无统计学意义（</w:t>
      </w:r>
      <w:r w:rsidRPr="00932EBB">
        <w:rPr>
          <w:rFonts w:ascii="Times New Roman" w:hAnsi="Times New Roman"/>
        </w:rPr>
        <w:t>P</w:t>
      </w:r>
      <w:r>
        <w:rPr>
          <w:rFonts w:ascii="Times New Roman" w:hAnsi="Times New Roman"/>
        </w:rPr>
        <w:t>=</w:t>
      </w:r>
      <w:r w:rsidRPr="00932EBB">
        <w:rPr>
          <w:rFonts w:ascii="Times New Roman" w:hAnsi="Times New Roman"/>
        </w:rPr>
        <w:t>1</w:t>
      </w:r>
      <w:r>
        <w:rPr>
          <w:rFonts w:ascii="Times New Roman" w:hAnsi="Times New Roman"/>
        </w:rPr>
        <w:t>.</w:t>
      </w:r>
      <w:r w:rsidRPr="00932EBB">
        <w:rPr>
          <w:rFonts w:ascii="Times New Roman" w:hAnsi="Times New Roman"/>
        </w:rPr>
        <w:t>000</w:t>
      </w:r>
      <w:r>
        <w:rPr>
          <w:rFonts w:ascii="Times New Roman" w:hAnsi="Times New Roman"/>
        </w:rPr>
        <w:t>）（见</w:t>
      </w:r>
      <w:r w:rsidRPr="00932EBB">
        <w:rPr>
          <w:rFonts w:ascii="Times New Roman" w:hAnsi="Times New Roman"/>
        </w:rPr>
        <w:t>Table</w:t>
      </w:r>
      <w:r>
        <w:rPr>
          <w:rFonts w:ascii="Times New Roman" w:hAnsi="Times New Roman"/>
        </w:rPr>
        <w:t xml:space="preserve"> </w:t>
      </w:r>
      <w:r w:rsidRPr="00932EBB">
        <w:rPr>
          <w:rFonts w:ascii="Times New Roman" w:hAnsi="Times New Roman"/>
        </w:rPr>
        <w:t>2</w:t>
      </w:r>
      <w:r>
        <w:rPr>
          <w:rFonts w:ascii="Times New Roman" w:hAnsi="Times New Roman"/>
        </w:rPr>
        <w:t>）。</w:t>
      </w:r>
    </w:p>
    <w:p w14:paraId="4B1786F2" w14:textId="77777777" w:rsidR="00D606CB" w:rsidRDefault="00000000">
      <w:pPr>
        <w:pStyle w:val="2"/>
        <w:rPr>
          <w:rFonts w:ascii="Times New Roman" w:eastAsia="宋体" w:hAnsi="Times New Roman" w:cs="Times New Roman"/>
          <w:b/>
          <w:bCs/>
          <w:color w:val="auto"/>
          <w:sz w:val="18"/>
          <w:szCs w:val="18"/>
        </w:rPr>
      </w:pPr>
      <w:r w:rsidRPr="00932EBB">
        <w:rPr>
          <w:rFonts w:ascii="Times New Roman" w:eastAsia="宋体" w:hAnsi="Times New Roman" w:cs="Times New Roman"/>
          <w:b/>
          <w:bCs/>
          <w:color w:val="auto"/>
          <w:sz w:val="18"/>
          <w:szCs w:val="18"/>
        </w:rPr>
        <w:t>Table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hint="eastAsia"/>
          <w:b/>
          <w:bCs/>
          <w:color w:val="auto"/>
          <w:sz w:val="18"/>
          <w:szCs w:val="18"/>
        </w:rPr>
        <w:t>2</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Tumor</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response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evaluation</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between</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IC</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and</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ICIT</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groups</w:t>
      </w:r>
    </w:p>
    <w:tbl>
      <w:tblPr>
        <w:tblW w:w="0" w:type="auto"/>
        <w:jc w:val="center"/>
        <w:tblCellMar>
          <w:left w:w="0" w:type="dxa"/>
          <w:right w:w="0" w:type="dxa"/>
        </w:tblCellMar>
        <w:tblLook w:val="04A0" w:firstRow="1" w:lastRow="0" w:firstColumn="1" w:lastColumn="0" w:noHBand="0" w:noVBand="1"/>
      </w:tblPr>
      <w:tblGrid>
        <w:gridCol w:w="2719"/>
        <w:gridCol w:w="1224"/>
        <w:gridCol w:w="1829"/>
        <w:gridCol w:w="1829"/>
        <w:gridCol w:w="705"/>
      </w:tblGrid>
      <w:tr w:rsidR="0061397C" w:rsidRPr="00B90BC5" w14:paraId="282F9E3C" w14:textId="77777777" w:rsidTr="0064688D">
        <w:trPr>
          <w:tblHeader/>
          <w:jc w:val="center"/>
        </w:trPr>
        <w:tc>
          <w:tcPr>
            <w:tcW w:w="0" w:type="auto"/>
            <w:tcBorders>
              <w:top w:val="single" w:sz="12" w:space="0" w:color="666666"/>
              <w:bottom w:val="single" w:sz="6" w:space="0" w:color="auto"/>
            </w:tcBorders>
            <w:shd w:val="clear" w:color="auto" w:fill="FFFFFF"/>
            <w:tcMar>
              <w:top w:w="0" w:type="dxa"/>
              <w:left w:w="0" w:type="dxa"/>
              <w:bottom w:w="0" w:type="dxa"/>
              <w:right w:w="0" w:type="dxa"/>
            </w:tcMar>
            <w:vAlign w:val="center"/>
          </w:tcPr>
          <w:p w14:paraId="7FEAA01D" w14:textId="77777777" w:rsidR="0061397C" w:rsidRPr="00B90BC5" w:rsidRDefault="0061397C" w:rsidP="009A12F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Response evaluation</w:t>
            </w:r>
          </w:p>
        </w:tc>
        <w:tc>
          <w:tcPr>
            <w:tcW w:w="0" w:type="auto"/>
            <w:tcBorders>
              <w:top w:val="single" w:sz="12" w:space="0" w:color="666666"/>
              <w:bottom w:val="single" w:sz="6" w:space="0" w:color="auto"/>
            </w:tcBorders>
            <w:shd w:val="clear" w:color="auto" w:fill="FFFFFF"/>
            <w:tcMar>
              <w:top w:w="0" w:type="dxa"/>
              <w:left w:w="0" w:type="dxa"/>
              <w:bottom w:w="0" w:type="dxa"/>
              <w:right w:w="0" w:type="dxa"/>
            </w:tcMar>
            <w:vAlign w:val="center"/>
          </w:tcPr>
          <w:p w14:paraId="670D6E05"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Response</w:t>
            </w:r>
          </w:p>
        </w:tc>
        <w:tc>
          <w:tcPr>
            <w:tcW w:w="0" w:type="auto"/>
            <w:tcBorders>
              <w:top w:val="single" w:sz="12" w:space="0" w:color="666666"/>
              <w:bottom w:val="single" w:sz="6" w:space="0" w:color="auto"/>
            </w:tcBorders>
            <w:shd w:val="clear" w:color="auto" w:fill="FFFFFF"/>
            <w:tcMar>
              <w:top w:w="0" w:type="dxa"/>
              <w:left w:w="0" w:type="dxa"/>
              <w:bottom w:w="0" w:type="dxa"/>
              <w:right w:w="0" w:type="dxa"/>
            </w:tcMar>
            <w:vAlign w:val="center"/>
          </w:tcPr>
          <w:p w14:paraId="0942AED4"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IC group (n = 30 (%))</w:t>
            </w:r>
          </w:p>
        </w:tc>
        <w:tc>
          <w:tcPr>
            <w:tcW w:w="0" w:type="auto"/>
            <w:tcBorders>
              <w:top w:val="single" w:sz="12" w:space="0" w:color="666666"/>
              <w:bottom w:val="single" w:sz="6" w:space="0" w:color="auto"/>
            </w:tcBorders>
            <w:shd w:val="clear" w:color="auto" w:fill="FFFFFF"/>
            <w:tcMar>
              <w:top w:w="0" w:type="dxa"/>
              <w:left w:w="0" w:type="dxa"/>
              <w:bottom w:w="0" w:type="dxa"/>
              <w:right w:w="0" w:type="dxa"/>
            </w:tcMar>
            <w:vAlign w:val="center"/>
          </w:tcPr>
          <w:p w14:paraId="5E39BBE7"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ICIT group (n = 30 (%))</w:t>
            </w:r>
          </w:p>
        </w:tc>
        <w:tc>
          <w:tcPr>
            <w:tcW w:w="0" w:type="auto"/>
            <w:tcBorders>
              <w:top w:val="single" w:sz="12" w:space="0" w:color="666666"/>
              <w:bottom w:val="single" w:sz="6" w:space="0" w:color="auto"/>
            </w:tcBorders>
            <w:shd w:val="clear" w:color="auto" w:fill="FFFFFF"/>
            <w:tcMar>
              <w:top w:w="0" w:type="dxa"/>
              <w:left w:w="0" w:type="dxa"/>
              <w:bottom w:w="0" w:type="dxa"/>
              <w:right w:w="0" w:type="dxa"/>
            </w:tcMar>
            <w:vAlign w:val="center"/>
          </w:tcPr>
          <w:p w14:paraId="67EA724B"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 value</w:t>
            </w:r>
          </w:p>
        </w:tc>
      </w:tr>
      <w:tr w:rsidR="0061397C" w:rsidRPr="00B90BC5" w14:paraId="504E7F7A" w14:textId="77777777" w:rsidTr="0064688D">
        <w:trPr>
          <w:jc w:val="center"/>
        </w:trPr>
        <w:tc>
          <w:tcPr>
            <w:tcW w:w="0" w:type="auto"/>
            <w:tcBorders>
              <w:top w:val="single" w:sz="6" w:space="0" w:color="auto"/>
              <w:bottom w:val="nil"/>
            </w:tcBorders>
            <w:shd w:val="clear" w:color="auto" w:fill="FFFFFF"/>
            <w:tcMar>
              <w:top w:w="0" w:type="dxa"/>
              <w:left w:w="0" w:type="dxa"/>
              <w:bottom w:w="0" w:type="dxa"/>
              <w:right w:w="0" w:type="dxa"/>
            </w:tcMar>
            <w:vAlign w:val="center"/>
          </w:tcPr>
          <w:p w14:paraId="45D6285B"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Response after induction</w:t>
            </w:r>
            <w:r w:rsidRPr="00B90BC5">
              <w:rPr>
                <w:rFonts w:ascii="Times New Roman" w:eastAsia="宋体" w:hAnsi="Times New Roman" w:cs="Times New Roman" w:hint="eastAsia"/>
                <w:color w:val="000000"/>
                <w:sz w:val="18"/>
                <w:szCs w:val="18"/>
              </w:rPr>
              <w:t xml:space="preserve"> </w:t>
            </w:r>
            <w:r w:rsidRPr="00B90BC5">
              <w:rPr>
                <w:rFonts w:ascii="Times New Roman" w:eastAsia="宋体" w:hAnsi="Times New Roman" w:cs="Times New Roman"/>
                <w:color w:val="000000"/>
                <w:sz w:val="18"/>
                <w:szCs w:val="18"/>
              </w:rPr>
              <w:t>therapy</w:t>
            </w:r>
          </w:p>
        </w:tc>
        <w:tc>
          <w:tcPr>
            <w:tcW w:w="0" w:type="auto"/>
            <w:tcBorders>
              <w:top w:val="single" w:sz="6" w:space="0" w:color="auto"/>
              <w:bottom w:val="nil"/>
            </w:tcBorders>
            <w:shd w:val="clear" w:color="auto" w:fill="FFFFFF"/>
            <w:tcMar>
              <w:top w:w="0" w:type="dxa"/>
              <w:left w:w="0" w:type="dxa"/>
              <w:bottom w:w="0" w:type="dxa"/>
              <w:right w:w="0" w:type="dxa"/>
            </w:tcMar>
            <w:vAlign w:val="center"/>
          </w:tcPr>
          <w:p w14:paraId="43D70C9E"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CR</w:t>
            </w:r>
          </w:p>
        </w:tc>
        <w:tc>
          <w:tcPr>
            <w:tcW w:w="0" w:type="auto"/>
            <w:tcBorders>
              <w:top w:val="single" w:sz="6" w:space="0" w:color="auto"/>
              <w:bottom w:val="nil"/>
            </w:tcBorders>
            <w:shd w:val="clear" w:color="auto" w:fill="FFFFFF"/>
            <w:tcMar>
              <w:top w:w="0" w:type="dxa"/>
              <w:left w:w="0" w:type="dxa"/>
              <w:bottom w:w="0" w:type="dxa"/>
              <w:right w:w="0" w:type="dxa"/>
            </w:tcMar>
            <w:vAlign w:val="center"/>
          </w:tcPr>
          <w:p w14:paraId="2C0BCFE8"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 (6.7)</w:t>
            </w:r>
          </w:p>
        </w:tc>
        <w:tc>
          <w:tcPr>
            <w:tcW w:w="0" w:type="auto"/>
            <w:tcBorders>
              <w:top w:val="single" w:sz="6" w:space="0" w:color="auto"/>
              <w:bottom w:val="nil"/>
            </w:tcBorders>
            <w:shd w:val="clear" w:color="auto" w:fill="FFFFFF"/>
            <w:tcMar>
              <w:top w:w="0" w:type="dxa"/>
              <w:left w:w="0" w:type="dxa"/>
              <w:bottom w:w="0" w:type="dxa"/>
              <w:right w:w="0" w:type="dxa"/>
            </w:tcMar>
            <w:vAlign w:val="center"/>
          </w:tcPr>
          <w:p w14:paraId="5C33CE3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5 (16.7)</w:t>
            </w:r>
          </w:p>
        </w:tc>
        <w:tc>
          <w:tcPr>
            <w:tcW w:w="0" w:type="auto"/>
            <w:tcBorders>
              <w:top w:val="single" w:sz="6" w:space="0" w:color="auto"/>
              <w:bottom w:val="nil"/>
            </w:tcBorders>
            <w:shd w:val="clear" w:color="auto" w:fill="FFFFFF"/>
            <w:tcMar>
              <w:top w:w="0" w:type="dxa"/>
              <w:left w:w="0" w:type="dxa"/>
              <w:bottom w:w="0" w:type="dxa"/>
              <w:right w:w="0" w:type="dxa"/>
            </w:tcMar>
            <w:vAlign w:val="center"/>
          </w:tcPr>
          <w:p w14:paraId="4A7A48FA"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0.424</w:t>
            </w:r>
          </w:p>
        </w:tc>
      </w:tr>
      <w:tr w:rsidR="0061397C" w:rsidRPr="00B90BC5" w14:paraId="61B36ECE"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6E7D514C"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58A4B29D"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PR</w:t>
            </w:r>
          </w:p>
        </w:tc>
        <w:tc>
          <w:tcPr>
            <w:tcW w:w="0" w:type="auto"/>
            <w:tcBorders>
              <w:top w:val="nil"/>
              <w:bottom w:val="nil"/>
            </w:tcBorders>
            <w:shd w:val="clear" w:color="auto" w:fill="FFFFFF"/>
            <w:tcMar>
              <w:top w:w="0" w:type="dxa"/>
              <w:left w:w="0" w:type="dxa"/>
              <w:bottom w:w="0" w:type="dxa"/>
              <w:right w:w="0" w:type="dxa"/>
            </w:tcMar>
            <w:vAlign w:val="center"/>
          </w:tcPr>
          <w:p w14:paraId="4165215A"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 (73.3)</w:t>
            </w:r>
          </w:p>
        </w:tc>
        <w:tc>
          <w:tcPr>
            <w:tcW w:w="0" w:type="auto"/>
            <w:tcBorders>
              <w:top w:val="nil"/>
              <w:bottom w:val="nil"/>
            </w:tcBorders>
            <w:shd w:val="clear" w:color="auto" w:fill="FFFFFF"/>
            <w:tcMar>
              <w:top w:w="0" w:type="dxa"/>
              <w:left w:w="0" w:type="dxa"/>
              <w:bottom w:w="0" w:type="dxa"/>
              <w:right w:w="0" w:type="dxa"/>
            </w:tcMar>
            <w:vAlign w:val="center"/>
          </w:tcPr>
          <w:p w14:paraId="5FBD5E3F"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25 (83.3)</w:t>
            </w:r>
          </w:p>
        </w:tc>
        <w:tc>
          <w:tcPr>
            <w:tcW w:w="0" w:type="auto"/>
            <w:tcBorders>
              <w:top w:val="nil"/>
              <w:bottom w:val="nil"/>
            </w:tcBorders>
            <w:shd w:val="clear" w:color="auto" w:fill="FFFFFF"/>
            <w:tcMar>
              <w:top w:w="0" w:type="dxa"/>
              <w:left w:w="0" w:type="dxa"/>
              <w:bottom w:w="0" w:type="dxa"/>
              <w:right w:w="0" w:type="dxa"/>
            </w:tcMar>
            <w:vAlign w:val="center"/>
          </w:tcPr>
          <w:p w14:paraId="7ED58DF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0.532</w:t>
            </w:r>
          </w:p>
        </w:tc>
      </w:tr>
      <w:tr w:rsidR="0061397C" w:rsidRPr="00B90BC5" w14:paraId="201D42AD"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3BAEB24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37F9EE50"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SD</w:t>
            </w:r>
          </w:p>
        </w:tc>
        <w:tc>
          <w:tcPr>
            <w:tcW w:w="0" w:type="auto"/>
            <w:tcBorders>
              <w:top w:val="nil"/>
              <w:bottom w:val="nil"/>
            </w:tcBorders>
            <w:shd w:val="clear" w:color="auto" w:fill="FFFFFF"/>
            <w:tcMar>
              <w:top w:w="0" w:type="dxa"/>
              <w:left w:w="0" w:type="dxa"/>
              <w:bottom w:w="0" w:type="dxa"/>
              <w:right w:w="0" w:type="dxa"/>
            </w:tcMar>
            <w:vAlign w:val="center"/>
          </w:tcPr>
          <w:p w14:paraId="0A38467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6 (20.0)</w:t>
            </w:r>
          </w:p>
        </w:tc>
        <w:tc>
          <w:tcPr>
            <w:tcW w:w="0" w:type="auto"/>
            <w:tcBorders>
              <w:top w:val="nil"/>
              <w:bottom w:val="nil"/>
            </w:tcBorders>
            <w:shd w:val="clear" w:color="auto" w:fill="FFFFFF"/>
            <w:tcMar>
              <w:top w:w="0" w:type="dxa"/>
              <w:left w:w="0" w:type="dxa"/>
              <w:bottom w:w="0" w:type="dxa"/>
              <w:right w:w="0" w:type="dxa"/>
            </w:tcMar>
            <w:vAlign w:val="center"/>
          </w:tcPr>
          <w:p w14:paraId="2BF3D6B7"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4480E6A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0.024</w:t>
            </w:r>
          </w:p>
        </w:tc>
      </w:tr>
      <w:tr w:rsidR="0061397C" w:rsidRPr="00B90BC5" w14:paraId="779B5895"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1D93AE8E"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459C50E8"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PD</w:t>
            </w:r>
          </w:p>
        </w:tc>
        <w:tc>
          <w:tcPr>
            <w:tcW w:w="0" w:type="auto"/>
            <w:tcBorders>
              <w:top w:val="nil"/>
              <w:bottom w:val="nil"/>
            </w:tcBorders>
            <w:shd w:val="clear" w:color="auto" w:fill="FFFFFF"/>
            <w:tcMar>
              <w:top w:w="0" w:type="dxa"/>
              <w:left w:w="0" w:type="dxa"/>
              <w:bottom w:w="0" w:type="dxa"/>
              <w:right w:w="0" w:type="dxa"/>
            </w:tcMar>
            <w:vAlign w:val="center"/>
          </w:tcPr>
          <w:p w14:paraId="18D8AD8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4B85ADF8"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626FD71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w:t>
            </w:r>
          </w:p>
        </w:tc>
      </w:tr>
      <w:tr w:rsidR="0061397C" w:rsidRPr="00B90BC5" w14:paraId="3534E908"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1DA2340F"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72B3D48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ORR (95% CI)</w:t>
            </w:r>
          </w:p>
        </w:tc>
        <w:tc>
          <w:tcPr>
            <w:tcW w:w="0" w:type="auto"/>
            <w:tcBorders>
              <w:top w:val="nil"/>
              <w:bottom w:val="nil"/>
            </w:tcBorders>
            <w:shd w:val="clear" w:color="auto" w:fill="FFFFFF"/>
            <w:tcMar>
              <w:top w:w="0" w:type="dxa"/>
              <w:left w:w="0" w:type="dxa"/>
              <w:bottom w:w="0" w:type="dxa"/>
              <w:right w:w="0" w:type="dxa"/>
            </w:tcMar>
            <w:vAlign w:val="center"/>
          </w:tcPr>
          <w:p w14:paraId="77ED17E8"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80.0% (61.4%, 92.3%)</w:t>
            </w:r>
          </w:p>
        </w:tc>
        <w:tc>
          <w:tcPr>
            <w:tcW w:w="0" w:type="auto"/>
            <w:tcBorders>
              <w:top w:val="nil"/>
              <w:bottom w:val="nil"/>
            </w:tcBorders>
            <w:shd w:val="clear" w:color="auto" w:fill="FFFFFF"/>
            <w:tcMar>
              <w:top w:w="0" w:type="dxa"/>
              <w:left w:w="0" w:type="dxa"/>
              <w:bottom w:w="0" w:type="dxa"/>
              <w:right w:w="0" w:type="dxa"/>
            </w:tcMar>
            <w:vAlign w:val="center"/>
          </w:tcPr>
          <w:p w14:paraId="5DBB099A"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100.0% (88.4%, 100.0%)</w:t>
            </w:r>
          </w:p>
        </w:tc>
        <w:tc>
          <w:tcPr>
            <w:tcW w:w="0" w:type="auto"/>
            <w:tcBorders>
              <w:top w:val="nil"/>
              <w:bottom w:val="nil"/>
            </w:tcBorders>
            <w:shd w:val="clear" w:color="auto" w:fill="FFFFFF"/>
            <w:tcMar>
              <w:top w:w="0" w:type="dxa"/>
              <w:left w:w="0" w:type="dxa"/>
              <w:bottom w:w="0" w:type="dxa"/>
              <w:right w:w="0" w:type="dxa"/>
            </w:tcMar>
            <w:vAlign w:val="center"/>
          </w:tcPr>
          <w:p w14:paraId="6B6C4F8E"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0.024</w:t>
            </w:r>
          </w:p>
        </w:tc>
      </w:tr>
      <w:tr w:rsidR="0061397C" w:rsidRPr="00B90BC5" w14:paraId="4B4C4741"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49DCA7DB"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 xml:space="preserve">3 months after the completion of </w:t>
            </w:r>
            <w:r w:rsidRPr="00B90BC5">
              <w:rPr>
                <w:rFonts w:ascii="Times New Roman" w:eastAsia="宋体" w:hAnsi="Times New Roman" w:cs="Times New Roman" w:hint="eastAsia"/>
                <w:color w:val="000000"/>
                <w:sz w:val="18"/>
                <w:szCs w:val="18"/>
              </w:rPr>
              <w:t>CCRT</w:t>
            </w:r>
          </w:p>
        </w:tc>
        <w:tc>
          <w:tcPr>
            <w:tcW w:w="0" w:type="auto"/>
            <w:tcBorders>
              <w:top w:val="nil"/>
              <w:bottom w:val="nil"/>
            </w:tcBorders>
            <w:shd w:val="clear" w:color="auto" w:fill="FFFFFF"/>
            <w:tcMar>
              <w:top w:w="0" w:type="dxa"/>
              <w:left w:w="0" w:type="dxa"/>
              <w:bottom w:w="0" w:type="dxa"/>
              <w:right w:w="0" w:type="dxa"/>
            </w:tcMar>
            <w:vAlign w:val="center"/>
          </w:tcPr>
          <w:p w14:paraId="31204F21"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CR</w:t>
            </w:r>
          </w:p>
        </w:tc>
        <w:tc>
          <w:tcPr>
            <w:tcW w:w="0" w:type="auto"/>
            <w:tcBorders>
              <w:top w:val="nil"/>
              <w:bottom w:val="nil"/>
            </w:tcBorders>
            <w:shd w:val="clear" w:color="auto" w:fill="FFFFFF"/>
            <w:tcMar>
              <w:top w:w="0" w:type="dxa"/>
              <w:left w:w="0" w:type="dxa"/>
              <w:bottom w:w="0" w:type="dxa"/>
              <w:right w:w="0" w:type="dxa"/>
            </w:tcMar>
            <w:vAlign w:val="center"/>
          </w:tcPr>
          <w:p w14:paraId="3F888546"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21 (70.0)</w:t>
            </w:r>
          </w:p>
        </w:tc>
        <w:tc>
          <w:tcPr>
            <w:tcW w:w="0" w:type="auto"/>
            <w:tcBorders>
              <w:top w:val="nil"/>
              <w:bottom w:val="nil"/>
            </w:tcBorders>
            <w:shd w:val="clear" w:color="auto" w:fill="FFFFFF"/>
            <w:tcMar>
              <w:top w:w="0" w:type="dxa"/>
              <w:left w:w="0" w:type="dxa"/>
              <w:bottom w:w="0" w:type="dxa"/>
              <w:right w:w="0" w:type="dxa"/>
            </w:tcMar>
            <w:vAlign w:val="center"/>
          </w:tcPr>
          <w:p w14:paraId="736D9190"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28 (93.3)</w:t>
            </w:r>
          </w:p>
        </w:tc>
        <w:tc>
          <w:tcPr>
            <w:tcW w:w="0" w:type="auto"/>
            <w:tcBorders>
              <w:top w:val="nil"/>
              <w:bottom w:val="nil"/>
            </w:tcBorders>
            <w:shd w:val="clear" w:color="auto" w:fill="FFFFFF"/>
            <w:tcMar>
              <w:top w:w="0" w:type="dxa"/>
              <w:left w:w="0" w:type="dxa"/>
              <w:bottom w:w="0" w:type="dxa"/>
              <w:right w:w="0" w:type="dxa"/>
            </w:tcMar>
            <w:vAlign w:val="center"/>
          </w:tcPr>
          <w:p w14:paraId="4D7637EC"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0.042</w:t>
            </w:r>
          </w:p>
        </w:tc>
      </w:tr>
      <w:tr w:rsidR="0061397C" w:rsidRPr="00B90BC5" w14:paraId="0C1C731B"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48565F61"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3495F31E"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PR</w:t>
            </w:r>
          </w:p>
        </w:tc>
        <w:tc>
          <w:tcPr>
            <w:tcW w:w="0" w:type="auto"/>
            <w:tcBorders>
              <w:top w:val="nil"/>
              <w:bottom w:val="nil"/>
            </w:tcBorders>
            <w:shd w:val="clear" w:color="auto" w:fill="FFFFFF"/>
            <w:tcMar>
              <w:top w:w="0" w:type="dxa"/>
              <w:left w:w="0" w:type="dxa"/>
              <w:bottom w:w="0" w:type="dxa"/>
              <w:right w:w="0" w:type="dxa"/>
            </w:tcMar>
            <w:vAlign w:val="center"/>
          </w:tcPr>
          <w:p w14:paraId="779C886F"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9 (30.0)</w:t>
            </w:r>
          </w:p>
        </w:tc>
        <w:tc>
          <w:tcPr>
            <w:tcW w:w="0" w:type="auto"/>
            <w:tcBorders>
              <w:top w:val="nil"/>
              <w:bottom w:val="nil"/>
            </w:tcBorders>
            <w:shd w:val="clear" w:color="auto" w:fill="FFFFFF"/>
            <w:tcMar>
              <w:top w:w="0" w:type="dxa"/>
              <w:left w:w="0" w:type="dxa"/>
              <w:bottom w:w="0" w:type="dxa"/>
              <w:right w:w="0" w:type="dxa"/>
            </w:tcMar>
            <w:vAlign w:val="center"/>
          </w:tcPr>
          <w:p w14:paraId="4B2AEF8D"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 (6.7)</w:t>
            </w:r>
          </w:p>
        </w:tc>
        <w:tc>
          <w:tcPr>
            <w:tcW w:w="0" w:type="auto"/>
            <w:tcBorders>
              <w:top w:val="nil"/>
              <w:bottom w:val="nil"/>
            </w:tcBorders>
            <w:shd w:val="clear" w:color="auto" w:fill="FFFFFF"/>
            <w:tcMar>
              <w:top w:w="0" w:type="dxa"/>
              <w:left w:w="0" w:type="dxa"/>
              <w:bottom w:w="0" w:type="dxa"/>
              <w:right w:w="0" w:type="dxa"/>
            </w:tcMar>
            <w:vAlign w:val="center"/>
          </w:tcPr>
          <w:p w14:paraId="4934DD59"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0.042</w:t>
            </w:r>
          </w:p>
        </w:tc>
      </w:tr>
      <w:tr w:rsidR="0061397C" w:rsidRPr="00B90BC5" w14:paraId="0F59D109"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3A78892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3D31AB47"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SD</w:t>
            </w:r>
          </w:p>
        </w:tc>
        <w:tc>
          <w:tcPr>
            <w:tcW w:w="0" w:type="auto"/>
            <w:tcBorders>
              <w:top w:val="nil"/>
              <w:bottom w:val="nil"/>
            </w:tcBorders>
            <w:shd w:val="clear" w:color="auto" w:fill="FFFFFF"/>
            <w:tcMar>
              <w:top w:w="0" w:type="dxa"/>
              <w:left w:w="0" w:type="dxa"/>
              <w:bottom w:w="0" w:type="dxa"/>
              <w:right w:w="0" w:type="dxa"/>
            </w:tcMar>
            <w:vAlign w:val="center"/>
          </w:tcPr>
          <w:p w14:paraId="35849909"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3AEFCABB"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1C41475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w:t>
            </w:r>
          </w:p>
        </w:tc>
      </w:tr>
      <w:tr w:rsidR="0061397C" w:rsidRPr="00B90BC5" w14:paraId="1A1EA8F6" w14:textId="77777777" w:rsidTr="0064688D">
        <w:trPr>
          <w:jc w:val="center"/>
        </w:trPr>
        <w:tc>
          <w:tcPr>
            <w:tcW w:w="0" w:type="auto"/>
            <w:tcBorders>
              <w:top w:val="nil"/>
              <w:bottom w:val="nil"/>
            </w:tcBorders>
            <w:shd w:val="clear" w:color="auto" w:fill="FFFFFF"/>
            <w:tcMar>
              <w:top w:w="0" w:type="dxa"/>
              <w:left w:w="0" w:type="dxa"/>
              <w:bottom w:w="0" w:type="dxa"/>
              <w:right w:w="0" w:type="dxa"/>
            </w:tcMar>
            <w:vAlign w:val="center"/>
          </w:tcPr>
          <w:p w14:paraId="03B4FB3F"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nil"/>
            </w:tcBorders>
            <w:shd w:val="clear" w:color="auto" w:fill="FFFFFF"/>
            <w:tcMar>
              <w:top w:w="0" w:type="dxa"/>
              <w:left w:w="0" w:type="dxa"/>
              <w:bottom w:w="0" w:type="dxa"/>
              <w:right w:w="0" w:type="dxa"/>
            </w:tcMar>
            <w:vAlign w:val="center"/>
          </w:tcPr>
          <w:p w14:paraId="51176379"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PD</w:t>
            </w:r>
          </w:p>
        </w:tc>
        <w:tc>
          <w:tcPr>
            <w:tcW w:w="0" w:type="auto"/>
            <w:tcBorders>
              <w:top w:val="nil"/>
              <w:bottom w:val="nil"/>
            </w:tcBorders>
            <w:shd w:val="clear" w:color="auto" w:fill="FFFFFF"/>
            <w:tcMar>
              <w:top w:w="0" w:type="dxa"/>
              <w:left w:w="0" w:type="dxa"/>
              <w:bottom w:w="0" w:type="dxa"/>
              <w:right w:w="0" w:type="dxa"/>
            </w:tcMar>
            <w:vAlign w:val="center"/>
          </w:tcPr>
          <w:p w14:paraId="094FECA8"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5A36986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 (0.0)</w:t>
            </w:r>
          </w:p>
        </w:tc>
        <w:tc>
          <w:tcPr>
            <w:tcW w:w="0" w:type="auto"/>
            <w:tcBorders>
              <w:top w:val="nil"/>
              <w:bottom w:val="nil"/>
            </w:tcBorders>
            <w:shd w:val="clear" w:color="auto" w:fill="FFFFFF"/>
            <w:tcMar>
              <w:top w:w="0" w:type="dxa"/>
              <w:left w:w="0" w:type="dxa"/>
              <w:bottom w:w="0" w:type="dxa"/>
              <w:right w:w="0" w:type="dxa"/>
            </w:tcMar>
            <w:vAlign w:val="center"/>
          </w:tcPr>
          <w:p w14:paraId="7B80E002"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w:t>
            </w:r>
          </w:p>
        </w:tc>
      </w:tr>
      <w:tr w:rsidR="0061397C" w:rsidRPr="00B90BC5" w14:paraId="3A7A091D" w14:textId="77777777" w:rsidTr="0064688D">
        <w:trPr>
          <w:jc w:val="center"/>
        </w:trPr>
        <w:tc>
          <w:tcPr>
            <w:tcW w:w="0" w:type="auto"/>
            <w:tcBorders>
              <w:top w:val="nil"/>
              <w:bottom w:val="single" w:sz="12" w:space="0" w:color="auto"/>
            </w:tcBorders>
            <w:shd w:val="clear" w:color="auto" w:fill="FFFFFF"/>
            <w:tcMar>
              <w:top w:w="0" w:type="dxa"/>
              <w:left w:w="0" w:type="dxa"/>
              <w:bottom w:w="0" w:type="dxa"/>
              <w:right w:w="0" w:type="dxa"/>
            </w:tcMar>
            <w:vAlign w:val="center"/>
          </w:tcPr>
          <w:p w14:paraId="25449F24"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p>
        </w:tc>
        <w:tc>
          <w:tcPr>
            <w:tcW w:w="0" w:type="auto"/>
            <w:tcBorders>
              <w:top w:val="nil"/>
              <w:bottom w:val="single" w:sz="12" w:space="0" w:color="auto"/>
            </w:tcBorders>
            <w:shd w:val="clear" w:color="auto" w:fill="FFFFFF"/>
            <w:tcMar>
              <w:top w:w="0" w:type="dxa"/>
              <w:left w:w="0" w:type="dxa"/>
              <w:bottom w:w="0" w:type="dxa"/>
              <w:right w:w="0" w:type="dxa"/>
            </w:tcMar>
            <w:vAlign w:val="center"/>
          </w:tcPr>
          <w:p w14:paraId="5499DD47"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ORR (95% CI)</w:t>
            </w:r>
          </w:p>
        </w:tc>
        <w:tc>
          <w:tcPr>
            <w:tcW w:w="0" w:type="auto"/>
            <w:tcBorders>
              <w:top w:val="nil"/>
              <w:bottom w:val="single" w:sz="12" w:space="0" w:color="auto"/>
            </w:tcBorders>
            <w:shd w:val="clear" w:color="auto" w:fill="FFFFFF"/>
            <w:tcMar>
              <w:top w:w="0" w:type="dxa"/>
              <w:left w:w="0" w:type="dxa"/>
              <w:bottom w:w="0" w:type="dxa"/>
              <w:right w:w="0" w:type="dxa"/>
            </w:tcMar>
            <w:vAlign w:val="center"/>
          </w:tcPr>
          <w:p w14:paraId="2DCAC549"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100.0% (88.4%, 100.0%)</w:t>
            </w:r>
          </w:p>
        </w:tc>
        <w:tc>
          <w:tcPr>
            <w:tcW w:w="0" w:type="auto"/>
            <w:tcBorders>
              <w:top w:val="nil"/>
              <w:bottom w:val="single" w:sz="12" w:space="0" w:color="auto"/>
            </w:tcBorders>
            <w:shd w:val="clear" w:color="auto" w:fill="FFFFFF"/>
            <w:tcMar>
              <w:top w:w="0" w:type="dxa"/>
              <w:left w:w="0" w:type="dxa"/>
              <w:bottom w:w="0" w:type="dxa"/>
              <w:right w:w="0" w:type="dxa"/>
            </w:tcMar>
            <w:vAlign w:val="center"/>
          </w:tcPr>
          <w:p w14:paraId="56FF48DA"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100.0% (88.4%, 100.0%)</w:t>
            </w:r>
          </w:p>
        </w:tc>
        <w:tc>
          <w:tcPr>
            <w:tcW w:w="0" w:type="auto"/>
            <w:tcBorders>
              <w:top w:val="nil"/>
              <w:bottom w:val="single" w:sz="12" w:space="0" w:color="auto"/>
            </w:tcBorders>
            <w:shd w:val="clear" w:color="auto" w:fill="FFFFFF"/>
            <w:tcMar>
              <w:top w:w="0" w:type="dxa"/>
              <w:left w:w="0" w:type="dxa"/>
              <w:bottom w:w="0" w:type="dxa"/>
              <w:right w:w="0" w:type="dxa"/>
            </w:tcMar>
            <w:vAlign w:val="center"/>
          </w:tcPr>
          <w:p w14:paraId="1A9AAA0A" w14:textId="77777777" w:rsidR="0061397C" w:rsidRPr="00B90BC5" w:rsidRDefault="0061397C" w:rsidP="0064688D">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1.000</w:t>
            </w:r>
          </w:p>
        </w:tc>
      </w:tr>
    </w:tbl>
    <w:p w14:paraId="76BC8250" w14:textId="60DE71FB" w:rsidR="0061397C" w:rsidRPr="00B90BC5" w:rsidRDefault="0061397C" w:rsidP="0061397C">
      <w:pPr>
        <w:pStyle w:val="a9"/>
        <w:adjustRightInd w:val="0"/>
        <w:snapToGrid w:val="0"/>
        <w:spacing w:after="0" w:line="360" w:lineRule="auto"/>
        <w:rPr>
          <w:rFonts w:ascii="Times New Roman" w:hAnsi="Times New Roman" w:cs="Times New Roman"/>
          <w:sz w:val="18"/>
          <w:szCs w:val="18"/>
        </w:rPr>
      </w:pPr>
      <w:r w:rsidRPr="00B90BC5">
        <w:rPr>
          <w:rFonts w:ascii="Times New Roman" w:hAnsi="Times New Roman" w:cs="Times New Roman"/>
          <w:sz w:val="18"/>
          <w:szCs w:val="18"/>
        </w:rPr>
        <w:t>Abbreviations: IC, induction chemotherapy; ICIT, induction chemotherapy combined with PD-1 inhibitor and nimotuzumab; CCRT, concurrent chemoradiotherapy; CR, complete response; PR, partial response; SD, stable disease; PD, progressive disease; ORR, objective response rate; CI, confidence interval.</w:t>
      </w:r>
      <w:r w:rsidR="00BE0ADF" w:rsidRPr="00BE0ADF">
        <w:rPr>
          <w:rFonts w:asciiTheme="minorHAnsi" w:eastAsiaTheme="minorEastAsia" w:hAnsiTheme="minorHAnsi" w:cstheme="minorBidi"/>
          <w:b/>
          <w:bCs/>
          <w:kern w:val="2"/>
          <w:sz w:val="22"/>
          <w14:ligatures w14:val="standardContextual"/>
        </w:rPr>
        <w:t xml:space="preserve"> </w:t>
      </w:r>
      <w:r w:rsidR="00BE0ADF" w:rsidRPr="00BE0ADF">
        <w:rPr>
          <w:rFonts w:ascii="Times New Roman" w:hAnsi="Times New Roman" w:cs="Times New Roman"/>
          <w:b/>
          <w:bCs/>
          <w:sz w:val="18"/>
          <w:szCs w:val="18"/>
        </w:rPr>
        <w:t>Note:</w:t>
      </w:r>
      <w:r w:rsidR="00BE0ADF" w:rsidRPr="00BE0ADF">
        <w:rPr>
          <w:rFonts w:ascii="Times New Roman" w:hAnsi="Times New Roman" w:cs="Times New Roman"/>
          <w:sz w:val="18"/>
          <w:szCs w:val="18"/>
        </w:rPr>
        <w:t xml:space="preserve"> Categorical variables were compared using Fisher’s exact test.</w:t>
      </w:r>
    </w:p>
    <w:p w14:paraId="1A3F0D36" w14:textId="77777777" w:rsidR="0061397C" w:rsidRPr="0061397C" w:rsidRDefault="0061397C">
      <w:pPr>
        <w:pStyle w:val="a9"/>
        <w:adjustRightInd w:val="0"/>
        <w:snapToGrid w:val="0"/>
        <w:spacing w:before="0" w:beforeAutospacing="0" w:line="360" w:lineRule="auto"/>
        <w:rPr>
          <w:rFonts w:ascii="Times New Roman" w:hAnsi="Times New Roman" w:cs="Times New Roman"/>
          <w:b/>
          <w:bCs/>
          <w:sz w:val="18"/>
          <w:szCs w:val="18"/>
        </w:rPr>
      </w:pPr>
    </w:p>
    <w:p w14:paraId="5C40CE78" w14:textId="0922E1DA" w:rsidR="00D606CB" w:rsidRDefault="00000000">
      <w:pPr>
        <w:pStyle w:val="a9"/>
        <w:adjustRightInd w:val="0"/>
        <w:snapToGrid w:val="0"/>
        <w:spacing w:before="0" w:beforeAutospacing="0" w:line="360" w:lineRule="auto"/>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sidR="00D52B88">
        <w:rPr>
          <w:rFonts w:ascii="Times New Roman" w:hAnsi="Times New Roman" w:hint="eastAsia"/>
          <w:b/>
          <w:bCs/>
        </w:rPr>
        <w:t>4</w:t>
      </w:r>
      <w:r>
        <w:rPr>
          <w:rFonts w:ascii="Times New Roman" w:hAnsi="Times New Roman"/>
          <w:b/>
          <w:bCs/>
        </w:rPr>
        <w:t>整体队列的多因素</w:t>
      </w:r>
      <w:r w:rsidRPr="00932EBB">
        <w:rPr>
          <w:rFonts w:ascii="Times New Roman" w:hAnsi="Times New Roman"/>
          <w:b/>
          <w:bCs/>
        </w:rPr>
        <w:t>Logistic</w:t>
      </w:r>
      <w:r>
        <w:rPr>
          <w:rFonts w:ascii="Times New Roman" w:hAnsi="Times New Roman"/>
          <w:b/>
          <w:bCs/>
        </w:rPr>
        <w:t>回归分析</w:t>
      </w:r>
    </w:p>
    <w:p w14:paraId="3D3DB699" w14:textId="77777777" w:rsidR="00D606CB" w:rsidRDefault="00000000">
      <w:pPr>
        <w:pStyle w:val="a9"/>
        <w:adjustRightInd w:val="0"/>
        <w:snapToGrid w:val="0"/>
        <w:spacing w:before="0" w:beforeAutospacing="0" w:line="360" w:lineRule="auto"/>
        <w:ind w:firstLineChars="200" w:firstLine="480"/>
        <w:rPr>
          <w:rFonts w:ascii="Times New Roman" w:hAnsi="Times New Roman"/>
        </w:rPr>
      </w:pPr>
      <w:r>
        <w:rPr>
          <w:rFonts w:ascii="Times New Roman" w:hAnsi="Times New Roman"/>
        </w:rPr>
        <w:t>多因素</w:t>
      </w:r>
      <w:r w:rsidRPr="00932EBB">
        <w:rPr>
          <w:rFonts w:ascii="Times New Roman" w:hAnsi="Times New Roman"/>
        </w:rPr>
        <w:t>Logistic</w:t>
      </w:r>
      <w:r>
        <w:rPr>
          <w:rFonts w:ascii="Times New Roman" w:hAnsi="Times New Roman"/>
        </w:rPr>
        <w:t>回归分析显示，年龄</w:t>
      </w:r>
      <w:r>
        <w:rPr>
          <w:rFonts w:ascii="Times New Roman" w:hAnsi="Times New Roman"/>
        </w:rPr>
        <w:t>≥</w:t>
      </w:r>
      <w:r w:rsidRPr="00932EBB">
        <w:rPr>
          <w:rFonts w:ascii="Times New Roman" w:hAnsi="Times New Roman"/>
        </w:rPr>
        <w:t>60</w:t>
      </w:r>
      <w:r>
        <w:rPr>
          <w:rFonts w:ascii="Times New Roman" w:hAnsi="Times New Roman"/>
        </w:rPr>
        <w:t>岁是诱导治疗后</w:t>
      </w:r>
      <w:r w:rsidRPr="00932EBB">
        <w:rPr>
          <w:rFonts w:ascii="Times New Roman" w:hAnsi="Times New Roman"/>
        </w:rPr>
        <w:t>ORR</w:t>
      </w:r>
      <w:r>
        <w:rPr>
          <w:rFonts w:ascii="Times New Roman" w:hAnsi="Times New Roman"/>
        </w:rPr>
        <w:t>降低的独立相关因素（</w:t>
      </w:r>
      <w:r w:rsidRPr="00932EBB">
        <w:rPr>
          <w:rFonts w:ascii="Times New Roman" w:hAnsi="Times New Roman"/>
        </w:rPr>
        <w:t>OR</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26</w:t>
      </w:r>
      <w:r>
        <w:rPr>
          <w:rFonts w:ascii="Times New Roman" w:hAnsi="Times New Roman"/>
        </w:rPr>
        <w:t>，</w:t>
      </w:r>
      <w:r w:rsidRPr="00932EBB">
        <w:rPr>
          <w:rFonts w:ascii="Times New Roman" w:hAnsi="Times New Roman"/>
        </w:rPr>
        <w:t>95</w:t>
      </w:r>
      <w:r>
        <w:rPr>
          <w:rFonts w:ascii="Times New Roman" w:hAnsi="Times New Roman"/>
        </w:rPr>
        <w:t>%</w:t>
      </w:r>
      <w:r w:rsidRPr="00932EBB">
        <w:rPr>
          <w:rFonts w:ascii="Times New Roman" w:hAnsi="Times New Roman"/>
        </w:rPr>
        <w:t>CI</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07</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91</w:t>
      </w:r>
      <w:r>
        <w:rPr>
          <w:rFonts w:ascii="Times New Roman" w:hAnsi="Times New Roman"/>
        </w:rPr>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042</w:t>
      </w:r>
      <w:r>
        <w:rPr>
          <w:rFonts w:ascii="Times New Roman" w:hAnsi="Times New Roman"/>
        </w:rPr>
        <w:t>）。其余变量与</w:t>
      </w:r>
      <w:r w:rsidRPr="00932EBB">
        <w:rPr>
          <w:rFonts w:ascii="Times New Roman" w:hAnsi="Times New Roman"/>
        </w:rPr>
        <w:t>ORR</w:t>
      </w:r>
      <w:r>
        <w:rPr>
          <w:rFonts w:ascii="Times New Roman" w:hAnsi="Times New Roman"/>
        </w:rPr>
        <w:t>之间均未观察到统计学显著的独立相关性（见</w:t>
      </w:r>
      <w:r w:rsidRPr="00932EBB">
        <w:rPr>
          <w:rFonts w:ascii="Times New Roman" w:hAnsi="Times New Roman"/>
        </w:rPr>
        <w:t>Table</w:t>
      </w:r>
      <w:r>
        <w:rPr>
          <w:rFonts w:ascii="Times New Roman" w:hAnsi="Times New Roman"/>
        </w:rPr>
        <w:t xml:space="preserve"> </w:t>
      </w:r>
      <w:r w:rsidRPr="00932EBB">
        <w:rPr>
          <w:rFonts w:ascii="Times New Roman" w:hAnsi="Times New Roman"/>
        </w:rPr>
        <w:t>3</w:t>
      </w:r>
      <w:r>
        <w:rPr>
          <w:rFonts w:ascii="Times New Roman" w:hAnsi="Times New Roman"/>
        </w:rPr>
        <w:t>）。</w:t>
      </w:r>
    </w:p>
    <w:p w14:paraId="349DBBBC" w14:textId="77777777" w:rsidR="00D606CB" w:rsidRDefault="00000000" w:rsidP="0061397C">
      <w:pPr>
        <w:pStyle w:val="TableCaption"/>
        <w:keepNext/>
        <w:pBdr>
          <w:top w:val="none" w:sz="0" w:space="0" w:color="000000"/>
          <w:left w:val="none" w:sz="0" w:space="0" w:color="000000"/>
          <w:bottom w:val="none" w:sz="0" w:space="0" w:color="000000"/>
          <w:right w:val="none" w:sz="0" w:space="0" w:color="000000"/>
        </w:pBdr>
        <w:spacing w:before="60" w:after="60"/>
        <w:ind w:right="60"/>
        <w:jc w:val="left"/>
        <w:rPr>
          <w:rFonts w:ascii="Times New Roman" w:eastAsia="宋体" w:hAnsi="Times New Roman" w:cs="Times New Roman"/>
          <w:bCs/>
          <w:lang w:eastAsia="zh-CN"/>
        </w:rPr>
      </w:pPr>
      <w:r w:rsidRPr="00932EBB">
        <w:rPr>
          <w:rFonts w:ascii="Times New Roman" w:eastAsia="宋体" w:hAnsi="Times New Roman" w:cs="Times New Roman"/>
          <w:bCs/>
          <w:i w:val="0"/>
          <w:color w:val="000000"/>
          <w:sz w:val="18"/>
          <w:szCs w:val="18"/>
          <w:lang w:eastAsia="zh-CN"/>
        </w:rPr>
        <w:t>Tab</w:t>
      </w:r>
      <w:r w:rsidRPr="00932EBB">
        <w:rPr>
          <w:rFonts w:ascii="Times New Roman" w:eastAsia="宋体" w:hAnsi="Times New Roman" w:cs="Times New Roman" w:hint="eastAsia"/>
          <w:bCs/>
          <w:i w:val="0"/>
          <w:color w:val="000000"/>
          <w:sz w:val="18"/>
          <w:szCs w:val="18"/>
          <w:lang w:eastAsia="zh-CN"/>
        </w:rPr>
        <w:t>le</w:t>
      </w:r>
      <w:r>
        <w:rPr>
          <w:rFonts w:ascii="Times New Roman" w:eastAsia="宋体" w:hAnsi="Times New Roman" w:cs="Times New Roman"/>
          <w:bCs/>
          <w:i w:val="0"/>
          <w:color w:val="000000"/>
          <w:sz w:val="18"/>
          <w:szCs w:val="18"/>
          <w:lang w:eastAsia="zh-CN"/>
        </w:rPr>
        <w:t xml:space="preserve"> </w:t>
      </w:r>
      <w:r w:rsidRPr="00932EBB">
        <w:rPr>
          <w:rFonts w:ascii="Times New Roman" w:eastAsia="宋体" w:hAnsi="Times New Roman" w:cs="Times New Roman" w:hint="eastAsia"/>
          <w:bCs/>
          <w:i w:val="0"/>
          <w:color w:val="000000"/>
          <w:sz w:val="18"/>
          <w:szCs w:val="18"/>
          <w:lang w:eastAsia="zh-CN"/>
        </w:rPr>
        <w:t>3</w:t>
      </w:r>
      <w:r>
        <w:rPr>
          <w:rFonts w:ascii="Times New Roman" w:eastAsia="宋体" w:hAnsi="Times New Roman" w:cs="Times New Roman" w:hint="eastAsia"/>
          <w:bCs/>
          <w:i w:val="0"/>
          <w:color w:val="000000"/>
          <w:sz w:val="18"/>
          <w:szCs w:val="18"/>
          <w:lang w:eastAsia="zh-CN"/>
        </w:rPr>
        <w:t xml:space="preserve">. </w:t>
      </w:r>
      <w:r w:rsidRPr="00932EBB">
        <w:rPr>
          <w:rFonts w:ascii="Times New Roman" w:eastAsia="宋体" w:hAnsi="Times New Roman" w:cs="Times New Roman"/>
          <w:bCs/>
          <w:i w:val="0"/>
          <w:color w:val="000000"/>
          <w:sz w:val="18"/>
          <w:szCs w:val="18"/>
          <w:lang w:eastAsia="zh-CN"/>
        </w:rPr>
        <w:t>Multivariable</w:t>
      </w:r>
      <w:r>
        <w:rPr>
          <w:rFonts w:ascii="Times New Roman" w:eastAsia="宋体" w:hAnsi="Times New Roman" w:cs="Times New Roman"/>
          <w:bCs/>
          <w:i w:val="0"/>
          <w:color w:val="000000"/>
          <w:sz w:val="18"/>
          <w:szCs w:val="18"/>
          <w:lang w:eastAsia="zh-CN"/>
        </w:rPr>
        <w:t xml:space="preserve"> </w:t>
      </w:r>
      <w:r w:rsidRPr="00932EBB">
        <w:rPr>
          <w:rFonts w:ascii="Times New Roman" w:eastAsia="宋体" w:hAnsi="Times New Roman" w:cs="Times New Roman"/>
          <w:bCs/>
          <w:i w:val="0"/>
          <w:color w:val="000000"/>
          <w:sz w:val="18"/>
          <w:szCs w:val="18"/>
          <w:lang w:eastAsia="zh-CN"/>
        </w:rPr>
        <w:t>logistic</w:t>
      </w:r>
      <w:r>
        <w:rPr>
          <w:rFonts w:ascii="Times New Roman" w:eastAsia="宋体" w:hAnsi="Times New Roman" w:cs="Times New Roman"/>
          <w:bCs/>
          <w:i w:val="0"/>
          <w:color w:val="000000"/>
          <w:sz w:val="18"/>
          <w:szCs w:val="18"/>
          <w:lang w:eastAsia="zh-CN"/>
        </w:rPr>
        <w:t xml:space="preserve"> </w:t>
      </w:r>
      <w:r w:rsidRPr="00932EBB">
        <w:rPr>
          <w:rFonts w:ascii="Times New Roman" w:eastAsia="宋体" w:hAnsi="Times New Roman" w:cs="Times New Roman"/>
          <w:bCs/>
          <w:i w:val="0"/>
          <w:color w:val="000000"/>
          <w:sz w:val="18"/>
          <w:szCs w:val="18"/>
          <w:lang w:eastAsia="zh-CN"/>
        </w:rPr>
        <w:t>regression</w:t>
      </w:r>
      <w:r>
        <w:rPr>
          <w:rFonts w:ascii="Times New Roman" w:eastAsia="宋体" w:hAnsi="Times New Roman" w:cs="Times New Roman"/>
          <w:bCs/>
          <w:i w:val="0"/>
          <w:color w:val="000000"/>
          <w:sz w:val="18"/>
          <w:szCs w:val="18"/>
          <w:lang w:eastAsia="zh-CN"/>
        </w:rPr>
        <w:t xml:space="preserve"> </w:t>
      </w:r>
      <w:r w:rsidRPr="00932EBB">
        <w:rPr>
          <w:rFonts w:ascii="Times New Roman" w:eastAsia="宋体" w:hAnsi="Times New Roman" w:cs="Times New Roman"/>
          <w:bCs/>
          <w:i w:val="0"/>
          <w:color w:val="000000"/>
          <w:sz w:val="18"/>
          <w:szCs w:val="18"/>
          <w:lang w:eastAsia="zh-CN"/>
        </w:rPr>
        <w:t>for</w:t>
      </w:r>
      <w:r>
        <w:rPr>
          <w:rFonts w:ascii="Times New Roman" w:eastAsia="宋体" w:hAnsi="Times New Roman" w:cs="Times New Roman"/>
          <w:bCs/>
          <w:i w:val="0"/>
          <w:color w:val="000000"/>
          <w:sz w:val="18"/>
          <w:szCs w:val="18"/>
          <w:lang w:eastAsia="zh-CN"/>
        </w:rPr>
        <w:t xml:space="preserve"> </w:t>
      </w:r>
      <w:r w:rsidRPr="00932EBB">
        <w:rPr>
          <w:rFonts w:ascii="Times New Roman" w:eastAsia="宋体" w:hAnsi="Times New Roman" w:cs="Times New Roman"/>
          <w:bCs/>
          <w:i w:val="0"/>
          <w:color w:val="000000"/>
          <w:sz w:val="18"/>
          <w:szCs w:val="18"/>
          <w:lang w:eastAsia="zh-CN"/>
        </w:rPr>
        <w:t>ORR</w:t>
      </w:r>
      <w:r>
        <w:rPr>
          <w:rFonts w:ascii="Times New Roman" w:eastAsia="宋体" w:hAnsi="Times New Roman" w:cs="Times New Roman" w:hint="eastAsia"/>
          <w:bCs/>
          <w:i w:val="0"/>
          <w:color w:val="000000"/>
          <w:sz w:val="18"/>
          <w:szCs w:val="18"/>
          <w:lang w:eastAsia="zh-CN"/>
        </w:rPr>
        <w:t xml:space="preserve"> </w:t>
      </w:r>
      <w:r w:rsidRPr="00932EBB">
        <w:rPr>
          <w:rFonts w:ascii="Times New Roman" w:eastAsia="宋体" w:hAnsi="Times New Roman" w:cs="Times New Roman" w:hint="eastAsia"/>
          <w:bCs/>
          <w:i w:val="0"/>
          <w:color w:val="000000"/>
          <w:sz w:val="18"/>
          <w:szCs w:val="18"/>
          <w:lang w:eastAsia="zh-CN"/>
        </w:rPr>
        <w:t>in</w:t>
      </w:r>
      <w:r>
        <w:rPr>
          <w:rFonts w:ascii="Times New Roman" w:eastAsia="宋体" w:hAnsi="Times New Roman" w:cs="Times New Roman" w:hint="eastAsia"/>
          <w:bCs/>
          <w:i w:val="0"/>
          <w:color w:val="000000"/>
          <w:sz w:val="18"/>
          <w:szCs w:val="18"/>
          <w:lang w:eastAsia="zh-CN"/>
        </w:rPr>
        <w:t xml:space="preserve"> </w:t>
      </w:r>
      <w:r w:rsidRPr="00932EBB">
        <w:rPr>
          <w:rFonts w:ascii="Times New Roman" w:eastAsia="宋体" w:hAnsi="Times New Roman" w:cs="Times New Roman" w:hint="eastAsia"/>
          <w:bCs/>
          <w:i w:val="0"/>
          <w:color w:val="000000"/>
          <w:sz w:val="18"/>
          <w:szCs w:val="18"/>
          <w:lang w:eastAsia="zh-CN"/>
        </w:rPr>
        <w:t>the</w:t>
      </w:r>
      <w:r>
        <w:rPr>
          <w:rFonts w:ascii="Times New Roman" w:eastAsia="宋体" w:hAnsi="Times New Roman" w:cs="Times New Roman" w:hint="eastAsia"/>
          <w:bCs/>
          <w:i w:val="0"/>
          <w:color w:val="000000"/>
          <w:sz w:val="18"/>
          <w:szCs w:val="18"/>
          <w:lang w:eastAsia="zh-CN"/>
        </w:rPr>
        <w:t xml:space="preserve"> </w:t>
      </w:r>
      <w:r w:rsidRPr="00932EBB">
        <w:rPr>
          <w:rFonts w:ascii="Times New Roman" w:eastAsia="宋体" w:hAnsi="Times New Roman" w:cs="Times New Roman" w:hint="eastAsia"/>
          <w:bCs/>
          <w:i w:val="0"/>
          <w:color w:val="000000"/>
          <w:sz w:val="18"/>
          <w:szCs w:val="18"/>
          <w:lang w:eastAsia="zh-CN"/>
        </w:rPr>
        <w:t>overall</w:t>
      </w:r>
      <w:r>
        <w:rPr>
          <w:rFonts w:ascii="Times New Roman" w:eastAsia="宋体" w:hAnsi="Times New Roman" w:cs="Times New Roman" w:hint="eastAsia"/>
          <w:bCs/>
          <w:i w:val="0"/>
          <w:color w:val="000000"/>
          <w:sz w:val="18"/>
          <w:szCs w:val="18"/>
          <w:lang w:eastAsia="zh-CN"/>
        </w:rPr>
        <w:t xml:space="preserve"> </w:t>
      </w:r>
      <w:r w:rsidRPr="00932EBB">
        <w:rPr>
          <w:rFonts w:ascii="Times New Roman" w:eastAsia="宋体" w:hAnsi="Times New Roman" w:cs="Times New Roman" w:hint="eastAsia"/>
          <w:bCs/>
          <w:i w:val="0"/>
          <w:color w:val="000000"/>
          <w:sz w:val="18"/>
          <w:szCs w:val="18"/>
          <w:lang w:eastAsia="zh-CN"/>
        </w:rPr>
        <w:t>cohort</w:t>
      </w:r>
    </w:p>
    <w:tbl>
      <w:tblPr>
        <w:tblW w:w="0" w:type="auto"/>
        <w:jc w:val="center"/>
        <w:tblLayout w:type="fixed"/>
        <w:tblLook w:val="04A0" w:firstRow="1" w:lastRow="0" w:firstColumn="1" w:lastColumn="0" w:noHBand="0" w:noVBand="1"/>
      </w:tblPr>
      <w:tblGrid>
        <w:gridCol w:w="4230"/>
        <w:gridCol w:w="2148"/>
        <w:gridCol w:w="1132"/>
        <w:gridCol w:w="1132"/>
      </w:tblGrid>
      <w:tr w:rsidR="009D0ADD" w:rsidRPr="00B90BC5" w14:paraId="06CBD461" w14:textId="77777777" w:rsidTr="0064688D">
        <w:trPr>
          <w:tblHeader/>
          <w:jc w:val="center"/>
        </w:trPr>
        <w:tc>
          <w:tcPr>
            <w:tcW w:w="4230" w:type="dxa"/>
            <w:tcBorders>
              <w:top w:val="single" w:sz="12" w:space="0" w:color="auto"/>
              <w:left w:val="nil"/>
              <w:bottom w:val="single" w:sz="6" w:space="0" w:color="auto"/>
              <w:right w:val="nil"/>
            </w:tcBorders>
            <w:shd w:val="clear" w:color="auto" w:fill="FFFFFF"/>
            <w:tcMar>
              <w:top w:w="0" w:type="dxa"/>
              <w:left w:w="0" w:type="dxa"/>
              <w:bottom w:w="0" w:type="dxa"/>
              <w:right w:w="0" w:type="dxa"/>
            </w:tcMar>
            <w:vAlign w:val="center"/>
          </w:tcPr>
          <w:p w14:paraId="2A957142"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C05265">
              <w:rPr>
                <w:rFonts w:ascii="Times New Roman" w:eastAsia="宋体" w:hAnsi="Times New Roman" w:cs="Times New Roman"/>
                <w:color w:val="000000"/>
                <w:sz w:val="18"/>
                <w:szCs w:val="18"/>
              </w:rPr>
              <w:t>Variable</w:t>
            </w:r>
          </w:p>
        </w:tc>
        <w:tc>
          <w:tcPr>
            <w:tcW w:w="2148" w:type="dxa"/>
            <w:tcBorders>
              <w:top w:val="single" w:sz="12" w:space="0" w:color="auto"/>
              <w:left w:val="nil"/>
              <w:bottom w:val="single" w:sz="6" w:space="0" w:color="auto"/>
              <w:right w:val="nil"/>
            </w:tcBorders>
            <w:shd w:val="clear" w:color="auto" w:fill="FFFFFF"/>
            <w:tcMar>
              <w:top w:w="0" w:type="dxa"/>
              <w:left w:w="0" w:type="dxa"/>
              <w:bottom w:w="0" w:type="dxa"/>
              <w:right w:w="0" w:type="dxa"/>
            </w:tcMar>
            <w:vAlign w:val="center"/>
          </w:tcPr>
          <w:p w14:paraId="4226BD07"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OR (95% CI)</w:t>
            </w:r>
          </w:p>
        </w:tc>
        <w:tc>
          <w:tcPr>
            <w:tcW w:w="1132" w:type="dxa"/>
            <w:tcBorders>
              <w:top w:val="single" w:sz="12" w:space="0" w:color="auto"/>
              <w:bottom w:val="single" w:sz="6" w:space="0" w:color="auto"/>
            </w:tcBorders>
          </w:tcPr>
          <w:p w14:paraId="632E9D64"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Wald χ²</w:t>
            </w:r>
          </w:p>
        </w:tc>
        <w:tc>
          <w:tcPr>
            <w:tcW w:w="1132" w:type="dxa"/>
            <w:tcBorders>
              <w:top w:val="single" w:sz="12" w:space="0" w:color="auto"/>
              <w:left w:val="nil"/>
              <w:bottom w:val="single" w:sz="6" w:space="0" w:color="auto"/>
              <w:right w:val="nil"/>
            </w:tcBorders>
            <w:shd w:val="clear" w:color="auto" w:fill="FFFFFF"/>
            <w:tcMar>
              <w:top w:w="0" w:type="dxa"/>
              <w:left w:w="0" w:type="dxa"/>
              <w:bottom w:w="0" w:type="dxa"/>
              <w:right w:w="0" w:type="dxa"/>
            </w:tcMar>
            <w:vAlign w:val="center"/>
          </w:tcPr>
          <w:p w14:paraId="0E58FC18" w14:textId="25DAB94F" w:rsidR="009D0ADD" w:rsidRPr="00B90BC5" w:rsidRDefault="000F3B9C"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0F3B9C">
              <w:rPr>
                <w:rFonts w:ascii="Times New Roman" w:eastAsia="宋体" w:hAnsi="Times New Roman" w:cs="Times New Roman"/>
                <w:color w:val="000000"/>
                <w:sz w:val="18"/>
                <w:szCs w:val="18"/>
              </w:rPr>
              <w:t>P value</w:t>
            </w:r>
          </w:p>
        </w:tc>
      </w:tr>
      <w:tr w:rsidR="009D0ADD" w:rsidRPr="00B90BC5" w14:paraId="12775EF0" w14:textId="77777777" w:rsidTr="0064688D">
        <w:trPr>
          <w:jc w:val="center"/>
        </w:trPr>
        <w:tc>
          <w:tcPr>
            <w:tcW w:w="4230" w:type="dxa"/>
            <w:tcBorders>
              <w:top w:val="single" w:sz="6" w:space="0" w:color="auto"/>
              <w:left w:val="nil"/>
              <w:bottom w:val="nil"/>
              <w:right w:val="nil"/>
            </w:tcBorders>
            <w:shd w:val="clear" w:color="auto" w:fill="FFFFFF"/>
            <w:tcMar>
              <w:top w:w="0" w:type="dxa"/>
              <w:left w:w="0" w:type="dxa"/>
              <w:bottom w:w="0" w:type="dxa"/>
              <w:right w:w="0" w:type="dxa"/>
            </w:tcMar>
            <w:vAlign w:val="center"/>
          </w:tcPr>
          <w:p w14:paraId="549F2E6E"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Age (≥60 years vs &lt;60 years)</w:t>
            </w:r>
          </w:p>
        </w:tc>
        <w:tc>
          <w:tcPr>
            <w:tcW w:w="2148" w:type="dxa"/>
            <w:tcBorders>
              <w:top w:val="single" w:sz="6" w:space="0" w:color="auto"/>
              <w:left w:val="nil"/>
              <w:bottom w:val="nil"/>
              <w:right w:val="nil"/>
            </w:tcBorders>
            <w:shd w:val="clear" w:color="auto" w:fill="FFFFFF"/>
            <w:tcMar>
              <w:top w:w="0" w:type="dxa"/>
              <w:left w:w="0" w:type="dxa"/>
              <w:bottom w:w="0" w:type="dxa"/>
              <w:right w:w="0" w:type="dxa"/>
            </w:tcMar>
            <w:vAlign w:val="center"/>
          </w:tcPr>
          <w:p w14:paraId="79C51DB4"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0.26 (0.07–0.91)</w:t>
            </w:r>
          </w:p>
        </w:tc>
        <w:tc>
          <w:tcPr>
            <w:tcW w:w="1132" w:type="dxa"/>
            <w:tcBorders>
              <w:top w:val="single" w:sz="6" w:space="0" w:color="auto"/>
            </w:tcBorders>
          </w:tcPr>
          <w:p w14:paraId="1A118A3D" w14:textId="77777777" w:rsidR="009D0ADD" w:rsidRPr="00224809"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hint="eastAsia"/>
                <w:color w:val="000000"/>
                <w:sz w:val="18"/>
                <w:szCs w:val="18"/>
              </w:rPr>
              <w:t>4.238</w:t>
            </w:r>
          </w:p>
        </w:tc>
        <w:tc>
          <w:tcPr>
            <w:tcW w:w="1132" w:type="dxa"/>
            <w:tcBorders>
              <w:top w:val="single" w:sz="6" w:space="0" w:color="auto"/>
              <w:left w:val="nil"/>
              <w:bottom w:val="nil"/>
              <w:right w:val="nil"/>
            </w:tcBorders>
            <w:shd w:val="clear" w:color="auto" w:fill="FFFFFF"/>
            <w:tcMar>
              <w:top w:w="0" w:type="dxa"/>
              <w:left w:w="0" w:type="dxa"/>
              <w:bottom w:w="0" w:type="dxa"/>
              <w:right w:w="0" w:type="dxa"/>
            </w:tcMar>
            <w:vAlign w:val="center"/>
          </w:tcPr>
          <w:p w14:paraId="2DF105C7"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b/>
                <w:bCs/>
                <w:color w:val="000000"/>
                <w:sz w:val="18"/>
                <w:szCs w:val="18"/>
              </w:rPr>
            </w:pPr>
            <w:r w:rsidRPr="00B90BC5">
              <w:rPr>
                <w:rFonts w:ascii="Times New Roman" w:eastAsia="宋体" w:hAnsi="Times New Roman" w:cs="Times New Roman"/>
                <w:b/>
                <w:bCs/>
                <w:color w:val="000000"/>
                <w:sz w:val="18"/>
                <w:szCs w:val="18"/>
              </w:rPr>
              <w:t>0.042</w:t>
            </w:r>
          </w:p>
        </w:tc>
      </w:tr>
      <w:tr w:rsidR="009D0ADD" w:rsidRPr="00B90BC5" w14:paraId="6C03520E"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0881E725"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Gender (Male vs Female)</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7A8D34A1"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1.78 (0.50–6.25)</w:t>
            </w:r>
          </w:p>
        </w:tc>
        <w:tc>
          <w:tcPr>
            <w:tcW w:w="1132" w:type="dxa"/>
          </w:tcPr>
          <w:p w14:paraId="1628FB8D"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0.801</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3D471BD3"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0.362</w:t>
            </w:r>
          </w:p>
        </w:tc>
      </w:tr>
      <w:tr w:rsidR="009D0ADD" w:rsidRPr="00B90BC5" w14:paraId="3E28D6AA"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566FCC36"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T stage (T3–4 vs T1–2)</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19FA0777"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2.20 (0.46–11.37)</w:t>
            </w:r>
          </w:p>
        </w:tc>
        <w:tc>
          <w:tcPr>
            <w:tcW w:w="1132" w:type="dxa"/>
          </w:tcPr>
          <w:p w14:paraId="27FD1D86"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0.929</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3462677C"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0.326</w:t>
            </w:r>
          </w:p>
        </w:tc>
      </w:tr>
      <w:tr w:rsidR="009D0ADD" w:rsidRPr="00B90BC5" w14:paraId="7B4D232D"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3FC010B3"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lastRenderedPageBreak/>
              <w:t>N stage (N2–3 vs N0–1)</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464D6DCE"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1.18 (0.24–6.15)</w:t>
            </w:r>
          </w:p>
        </w:tc>
        <w:tc>
          <w:tcPr>
            <w:tcW w:w="1132" w:type="dxa"/>
          </w:tcPr>
          <w:p w14:paraId="237A5C51"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0.040</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28345928"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0.837</w:t>
            </w:r>
          </w:p>
        </w:tc>
      </w:tr>
      <w:tr w:rsidR="009D0ADD" w:rsidRPr="00B90BC5" w14:paraId="36F7CF16"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594B78C5"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EBV-DNA (≥4000 vs &lt;4000 copies/mL)</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3F650E7C"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2.72 (0.79–9.72)</w:t>
            </w:r>
          </w:p>
        </w:tc>
        <w:tc>
          <w:tcPr>
            <w:tcW w:w="1132" w:type="dxa"/>
          </w:tcPr>
          <w:p w14:paraId="22E97A9F"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2.442</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7211FBDA"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0.113</w:t>
            </w:r>
          </w:p>
        </w:tc>
      </w:tr>
      <w:tr w:rsidR="009D0ADD" w:rsidRPr="00B90BC5" w14:paraId="6836968F"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5BD04041"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ENE (Yes vs No)</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5F3DDF78"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0.83 (0.09–18.91)</w:t>
            </w:r>
          </w:p>
        </w:tc>
        <w:tc>
          <w:tcPr>
            <w:tcW w:w="1132" w:type="dxa"/>
          </w:tcPr>
          <w:p w14:paraId="63B2E0F9"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224809">
              <w:rPr>
                <w:rFonts w:ascii="Times New Roman" w:eastAsia="宋体" w:hAnsi="Times New Roman" w:cs="Times New Roman"/>
                <w:color w:val="000000"/>
                <w:sz w:val="18"/>
                <w:szCs w:val="18"/>
              </w:rPr>
              <w:t>0.019</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606D9D40"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0.882</w:t>
            </w:r>
          </w:p>
        </w:tc>
      </w:tr>
      <w:tr w:rsidR="009D0ADD" w:rsidRPr="00B90BC5" w14:paraId="23E130BF"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113AE4E3"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LN necrosis (Yes vs No)</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1B6B9263"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0.68 (0.16–2.77)</w:t>
            </w:r>
          </w:p>
        </w:tc>
        <w:tc>
          <w:tcPr>
            <w:tcW w:w="1132" w:type="dxa"/>
          </w:tcPr>
          <w:p w14:paraId="08DBA31B"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Pr>
                <w:rFonts w:ascii="Times New Roman" w:eastAsia="宋体" w:hAnsi="Times New Roman" w:cs="Times New Roman" w:hint="eastAsia"/>
                <w:color w:val="000000"/>
                <w:sz w:val="18"/>
                <w:szCs w:val="18"/>
              </w:rPr>
              <w:t>0.281</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6D0CECB1"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0.591</w:t>
            </w:r>
          </w:p>
        </w:tc>
      </w:tr>
      <w:tr w:rsidR="009D0ADD" w:rsidRPr="00B90BC5" w14:paraId="7D010057" w14:textId="77777777" w:rsidTr="0064688D">
        <w:trPr>
          <w:jc w:val="center"/>
        </w:trPr>
        <w:tc>
          <w:tcPr>
            <w:tcW w:w="4230" w:type="dxa"/>
            <w:tcBorders>
              <w:top w:val="nil"/>
              <w:left w:val="nil"/>
              <w:bottom w:val="nil"/>
              <w:right w:val="nil"/>
            </w:tcBorders>
            <w:shd w:val="clear" w:color="auto" w:fill="FFFFFF"/>
            <w:tcMar>
              <w:top w:w="0" w:type="dxa"/>
              <w:left w:w="0" w:type="dxa"/>
              <w:bottom w:w="0" w:type="dxa"/>
              <w:right w:w="0" w:type="dxa"/>
            </w:tcMar>
            <w:vAlign w:val="center"/>
          </w:tcPr>
          <w:p w14:paraId="1117DF57" w14:textId="1740B635"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PD-L1</w:t>
            </w:r>
            <w:r w:rsidRPr="00B90BC5">
              <w:rPr>
                <w:rFonts w:ascii="Times New Roman" w:eastAsia="宋体" w:hAnsi="Times New Roman" w:cs="Times New Roman" w:hint="eastAsia"/>
                <w:color w:val="000000"/>
                <w:sz w:val="18"/>
                <w:szCs w:val="18"/>
              </w:rPr>
              <w:t xml:space="preserve"> CPS</w:t>
            </w:r>
            <w:r w:rsidR="000F3B9C">
              <w:rPr>
                <w:rFonts w:ascii="Times New Roman" w:eastAsia="宋体" w:hAnsi="Times New Roman" w:cs="Times New Roman" w:hint="eastAsia"/>
                <w:color w:val="000000"/>
                <w:sz w:val="18"/>
                <w:szCs w:val="18"/>
              </w:rPr>
              <w:t xml:space="preserve"> </w:t>
            </w:r>
            <w:r w:rsidRPr="00B90BC5">
              <w:rPr>
                <w:rFonts w:ascii="Times New Roman" w:eastAsia="宋体" w:hAnsi="Times New Roman" w:cs="Times New Roman"/>
                <w:color w:val="000000"/>
                <w:sz w:val="18"/>
                <w:szCs w:val="18"/>
              </w:rPr>
              <w:t>(≥20% vs &lt;20%)</w:t>
            </w:r>
          </w:p>
        </w:tc>
        <w:tc>
          <w:tcPr>
            <w:tcW w:w="2148" w:type="dxa"/>
            <w:tcBorders>
              <w:top w:val="nil"/>
              <w:left w:val="nil"/>
              <w:bottom w:val="nil"/>
              <w:right w:val="nil"/>
            </w:tcBorders>
            <w:shd w:val="clear" w:color="auto" w:fill="FFFFFF"/>
            <w:tcMar>
              <w:top w:w="0" w:type="dxa"/>
              <w:left w:w="0" w:type="dxa"/>
              <w:bottom w:w="0" w:type="dxa"/>
              <w:right w:w="0" w:type="dxa"/>
            </w:tcMar>
            <w:vAlign w:val="center"/>
          </w:tcPr>
          <w:p w14:paraId="5BDFB8D0"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1.75 (0.47–5.95)</w:t>
            </w:r>
          </w:p>
        </w:tc>
        <w:tc>
          <w:tcPr>
            <w:tcW w:w="1132" w:type="dxa"/>
          </w:tcPr>
          <w:p w14:paraId="30C1E3D9"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C05265">
              <w:rPr>
                <w:rFonts w:ascii="Times New Roman" w:eastAsia="宋体" w:hAnsi="Times New Roman" w:cs="Times New Roman"/>
                <w:color w:val="000000"/>
                <w:sz w:val="18"/>
                <w:szCs w:val="18"/>
              </w:rPr>
              <w:t>0.747</w:t>
            </w:r>
          </w:p>
        </w:tc>
        <w:tc>
          <w:tcPr>
            <w:tcW w:w="1132" w:type="dxa"/>
            <w:tcBorders>
              <w:top w:val="nil"/>
              <w:left w:val="nil"/>
              <w:bottom w:val="nil"/>
              <w:right w:val="nil"/>
            </w:tcBorders>
            <w:shd w:val="clear" w:color="auto" w:fill="FFFFFF"/>
            <w:tcMar>
              <w:top w:w="0" w:type="dxa"/>
              <w:left w:w="0" w:type="dxa"/>
              <w:bottom w:w="0" w:type="dxa"/>
              <w:right w:w="0" w:type="dxa"/>
            </w:tcMar>
            <w:vAlign w:val="center"/>
          </w:tcPr>
          <w:p w14:paraId="194EBEF8"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0.376</w:t>
            </w:r>
          </w:p>
        </w:tc>
      </w:tr>
      <w:tr w:rsidR="009D0ADD" w:rsidRPr="00B90BC5" w14:paraId="1D86D7A6" w14:textId="77777777" w:rsidTr="0064688D">
        <w:trPr>
          <w:jc w:val="center"/>
        </w:trPr>
        <w:tc>
          <w:tcPr>
            <w:tcW w:w="4230" w:type="dxa"/>
            <w:tcBorders>
              <w:top w:val="nil"/>
              <w:left w:val="nil"/>
              <w:bottom w:val="single" w:sz="12" w:space="0" w:color="auto"/>
              <w:right w:val="nil"/>
            </w:tcBorders>
            <w:shd w:val="clear" w:color="auto" w:fill="FFFFFF"/>
            <w:tcMar>
              <w:top w:w="0" w:type="dxa"/>
              <w:left w:w="0" w:type="dxa"/>
              <w:bottom w:w="0" w:type="dxa"/>
              <w:right w:w="0" w:type="dxa"/>
            </w:tcMar>
            <w:vAlign w:val="center"/>
          </w:tcPr>
          <w:p w14:paraId="2A76F80D"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EGFR (+++ vs -/+/++)</w:t>
            </w:r>
          </w:p>
        </w:tc>
        <w:tc>
          <w:tcPr>
            <w:tcW w:w="2148" w:type="dxa"/>
            <w:tcBorders>
              <w:top w:val="nil"/>
              <w:left w:val="nil"/>
              <w:bottom w:val="single" w:sz="12" w:space="0" w:color="auto"/>
              <w:right w:val="nil"/>
            </w:tcBorders>
            <w:shd w:val="clear" w:color="auto" w:fill="FFFFFF"/>
            <w:tcMar>
              <w:top w:w="0" w:type="dxa"/>
              <w:left w:w="0" w:type="dxa"/>
              <w:bottom w:w="0" w:type="dxa"/>
              <w:right w:w="0" w:type="dxa"/>
            </w:tcMar>
            <w:vAlign w:val="center"/>
          </w:tcPr>
          <w:p w14:paraId="3116DAAC"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0.78 (0.24–2.60)</w:t>
            </w:r>
          </w:p>
        </w:tc>
        <w:tc>
          <w:tcPr>
            <w:tcW w:w="1132" w:type="dxa"/>
            <w:tcBorders>
              <w:bottom w:val="single" w:sz="12" w:space="0" w:color="auto"/>
            </w:tcBorders>
          </w:tcPr>
          <w:p w14:paraId="54CFCB0E"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C05265">
              <w:rPr>
                <w:rFonts w:ascii="Times New Roman" w:eastAsia="宋体" w:hAnsi="Times New Roman" w:cs="Times New Roman"/>
                <w:color w:val="000000"/>
                <w:sz w:val="18"/>
                <w:szCs w:val="18"/>
              </w:rPr>
              <w:t>0.167</w:t>
            </w:r>
          </w:p>
        </w:tc>
        <w:tc>
          <w:tcPr>
            <w:tcW w:w="1132" w:type="dxa"/>
            <w:tcBorders>
              <w:top w:val="nil"/>
              <w:left w:val="nil"/>
              <w:bottom w:val="single" w:sz="12" w:space="0" w:color="auto"/>
              <w:right w:val="nil"/>
            </w:tcBorders>
            <w:shd w:val="clear" w:color="auto" w:fill="FFFFFF"/>
            <w:tcMar>
              <w:top w:w="0" w:type="dxa"/>
              <w:left w:w="0" w:type="dxa"/>
              <w:bottom w:w="0" w:type="dxa"/>
              <w:right w:w="0" w:type="dxa"/>
            </w:tcMar>
            <w:vAlign w:val="center"/>
          </w:tcPr>
          <w:p w14:paraId="42ADB85E" w14:textId="77777777" w:rsidR="009D0ADD" w:rsidRPr="00B90BC5" w:rsidRDefault="009D0ADD" w:rsidP="0064688D">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18"/>
                <w:szCs w:val="18"/>
              </w:rPr>
            </w:pPr>
            <w:r w:rsidRPr="00B90BC5">
              <w:rPr>
                <w:rFonts w:ascii="Times New Roman" w:eastAsia="宋体" w:hAnsi="Times New Roman" w:cs="Times New Roman"/>
                <w:color w:val="000000"/>
                <w:sz w:val="18"/>
                <w:szCs w:val="18"/>
              </w:rPr>
              <w:t>0.673</w:t>
            </w:r>
          </w:p>
        </w:tc>
      </w:tr>
    </w:tbl>
    <w:p w14:paraId="590BCB8D" w14:textId="77777777" w:rsidR="009D0ADD" w:rsidRPr="00B90BC5" w:rsidRDefault="009D0ADD" w:rsidP="009D0ADD">
      <w:pPr>
        <w:pStyle w:val="a9"/>
        <w:rPr>
          <w:rFonts w:ascii="Times New Roman" w:hAnsi="Times New Roman" w:cs="Times New Roman"/>
          <w:sz w:val="18"/>
          <w:szCs w:val="18"/>
        </w:rPr>
      </w:pPr>
      <w:r w:rsidRPr="00B90BC5">
        <w:rPr>
          <w:rFonts w:ascii="Times New Roman" w:hAnsi="Times New Roman" w:cs="Times New Roman"/>
          <w:sz w:val="18"/>
          <w:szCs w:val="18"/>
        </w:rPr>
        <w:t>Abbreviations: OR, odds ratio; CI, confidence interval</w:t>
      </w:r>
    </w:p>
    <w:p w14:paraId="7B521A4A" w14:textId="77777777" w:rsidR="0061397C" w:rsidRPr="009D0ADD" w:rsidRDefault="0061397C">
      <w:pPr>
        <w:pStyle w:val="a9"/>
        <w:rPr>
          <w:rFonts w:ascii="Times New Roman" w:hAnsi="Times New Roman"/>
          <w:b/>
          <w:bCs/>
        </w:rPr>
      </w:pPr>
    </w:p>
    <w:p w14:paraId="156E7620" w14:textId="3AF8F169" w:rsidR="00D606CB" w:rsidRDefault="00000000">
      <w:pPr>
        <w:pStyle w:val="a9"/>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sidR="00D52B88">
        <w:rPr>
          <w:rFonts w:ascii="Times New Roman" w:hAnsi="Times New Roman" w:hint="eastAsia"/>
          <w:b/>
          <w:bCs/>
        </w:rPr>
        <w:t>5</w:t>
      </w:r>
      <w:r>
        <w:rPr>
          <w:rFonts w:ascii="Times New Roman" w:hAnsi="Times New Roman"/>
          <w:b/>
          <w:bCs/>
        </w:rPr>
        <w:t>匹配队列的多因素</w:t>
      </w:r>
      <w:r w:rsidRPr="00932EBB">
        <w:rPr>
          <w:rFonts w:ascii="Times New Roman" w:hAnsi="Times New Roman"/>
          <w:b/>
          <w:bCs/>
        </w:rPr>
        <w:t>Logistic</w:t>
      </w:r>
      <w:r>
        <w:rPr>
          <w:rFonts w:ascii="Times New Roman" w:hAnsi="Times New Roman"/>
          <w:b/>
          <w:bCs/>
        </w:rPr>
        <w:t>回归分析</w:t>
      </w:r>
    </w:p>
    <w:p w14:paraId="49B653F6"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cs="Times New Roman"/>
        </w:rPr>
      </w:pPr>
      <w:r>
        <w:rPr>
          <w:rFonts w:ascii="Times New Roman" w:hAnsi="Times New Roman" w:cs="Times New Roman"/>
        </w:rPr>
        <w:t>多因素</w:t>
      </w:r>
      <w:r w:rsidRPr="00932EBB">
        <w:rPr>
          <w:rFonts w:ascii="Times New Roman" w:hAnsi="Times New Roman" w:cs="Times New Roman"/>
        </w:rPr>
        <w:t>Logistic</w:t>
      </w:r>
      <w:r>
        <w:rPr>
          <w:rFonts w:ascii="Times New Roman" w:hAnsi="Times New Roman" w:cs="Times New Roman"/>
        </w:rPr>
        <w:t>回归分析显示，在匹配队列中，</w:t>
      </w:r>
      <w:r w:rsidRPr="00932EBB">
        <w:rPr>
          <w:rFonts w:ascii="Times New Roman" w:hAnsi="Times New Roman" w:cs="Times New Roman"/>
        </w:rPr>
        <w:t>ICIT</w:t>
      </w:r>
      <w:r>
        <w:rPr>
          <w:rFonts w:ascii="Times New Roman" w:hAnsi="Times New Roman" w:cs="Times New Roman"/>
        </w:rPr>
        <w:t>方案与</w:t>
      </w:r>
      <w:r w:rsidRPr="00932EBB">
        <w:rPr>
          <w:rFonts w:ascii="Times New Roman" w:hAnsi="Times New Roman" w:cs="Times New Roman"/>
        </w:rPr>
        <w:t>IC</w:t>
      </w:r>
      <w:r>
        <w:rPr>
          <w:rFonts w:ascii="Times New Roman" w:hAnsi="Times New Roman" w:cs="Times New Roman"/>
        </w:rPr>
        <w:t>方案相比，诱导治疗后</w:t>
      </w:r>
      <w:r w:rsidRPr="00932EBB">
        <w:rPr>
          <w:rFonts w:ascii="Times New Roman" w:hAnsi="Times New Roman" w:cs="Times New Roman"/>
        </w:rPr>
        <w:t>ORR</w:t>
      </w:r>
      <w:r>
        <w:rPr>
          <w:rFonts w:ascii="Times New Roman" w:hAnsi="Times New Roman" w:cs="Times New Roman"/>
        </w:rPr>
        <w:t>差异无统计学意义（</w:t>
      </w:r>
      <w:r w:rsidRPr="00932EBB">
        <w:rPr>
          <w:rFonts w:ascii="Times New Roman" w:hAnsi="Times New Roman" w:cs="Times New Roman"/>
        </w:rPr>
        <w:t>OR</w:t>
      </w:r>
      <w:r>
        <w:rPr>
          <w:rFonts w:ascii="Times New Roman" w:hAnsi="Times New Roman" w:cs="Times New Roman"/>
        </w:rPr>
        <w:t>=</w:t>
      </w:r>
      <w:r w:rsidRPr="00932EBB">
        <w:rPr>
          <w:rFonts w:ascii="Times New Roman" w:hAnsi="Times New Roman" w:cs="Times New Roman"/>
        </w:rPr>
        <w:t>4</w:t>
      </w:r>
      <w:r>
        <w:rPr>
          <w:rFonts w:ascii="Times New Roman" w:hAnsi="Times New Roman" w:cs="Times New Roman"/>
        </w:rPr>
        <w:t>.</w:t>
      </w:r>
      <w:r w:rsidRPr="00932EBB">
        <w:rPr>
          <w:rFonts w:ascii="Times New Roman" w:hAnsi="Times New Roman" w:cs="Times New Roman"/>
        </w:rPr>
        <w:t>84</w:t>
      </w:r>
      <w:r>
        <w:rPr>
          <w:rFonts w:ascii="Times New Roman" w:hAnsi="Times New Roman" w:cs="Times New Roman"/>
        </w:rPr>
        <w:t>，</w:t>
      </w:r>
      <w:r w:rsidRPr="00932EBB">
        <w:rPr>
          <w:rFonts w:ascii="Times New Roman" w:hAnsi="Times New Roman" w:cs="Times New Roman"/>
        </w:rPr>
        <w:t>P</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174</w:t>
      </w:r>
      <w:r>
        <w:rPr>
          <w:rFonts w:ascii="Times New Roman" w:hAnsi="Times New Roman" w:cs="Times New Roman"/>
        </w:rPr>
        <w:t>）；</w:t>
      </w:r>
      <w:r w:rsidRPr="00932EBB">
        <w:rPr>
          <w:rFonts w:ascii="Times New Roman" w:hAnsi="Times New Roman" w:cs="Times New Roman"/>
        </w:rPr>
        <w:t>PD</w:t>
      </w:r>
      <w:r>
        <w:rPr>
          <w:rFonts w:ascii="Times New Roman" w:hAnsi="Times New Roman" w:cs="Times New Roman"/>
        </w:rPr>
        <w:t>-</w:t>
      </w:r>
      <w:r w:rsidRPr="00932EBB">
        <w:rPr>
          <w:rFonts w:ascii="Times New Roman" w:hAnsi="Times New Roman" w:cs="Times New Roman"/>
        </w:rPr>
        <w:t>L1</w:t>
      </w:r>
      <w:r>
        <w:rPr>
          <w:rFonts w:ascii="Times New Roman" w:hAnsi="Times New Roman" w:cs="Times New Roman"/>
        </w:rPr>
        <w:t xml:space="preserve"> </w:t>
      </w:r>
      <w:r w:rsidRPr="00932EBB">
        <w:rPr>
          <w:rFonts w:ascii="Times New Roman" w:hAnsi="Times New Roman" w:cs="Times New Roman"/>
        </w:rPr>
        <w:t>CPS</w:t>
      </w:r>
      <w:r>
        <w:rPr>
          <w:rFonts w:ascii="Times New Roman" w:hAnsi="Times New Roman" w:cs="Times New Roman"/>
        </w:rPr>
        <w:t>≥</w:t>
      </w:r>
      <w:r w:rsidRPr="00932EBB">
        <w:rPr>
          <w:rFonts w:ascii="Times New Roman" w:hAnsi="Times New Roman" w:cs="Times New Roman"/>
        </w:rPr>
        <w:t>20</w:t>
      </w:r>
      <w:r>
        <w:rPr>
          <w:rFonts w:ascii="Times New Roman" w:hAnsi="Times New Roman" w:cs="Times New Roman"/>
        </w:rPr>
        <w:t>%</w:t>
      </w:r>
      <w:r>
        <w:rPr>
          <w:rFonts w:ascii="Times New Roman" w:hAnsi="Times New Roman" w:cs="Times New Roman"/>
        </w:rPr>
        <w:t>显示出与</w:t>
      </w:r>
      <w:r w:rsidRPr="00932EBB">
        <w:rPr>
          <w:rFonts w:ascii="Times New Roman" w:hAnsi="Times New Roman" w:cs="Times New Roman"/>
        </w:rPr>
        <w:t>ORR</w:t>
      </w:r>
      <w:r>
        <w:rPr>
          <w:rFonts w:ascii="Times New Roman" w:hAnsi="Times New Roman" w:cs="Times New Roman"/>
        </w:rPr>
        <w:t>升高的关联趋势，但未达统计学显著性（</w:t>
      </w:r>
      <w:r w:rsidRPr="00932EBB">
        <w:rPr>
          <w:rFonts w:ascii="Times New Roman" w:hAnsi="Times New Roman" w:cs="Times New Roman"/>
        </w:rPr>
        <w:t>OR</w:t>
      </w:r>
      <w:r>
        <w:rPr>
          <w:rFonts w:ascii="Times New Roman" w:hAnsi="Times New Roman" w:cs="Times New Roman"/>
        </w:rPr>
        <w:t>=</w:t>
      </w:r>
      <w:r w:rsidRPr="00932EBB">
        <w:rPr>
          <w:rFonts w:ascii="Times New Roman" w:hAnsi="Times New Roman" w:cs="Times New Roman"/>
        </w:rPr>
        <w:t>4</w:t>
      </w:r>
      <w:r>
        <w:rPr>
          <w:rFonts w:ascii="Times New Roman" w:hAnsi="Times New Roman" w:cs="Times New Roman"/>
        </w:rPr>
        <w:t>.</w:t>
      </w:r>
      <w:r w:rsidRPr="00932EBB">
        <w:rPr>
          <w:rFonts w:ascii="Times New Roman" w:hAnsi="Times New Roman" w:cs="Times New Roman"/>
        </w:rPr>
        <w:t>67</w:t>
      </w:r>
      <w:r>
        <w:rPr>
          <w:rFonts w:ascii="Times New Roman" w:hAnsi="Times New Roman" w:cs="Times New Roman"/>
        </w:rPr>
        <w:t>，</w:t>
      </w:r>
      <w:r w:rsidRPr="00932EBB">
        <w:rPr>
          <w:rFonts w:ascii="Times New Roman" w:hAnsi="Times New Roman" w:cs="Times New Roman"/>
        </w:rPr>
        <w:t>P</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088</w:t>
      </w:r>
      <w:r>
        <w:rPr>
          <w:rFonts w:ascii="Times New Roman" w:hAnsi="Times New Roman" w:cs="Times New Roman"/>
        </w:rPr>
        <w:t>）；</w:t>
      </w:r>
      <w:r w:rsidRPr="00932EBB">
        <w:rPr>
          <w:rFonts w:ascii="Times New Roman" w:hAnsi="Times New Roman" w:cs="Times New Roman"/>
        </w:rPr>
        <w:t>EGFR</w:t>
      </w:r>
      <w:r>
        <w:rPr>
          <w:rFonts w:ascii="Times New Roman" w:hAnsi="Times New Roman" w:cs="Times New Roman"/>
        </w:rPr>
        <w:t>表达状态与</w:t>
      </w:r>
      <w:r w:rsidRPr="00932EBB">
        <w:rPr>
          <w:rFonts w:ascii="Times New Roman" w:hAnsi="Times New Roman" w:cs="Times New Roman"/>
        </w:rPr>
        <w:t>ORR</w:t>
      </w:r>
      <w:r>
        <w:rPr>
          <w:rFonts w:ascii="Times New Roman" w:hAnsi="Times New Roman" w:cs="Times New Roman"/>
        </w:rPr>
        <w:t>亦未观察到显著相关性（见</w:t>
      </w:r>
      <w:r w:rsidRPr="00932EBB">
        <w:rPr>
          <w:rFonts w:ascii="Times New Roman" w:hAnsi="Times New Roman" w:cs="Times New Roman"/>
        </w:rPr>
        <w:t>Table</w:t>
      </w:r>
      <w:r>
        <w:rPr>
          <w:rFonts w:ascii="Times New Roman" w:hAnsi="Times New Roman" w:cs="Times New Roman"/>
        </w:rPr>
        <w:t xml:space="preserve"> </w:t>
      </w:r>
      <w:r w:rsidRPr="00932EBB">
        <w:rPr>
          <w:rFonts w:ascii="Times New Roman" w:hAnsi="Times New Roman" w:cs="Times New Roman"/>
        </w:rPr>
        <w:t>4</w:t>
      </w:r>
      <w:r>
        <w:rPr>
          <w:rFonts w:ascii="Times New Roman" w:hAnsi="Times New Roman" w:cs="Times New Roman"/>
        </w:rPr>
        <w:t>）。</w:t>
      </w:r>
    </w:p>
    <w:p w14:paraId="439761A1" w14:textId="77777777" w:rsidR="00D606CB" w:rsidRDefault="00000000">
      <w:pPr>
        <w:pStyle w:val="2"/>
        <w:rPr>
          <w:rFonts w:ascii="Times New Roman" w:eastAsia="宋体" w:hAnsi="Times New Roman" w:cs="Times New Roman"/>
          <w:b/>
          <w:bCs/>
          <w:color w:val="auto"/>
          <w:sz w:val="18"/>
          <w:szCs w:val="18"/>
        </w:rPr>
      </w:pPr>
      <w:r w:rsidRPr="00932EBB">
        <w:rPr>
          <w:rFonts w:ascii="Times New Roman" w:eastAsia="宋体" w:hAnsi="Times New Roman" w:cs="Times New Roman"/>
          <w:b/>
          <w:bCs/>
          <w:color w:val="auto"/>
          <w:sz w:val="18"/>
          <w:szCs w:val="18"/>
        </w:rPr>
        <w:t>Table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hint="eastAsia"/>
          <w:b/>
          <w:bCs/>
          <w:color w:val="auto"/>
          <w:sz w:val="18"/>
          <w:szCs w:val="18"/>
        </w:rPr>
        <w:t>4</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Multivariable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logistic</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regression</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for</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ORR</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in</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the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PSM</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cohort</w:t>
      </w:r>
    </w:p>
    <w:tbl>
      <w:tblPr>
        <w:tblW w:w="0" w:type="auto"/>
        <w:tblBorders>
          <w:top w:val="single" w:sz="12" w:space="0" w:color="auto"/>
          <w:bottom w:val="single" w:sz="12" w:space="0" w:color="auto"/>
        </w:tblBorders>
        <w:tblLook w:val="04A0" w:firstRow="1" w:lastRow="0" w:firstColumn="1" w:lastColumn="0" w:noHBand="0" w:noVBand="1"/>
      </w:tblPr>
      <w:tblGrid>
        <w:gridCol w:w="2125"/>
        <w:gridCol w:w="2116"/>
        <w:gridCol w:w="1970"/>
        <w:gridCol w:w="2095"/>
      </w:tblGrid>
      <w:tr w:rsidR="000014CB" w:rsidRPr="00B90BC5" w14:paraId="707B2AE3" w14:textId="77777777" w:rsidTr="0064688D">
        <w:tc>
          <w:tcPr>
            <w:tcW w:w="2125" w:type="dxa"/>
            <w:tcBorders>
              <w:top w:val="single" w:sz="12" w:space="0" w:color="auto"/>
              <w:bottom w:val="single" w:sz="6" w:space="0" w:color="auto"/>
            </w:tcBorders>
          </w:tcPr>
          <w:p w14:paraId="3754228F" w14:textId="7B7C83C9" w:rsidR="000014CB" w:rsidRPr="00B90BC5" w:rsidRDefault="000014CB" w:rsidP="0064688D">
            <w:pPr>
              <w:rPr>
                <w:rFonts w:ascii="Times New Roman" w:eastAsia="宋体" w:hAnsi="Times New Roman" w:cs="Times New Roman"/>
                <w:sz w:val="18"/>
                <w:szCs w:val="18"/>
              </w:rPr>
            </w:pPr>
            <w:r w:rsidRPr="00C05265">
              <w:rPr>
                <w:rFonts w:ascii="Times New Roman" w:eastAsia="宋体" w:hAnsi="Times New Roman" w:cs="Times New Roman"/>
                <w:color w:val="000000"/>
                <w:sz w:val="18"/>
                <w:szCs w:val="18"/>
              </w:rPr>
              <w:t>Variable</w:t>
            </w:r>
          </w:p>
        </w:tc>
        <w:tc>
          <w:tcPr>
            <w:tcW w:w="2116" w:type="dxa"/>
            <w:tcBorders>
              <w:top w:val="single" w:sz="12" w:space="0" w:color="auto"/>
              <w:bottom w:val="single" w:sz="6" w:space="0" w:color="auto"/>
            </w:tcBorders>
          </w:tcPr>
          <w:p w14:paraId="31BE9E31"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OR (95% CI)</w:t>
            </w:r>
          </w:p>
        </w:tc>
        <w:tc>
          <w:tcPr>
            <w:tcW w:w="1970" w:type="dxa"/>
            <w:tcBorders>
              <w:bottom w:val="single" w:sz="6" w:space="0" w:color="auto"/>
            </w:tcBorders>
          </w:tcPr>
          <w:p w14:paraId="78C79A42" w14:textId="77777777" w:rsidR="000014CB" w:rsidRPr="00B90BC5" w:rsidRDefault="000014CB" w:rsidP="0064688D">
            <w:pPr>
              <w:rPr>
                <w:rFonts w:ascii="Times New Roman" w:eastAsia="宋体" w:hAnsi="Times New Roman" w:cs="Times New Roman"/>
                <w:sz w:val="18"/>
                <w:szCs w:val="18"/>
              </w:rPr>
            </w:pPr>
            <w:r w:rsidRPr="00224809">
              <w:rPr>
                <w:rFonts w:ascii="Times New Roman" w:eastAsia="宋体" w:hAnsi="Times New Roman" w:cs="Times New Roman"/>
                <w:color w:val="000000"/>
                <w:sz w:val="18"/>
                <w:szCs w:val="18"/>
              </w:rPr>
              <w:t>Wald χ²</w:t>
            </w:r>
          </w:p>
        </w:tc>
        <w:tc>
          <w:tcPr>
            <w:tcW w:w="2095" w:type="dxa"/>
            <w:tcBorders>
              <w:top w:val="single" w:sz="12" w:space="0" w:color="auto"/>
              <w:bottom w:val="single" w:sz="6" w:space="0" w:color="auto"/>
            </w:tcBorders>
          </w:tcPr>
          <w:p w14:paraId="1C75DBBA" w14:textId="294EE31E" w:rsidR="000014CB" w:rsidRPr="00B90BC5" w:rsidRDefault="000F3B9C" w:rsidP="0064688D">
            <w:pPr>
              <w:rPr>
                <w:rFonts w:ascii="Times New Roman" w:eastAsia="宋体" w:hAnsi="Times New Roman" w:cs="Times New Roman"/>
                <w:sz w:val="18"/>
                <w:szCs w:val="18"/>
              </w:rPr>
            </w:pPr>
            <w:r w:rsidRPr="000F3B9C">
              <w:rPr>
                <w:rFonts w:ascii="Times New Roman" w:eastAsia="宋体" w:hAnsi="Times New Roman" w:cs="Times New Roman"/>
                <w:sz w:val="18"/>
                <w:szCs w:val="18"/>
              </w:rPr>
              <w:t>P value</w:t>
            </w:r>
          </w:p>
        </w:tc>
      </w:tr>
      <w:tr w:rsidR="000014CB" w:rsidRPr="00B90BC5" w14:paraId="7BA62112" w14:textId="77777777" w:rsidTr="0064688D">
        <w:tc>
          <w:tcPr>
            <w:tcW w:w="2125" w:type="dxa"/>
            <w:tcBorders>
              <w:top w:val="single" w:sz="6" w:space="0" w:color="auto"/>
            </w:tcBorders>
          </w:tcPr>
          <w:p w14:paraId="402928C5"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Group (ICIT vs IC)</w:t>
            </w:r>
          </w:p>
        </w:tc>
        <w:tc>
          <w:tcPr>
            <w:tcW w:w="2116" w:type="dxa"/>
            <w:tcBorders>
              <w:top w:val="single" w:sz="6" w:space="0" w:color="auto"/>
            </w:tcBorders>
          </w:tcPr>
          <w:p w14:paraId="060DF366"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4.84 (0.50–46.89)</w:t>
            </w:r>
          </w:p>
        </w:tc>
        <w:tc>
          <w:tcPr>
            <w:tcW w:w="1970" w:type="dxa"/>
            <w:tcBorders>
              <w:top w:val="single" w:sz="6" w:space="0" w:color="auto"/>
            </w:tcBorders>
          </w:tcPr>
          <w:p w14:paraId="603F3DC2" w14:textId="77777777" w:rsidR="000014CB" w:rsidRPr="00B90BC5" w:rsidRDefault="000014CB" w:rsidP="0064688D">
            <w:pPr>
              <w:rPr>
                <w:rFonts w:ascii="Times New Roman" w:eastAsia="宋体" w:hAnsi="Times New Roman" w:cs="Times New Roman"/>
                <w:sz w:val="18"/>
                <w:szCs w:val="18"/>
              </w:rPr>
            </w:pPr>
            <w:r w:rsidRPr="00A460EA">
              <w:rPr>
                <w:rFonts w:ascii="Times New Roman" w:eastAsia="宋体" w:hAnsi="Times New Roman" w:cs="Times New Roman"/>
                <w:sz w:val="18"/>
                <w:szCs w:val="18"/>
              </w:rPr>
              <w:t>1.853</w:t>
            </w:r>
          </w:p>
        </w:tc>
        <w:tc>
          <w:tcPr>
            <w:tcW w:w="2095" w:type="dxa"/>
            <w:tcBorders>
              <w:top w:val="single" w:sz="6" w:space="0" w:color="auto"/>
            </w:tcBorders>
          </w:tcPr>
          <w:p w14:paraId="75313409"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0.174</w:t>
            </w:r>
          </w:p>
        </w:tc>
      </w:tr>
      <w:tr w:rsidR="000014CB" w:rsidRPr="00B90BC5" w14:paraId="408CFCB0" w14:textId="77777777" w:rsidTr="0064688D">
        <w:tc>
          <w:tcPr>
            <w:tcW w:w="2125" w:type="dxa"/>
          </w:tcPr>
          <w:p w14:paraId="2F4FADA5"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PD-L1</w:t>
            </w:r>
            <w:r w:rsidRPr="00B90BC5">
              <w:rPr>
                <w:rFonts w:ascii="Times New Roman" w:eastAsia="宋体" w:hAnsi="Times New Roman" w:cs="Times New Roman" w:hint="eastAsia"/>
                <w:sz w:val="18"/>
                <w:szCs w:val="18"/>
              </w:rPr>
              <w:t xml:space="preserve"> CPS</w:t>
            </w:r>
            <w:r w:rsidRPr="00B90BC5">
              <w:rPr>
                <w:rFonts w:ascii="Times New Roman" w:eastAsia="宋体" w:hAnsi="Times New Roman" w:cs="Times New Roman"/>
                <w:sz w:val="18"/>
                <w:szCs w:val="18"/>
              </w:rPr>
              <w:t xml:space="preserve"> (≥20% vs &lt;20%)</w:t>
            </w:r>
          </w:p>
        </w:tc>
        <w:tc>
          <w:tcPr>
            <w:tcW w:w="2116" w:type="dxa"/>
          </w:tcPr>
          <w:p w14:paraId="1EC56165"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4.67 (0.80–27.36)</w:t>
            </w:r>
          </w:p>
        </w:tc>
        <w:tc>
          <w:tcPr>
            <w:tcW w:w="1970" w:type="dxa"/>
          </w:tcPr>
          <w:p w14:paraId="153619FD" w14:textId="77777777" w:rsidR="000014CB" w:rsidRPr="00B90BC5" w:rsidRDefault="000014CB" w:rsidP="0064688D">
            <w:pPr>
              <w:rPr>
                <w:rFonts w:ascii="Times New Roman" w:eastAsia="宋体" w:hAnsi="Times New Roman" w:cs="Times New Roman"/>
                <w:sz w:val="18"/>
                <w:szCs w:val="18"/>
              </w:rPr>
            </w:pPr>
            <w:r w:rsidRPr="00A460EA">
              <w:rPr>
                <w:rFonts w:ascii="Times New Roman" w:eastAsia="宋体" w:hAnsi="Times New Roman" w:cs="Times New Roman" w:hint="eastAsia"/>
                <w:sz w:val="18"/>
                <w:szCs w:val="18"/>
              </w:rPr>
              <w:t>2.925</w:t>
            </w:r>
          </w:p>
        </w:tc>
        <w:tc>
          <w:tcPr>
            <w:tcW w:w="2095" w:type="dxa"/>
          </w:tcPr>
          <w:p w14:paraId="578FBE86"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0.088</w:t>
            </w:r>
          </w:p>
        </w:tc>
      </w:tr>
      <w:tr w:rsidR="000014CB" w:rsidRPr="00B90BC5" w14:paraId="4AE950B7" w14:textId="77777777" w:rsidTr="0064688D">
        <w:tc>
          <w:tcPr>
            <w:tcW w:w="2125" w:type="dxa"/>
          </w:tcPr>
          <w:p w14:paraId="7BC6B5E3"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EGFR (+++ vs -/+/++)</w:t>
            </w:r>
          </w:p>
        </w:tc>
        <w:tc>
          <w:tcPr>
            <w:tcW w:w="2116" w:type="dxa"/>
          </w:tcPr>
          <w:p w14:paraId="113CD063"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1.25 (0.18–8.70)</w:t>
            </w:r>
          </w:p>
        </w:tc>
        <w:tc>
          <w:tcPr>
            <w:tcW w:w="1970" w:type="dxa"/>
          </w:tcPr>
          <w:p w14:paraId="65131072" w14:textId="77777777" w:rsidR="000014CB" w:rsidRPr="00B90BC5" w:rsidRDefault="000014CB" w:rsidP="0064688D">
            <w:pPr>
              <w:rPr>
                <w:rFonts w:ascii="Times New Roman" w:eastAsia="宋体" w:hAnsi="Times New Roman" w:cs="Times New Roman"/>
                <w:sz w:val="18"/>
                <w:szCs w:val="18"/>
              </w:rPr>
            </w:pPr>
            <w:r w:rsidRPr="00A460EA">
              <w:rPr>
                <w:rFonts w:ascii="Times New Roman" w:eastAsia="宋体" w:hAnsi="Times New Roman" w:cs="Times New Roman" w:hint="eastAsia"/>
                <w:sz w:val="18"/>
                <w:szCs w:val="18"/>
              </w:rPr>
              <w:t>0.051</w:t>
            </w:r>
          </w:p>
        </w:tc>
        <w:tc>
          <w:tcPr>
            <w:tcW w:w="2095" w:type="dxa"/>
          </w:tcPr>
          <w:p w14:paraId="276AE53E" w14:textId="77777777" w:rsidR="000014CB" w:rsidRPr="00B90BC5" w:rsidRDefault="000014CB"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0.823</w:t>
            </w:r>
          </w:p>
        </w:tc>
      </w:tr>
    </w:tbl>
    <w:p w14:paraId="73CA6A79" w14:textId="77777777" w:rsidR="000014CB" w:rsidRPr="00B90BC5" w:rsidRDefault="000014CB" w:rsidP="000014CB">
      <w:pPr>
        <w:rPr>
          <w:rFonts w:ascii="Times New Roman" w:eastAsia="宋体" w:hAnsi="Times New Roman" w:cs="Times New Roman"/>
          <w:sz w:val="18"/>
          <w:szCs w:val="18"/>
        </w:rPr>
      </w:pPr>
      <w:r w:rsidRPr="00B90BC5">
        <w:rPr>
          <w:rFonts w:ascii="Times New Roman" w:eastAsia="宋体" w:hAnsi="Times New Roman" w:cs="Times New Roman"/>
          <w:sz w:val="18"/>
          <w:szCs w:val="18"/>
        </w:rPr>
        <w:t>Abbreviations: OR, odds ratio; CI, confidence interval</w:t>
      </w:r>
    </w:p>
    <w:p w14:paraId="35192ED2" w14:textId="77777777" w:rsidR="00D606CB" w:rsidRPr="000014CB" w:rsidRDefault="00D606CB">
      <w:pPr>
        <w:rPr>
          <w:rFonts w:ascii="Times New Roman" w:eastAsia="宋体" w:hAnsi="Times New Roman" w:cs="Times New Roman"/>
          <w:sz w:val="18"/>
          <w:szCs w:val="18"/>
        </w:rPr>
      </w:pPr>
    </w:p>
    <w:p w14:paraId="222609C7" w14:textId="68D6E817" w:rsidR="00D606CB" w:rsidRDefault="00000000">
      <w:pPr>
        <w:pStyle w:val="a9"/>
        <w:adjustRightInd w:val="0"/>
        <w:snapToGrid w:val="0"/>
        <w:spacing w:before="0" w:beforeAutospacing="0" w:line="360" w:lineRule="auto"/>
        <w:rPr>
          <w:rFonts w:ascii="Times New Roman" w:hAnsi="Times New Roman"/>
        </w:rPr>
      </w:pPr>
      <w:r w:rsidRPr="00932EBB">
        <w:rPr>
          <w:rFonts w:ascii="Times New Roman" w:hAnsi="Times New Roman" w:hint="eastAsia"/>
          <w:b/>
          <w:bCs/>
        </w:rPr>
        <w:t>2</w:t>
      </w:r>
      <w:r>
        <w:rPr>
          <w:rFonts w:ascii="Times New Roman" w:hAnsi="Times New Roman" w:hint="eastAsia"/>
          <w:b/>
          <w:bCs/>
        </w:rPr>
        <w:t>.</w:t>
      </w:r>
      <w:r w:rsidR="00D52B88">
        <w:rPr>
          <w:rFonts w:ascii="Times New Roman" w:hAnsi="Times New Roman" w:hint="eastAsia"/>
          <w:b/>
          <w:bCs/>
        </w:rPr>
        <w:t>6</w:t>
      </w:r>
      <w:r>
        <w:rPr>
          <w:rFonts w:ascii="Times New Roman" w:hAnsi="Times New Roman" w:hint="eastAsia"/>
          <w:b/>
          <w:bCs/>
        </w:rPr>
        <w:t>亚组分析</w:t>
      </w:r>
    </w:p>
    <w:p w14:paraId="2851E8D1" w14:textId="77777777" w:rsidR="00D606CB" w:rsidRDefault="00000000">
      <w:pPr>
        <w:pStyle w:val="a9"/>
        <w:adjustRightInd w:val="0"/>
        <w:snapToGrid w:val="0"/>
        <w:spacing w:before="0" w:beforeAutospacing="0" w:line="360" w:lineRule="auto"/>
        <w:ind w:firstLineChars="200" w:firstLine="480"/>
        <w:rPr>
          <w:rFonts w:ascii="Times New Roman" w:hAnsi="Times New Roman"/>
        </w:rPr>
      </w:pPr>
      <w:r>
        <w:rPr>
          <w:rFonts w:ascii="Times New Roman" w:hAnsi="Times New Roman"/>
        </w:rPr>
        <w:t>亚组分析显示，在大多数预设亚组中，</w:t>
      </w:r>
      <w:r w:rsidRPr="00932EBB">
        <w:rPr>
          <w:rFonts w:ascii="Times New Roman" w:hAnsi="Times New Roman"/>
        </w:rPr>
        <w:t>ICIT</w:t>
      </w:r>
      <w:r>
        <w:rPr>
          <w:rFonts w:ascii="Times New Roman" w:hAnsi="Times New Roman"/>
        </w:rPr>
        <w:t>组的</w:t>
      </w:r>
      <w:r w:rsidRPr="00932EBB">
        <w:rPr>
          <w:rFonts w:ascii="Times New Roman" w:hAnsi="Times New Roman"/>
        </w:rPr>
        <w:t>ORR</w:t>
      </w:r>
      <w:r>
        <w:rPr>
          <w:rFonts w:ascii="Times New Roman" w:hAnsi="Times New Roman"/>
        </w:rPr>
        <w:t>数值均高于</w:t>
      </w:r>
      <w:r w:rsidRPr="00932EBB">
        <w:rPr>
          <w:rFonts w:ascii="Times New Roman" w:hAnsi="Times New Roman"/>
        </w:rPr>
        <w:t>IC</w:t>
      </w:r>
      <w:r>
        <w:rPr>
          <w:rFonts w:ascii="Times New Roman" w:hAnsi="Times New Roman"/>
        </w:rPr>
        <w:t>组（</w:t>
      </w:r>
      <w:r w:rsidRPr="00932EBB">
        <w:rPr>
          <w:rFonts w:ascii="Times New Roman" w:hAnsi="Times New Roman"/>
        </w:rPr>
        <w:t>OR</w:t>
      </w:r>
      <w:r>
        <w:rPr>
          <w:rFonts w:ascii="Times New Roman" w:hAnsi="Times New Roman"/>
        </w:rPr>
        <w:t>&gt;</w:t>
      </w:r>
      <w:r w:rsidRPr="00932EBB">
        <w:rPr>
          <w:rFonts w:ascii="Times New Roman" w:hAnsi="Times New Roman"/>
        </w:rPr>
        <w:t>1</w:t>
      </w:r>
      <w:r>
        <w:rPr>
          <w:rFonts w:ascii="Times New Roman" w:hAnsi="Times New Roman"/>
        </w:rPr>
        <w:t>）。其中，在</w:t>
      </w:r>
      <w:r w:rsidRPr="00932EBB">
        <w:rPr>
          <w:rFonts w:ascii="Times New Roman" w:hAnsi="Times New Roman"/>
        </w:rPr>
        <w:t>T3</w:t>
      </w:r>
      <w:r>
        <w:rPr>
          <w:rFonts w:ascii="Times New Roman" w:hAnsi="Times New Roman"/>
        </w:rPr>
        <w:t>–</w:t>
      </w:r>
      <w:r w:rsidRPr="00932EBB">
        <w:rPr>
          <w:rFonts w:ascii="Times New Roman" w:hAnsi="Times New Roman"/>
        </w:rPr>
        <w:t>4</w:t>
      </w:r>
      <w:r>
        <w:rPr>
          <w:rFonts w:ascii="Times New Roman" w:hAnsi="Times New Roman"/>
        </w:rPr>
        <w:t>期（</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021</w:t>
      </w:r>
      <w:r>
        <w:rPr>
          <w:rFonts w:ascii="Times New Roman" w:hAnsi="Times New Roman"/>
        </w:rPr>
        <w:t>）、</w:t>
      </w:r>
      <w:r w:rsidRPr="00932EBB">
        <w:rPr>
          <w:rFonts w:ascii="Times New Roman" w:hAnsi="Times New Roman"/>
        </w:rPr>
        <w:t>N2</w:t>
      </w:r>
      <w:r>
        <w:rPr>
          <w:rFonts w:ascii="Times New Roman" w:hAnsi="Times New Roman"/>
        </w:rPr>
        <w:t>–</w:t>
      </w:r>
      <w:r w:rsidRPr="00932EBB">
        <w:rPr>
          <w:rFonts w:ascii="Times New Roman" w:hAnsi="Times New Roman"/>
        </w:rPr>
        <w:t>3</w:t>
      </w:r>
      <w:r>
        <w:rPr>
          <w:rFonts w:ascii="Times New Roman" w:hAnsi="Times New Roman"/>
        </w:rPr>
        <w:t>期（</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049</w:t>
      </w:r>
      <w:r>
        <w:rPr>
          <w:rFonts w:ascii="Times New Roman" w:hAnsi="Times New Roman"/>
        </w:rPr>
        <w:t>）及无结外侵犯</w:t>
      </w:r>
      <w:r>
        <w:rPr>
          <w:rFonts w:ascii="Times New Roman" w:hAnsi="Times New Roman"/>
        </w:rPr>
        <w:lastRenderedPageBreak/>
        <w:t>（</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023</w:t>
      </w:r>
      <w:r>
        <w:rPr>
          <w:rFonts w:ascii="Times New Roman" w:hAnsi="Times New Roman"/>
        </w:rPr>
        <w:t>）的患者中，</w:t>
      </w:r>
      <w:r w:rsidRPr="00932EBB">
        <w:rPr>
          <w:rFonts w:ascii="Times New Roman" w:hAnsi="Times New Roman"/>
        </w:rPr>
        <w:t>ICIT</w:t>
      </w:r>
      <w:r>
        <w:rPr>
          <w:rFonts w:ascii="Times New Roman" w:hAnsi="Times New Roman"/>
        </w:rPr>
        <w:t>组的</w:t>
      </w:r>
      <w:r w:rsidRPr="00932EBB">
        <w:rPr>
          <w:rFonts w:ascii="Times New Roman" w:hAnsi="Times New Roman"/>
        </w:rPr>
        <w:t>ORR</w:t>
      </w:r>
      <w:r>
        <w:rPr>
          <w:rFonts w:ascii="Times New Roman" w:hAnsi="Times New Roman"/>
        </w:rPr>
        <w:t>显著高于</w:t>
      </w:r>
      <w:r w:rsidRPr="00932EBB">
        <w:rPr>
          <w:rFonts w:ascii="Times New Roman" w:hAnsi="Times New Roman"/>
        </w:rPr>
        <w:t>IC</w:t>
      </w:r>
      <w:r>
        <w:rPr>
          <w:rFonts w:ascii="Times New Roman" w:hAnsi="Times New Roman"/>
        </w:rPr>
        <w:t>组。其余亚组差异未达到统计学显著性（见</w:t>
      </w:r>
      <w:r w:rsidRPr="00932EBB">
        <w:rPr>
          <w:rFonts w:ascii="Times New Roman" w:hAnsi="Times New Roman"/>
        </w:rPr>
        <w:t>Table</w:t>
      </w:r>
      <w:r>
        <w:rPr>
          <w:rFonts w:ascii="Times New Roman" w:hAnsi="Times New Roman"/>
        </w:rPr>
        <w:t xml:space="preserve"> </w:t>
      </w:r>
      <w:r w:rsidRPr="00932EBB">
        <w:rPr>
          <w:rFonts w:ascii="Times New Roman" w:hAnsi="Times New Roman"/>
        </w:rPr>
        <w:t>5</w:t>
      </w:r>
      <w:r>
        <w:rPr>
          <w:rFonts w:ascii="Times New Roman" w:hAnsi="Times New Roman"/>
        </w:rPr>
        <w:t>）。</w:t>
      </w:r>
    </w:p>
    <w:p w14:paraId="3F0710B5" w14:textId="77777777" w:rsidR="00D606CB" w:rsidRDefault="00000000">
      <w:pPr>
        <w:pStyle w:val="2"/>
        <w:rPr>
          <w:rFonts w:ascii="Times New Roman" w:eastAsia="宋体" w:hAnsi="Times New Roman" w:cs="Times New Roman"/>
          <w:b/>
          <w:bCs/>
          <w:color w:val="auto"/>
          <w:sz w:val="18"/>
          <w:szCs w:val="18"/>
        </w:rPr>
      </w:pPr>
      <w:r w:rsidRPr="00932EBB">
        <w:rPr>
          <w:rFonts w:ascii="Times New Roman" w:eastAsia="宋体" w:hAnsi="Times New Roman" w:cs="Times New Roman"/>
          <w:b/>
          <w:bCs/>
          <w:color w:val="auto"/>
          <w:sz w:val="18"/>
          <w:szCs w:val="18"/>
        </w:rPr>
        <w:t>Table</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hint="eastAsia"/>
          <w:b/>
          <w:bCs/>
          <w:color w:val="auto"/>
          <w:sz w:val="18"/>
          <w:szCs w:val="18"/>
        </w:rPr>
        <w:t>5</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Subgroup</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analysis</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of</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ORR</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after</w:t>
      </w:r>
      <w:r>
        <w:rPr>
          <w:rFonts w:ascii="Times New Roman" w:eastAsia="宋体" w:hAnsi="Times New Roman" w:cs="Times New Roman"/>
          <w:b/>
          <w:bCs/>
          <w:color w:val="auto"/>
          <w:sz w:val="18"/>
          <w:szCs w:val="18"/>
        </w:rPr>
        <w:t xml:space="preserve"> </w:t>
      </w:r>
      <w:r w:rsidRPr="00932EBB">
        <w:rPr>
          <w:rFonts w:ascii="Times New Roman" w:eastAsia="宋体" w:hAnsi="Times New Roman" w:cs="Times New Roman"/>
          <w:b/>
          <w:bCs/>
          <w:color w:val="auto"/>
          <w:sz w:val="18"/>
          <w:szCs w:val="18"/>
        </w:rPr>
        <w:t>PSM</w:t>
      </w:r>
    </w:p>
    <w:tbl>
      <w:tblPr>
        <w:tblW w:w="0" w:type="auto"/>
        <w:tblBorders>
          <w:top w:val="single" w:sz="6" w:space="0" w:color="auto"/>
          <w:bottom w:val="single" w:sz="6" w:space="0" w:color="auto"/>
        </w:tblBorders>
        <w:tblLook w:val="04A0" w:firstRow="1" w:lastRow="0" w:firstColumn="1" w:lastColumn="0" w:noHBand="0" w:noVBand="1"/>
      </w:tblPr>
      <w:tblGrid>
        <w:gridCol w:w="1418"/>
        <w:gridCol w:w="1374"/>
        <w:gridCol w:w="1388"/>
        <w:gridCol w:w="1388"/>
        <w:gridCol w:w="1376"/>
        <w:gridCol w:w="1362"/>
      </w:tblGrid>
      <w:tr w:rsidR="00255627" w:rsidRPr="00B90BC5" w14:paraId="2B6C8218" w14:textId="77777777" w:rsidTr="0064688D">
        <w:tc>
          <w:tcPr>
            <w:tcW w:w="1440" w:type="dxa"/>
            <w:tcBorders>
              <w:top w:val="single" w:sz="12" w:space="0" w:color="auto"/>
              <w:bottom w:val="single" w:sz="6" w:space="0" w:color="auto"/>
            </w:tcBorders>
          </w:tcPr>
          <w:p w14:paraId="3F34154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Characteristic</w:t>
            </w:r>
          </w:p>
        </w:tc>
        <w:tc>
          <w:tcPr>
            <w:tcW w:w="1440" w:type="dxa"/>
            <w:tcBorders>
              <w:top w:val="single" w:sz="12" w:space="0" w:color="auto"/>
              <w:bottom w:val="single" w:sz="6" w:space="0" w:color="auto"/>
            </w:tcBorders>
          </w:tcPr>
          <w:p w14:paraId="4C2233A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Level</w:t>
            </w:r>
          </w:p>
        </w:tc>
        <w:tc>
          <w:tcPr>
            <w:tcW w:w="1440" w:type="dxa"/>
            <w:tcBorders>
              <w:top w:val="single" w:sz="12" w:space="0" w:color="auto"/>
              <w:bottom w:val="single" w:sz="6" w:space="0" w:color="auto"/>
            </w:tcBorders>
          </w:tcPr>
          <w:p w14:paraId="57240068" w14:textId="77777777" w:rsidR="00255627" w:rsidRPr="00B90BC5" w:rsidRDefault="00255627" w:rsidP="0064688D">
            <w:pPr>
              <w:ind w:firstLineChars="100" w:firstLine="180"/>
              <w:rPr>
                <w:rFonts w:ascii="Times New Roman" w:eastAsia="宋体" w:hAnsi="Times New Roman" w:cs="Times New Roman"/>
                <w:sz w:val="18"/>
                <w:szCs w:val="18"/>
              </w:rPr>
            </w:pPr>
            <w:r w:rsidRPr="00B90BC5">
              <w:rPr>
                <w:rFonts w:ascii="Times New Roman" w:eastAsia="宋体" w:hAnsi="Times New Roman" w:cs="Times New Roman"/>
                <w:sz w:val="18"/>
                <w:szCs w:val="18"/>
              </w:rPr>
              <w:t>IC</w:t>
            </w:r>
          </w:p>
        </w:tc>
        <w:tc>
          <w:tcPr>
            <w:tcW w:w="1440" w:type="dxa"/>
            <w:tcBorders>
              <w:top w:val="single" w:sz="12" w:space="0" w:color="auto"/>
              <w:bottom w:val="single" w:sz="6" w:space="0" w:color="auto"/>
            </w:tcBorders>
          </w:tcPr>
          <w:p w14:paraId="1B3069DA" w14:textId="77777777" w:rsidR="00255627" w:rsidRPr="00B90BC5" w:rsidRDefault="00255627" w:rsidP="0064688D">
            <w:pPr>
              <w:ind w:firstLineChars="100" w:firstLine="180"/>
              <w:rPr>
                <w:rFonts w:ascii="Times New Roman" w:eastAsia="宋体" w:hAnsi="Times New Roman" w:cs="Times New Roman"/>
                <w:sz w:val="18"/>
                <w:szCs w:val="18"/>
              </w:rPr>
            </w:pPr>
            <w:r w:rsidRPr="00B90BC5">
              <w:rPr>
                <w:rFonts w:ascii="Times New Roman" w:eastAsia="宋体" w:hAnsi="Times New Roman" w:cs="Times New Roman"/>
                <w:sz w:val="18"/>
                <w:szCs w:val="18"/>
              </w:rPr>
              <w:t>ICIT</w:t>
            </w:r>
          </w:p>
        </w:tc>
        <w:tc>
          <w:tcPr>
            <w:tcW w:w="1440" w:type="dxa"/>
            <w:tcBorders>
              <w:top w:val="single" w:sz="12" w:space="0" w:color="auto"/>
              <w:bottom w:val="single" w:sz="6" w:space="0" w:color="auto"/>
            </w:tcBorders>
          </w:tcPr>
          <w:p w14:paraId="2B59A26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OR (95% CI)</w:t>
            </w:r>
          </w:p>
        </w:tc>
        <w:tc>
          <w:tcPr>
            <w:tcW w:w="1440" w:type="dxa"/>
            <w:tcBorders>
              <w:top w:val="single" w:sz="12" w:space="0" w:color="auto"/>
              <w:bottom w:val="single" w:sz="6" w:space="0" w:color="auto"/>
            </w:tcBorders>
          </w:tcPr>
          <w:p w14:paraId="28B7BA2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p-value</w:t>
            </w:r>
          </w:p>
        </w:tc>
      </w:tr>
      <w:tr w:rsidR="00255627" w:rsidRPr="00B90BC5" w14:paraId="290C11F3" w14:textId="77777777" w:rsidTr="0064688D">
        <w:tc>
          <w:tcPr>
            <w:tcW w:w="1440" w:type="dxa"/>
            <w:tcBorders>
              <w:top w:val="single" w:sz="6" w:space="0" w:color="auto"/>
            </w:tcBorders>
          </w:tcPr>
          <w:p w14:paraId="7CC7A11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Age (years)</w:t>
            </w:r>
          </w:p>
        </w:tc>
        <w:tc>
          <w:tcPr>
            <w:tcW w:w="1440" w:type="dxa"/>
            <w:tcBorders>
              <w:top w:val="single" w:sz="6" w:space="0" w:color="auto"/>
            </w:tcBorders>
          </w:tcPr>
          <w:p w14:paraId="117BEF69"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&lt;60</w:t>
            </w:r>
          </w:p>
        </w:tc>
        <w:tc>
          <w:tcPr>
            <w:tcW w:w="1440" w:type="dxa"/>
            <w:tcBorders>
              <w:top w:val="single" w:sz="6" w:space="0" w:color="auto"/>
            </w:tcBorders>
          </w:tcPr>
          <w:p w14:paraId="5A9C52F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18/22 (81.8%)</w:t>
            </w:r>
          </w:p>
        </w:tc>
        <w:tc>
          <w:tcPr>
            <w:tcW w:w="1440" w:type="dxa"/>
            <w:tcBorders>
              <w:top w:val="single" w:sz="6" w:space="0" w:color="auto"/>
            </w:tcBorders>
          </w:tcPr>
          <w:p w14:paraId="3A27433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22/22 (100.0%)</w:t>
            </w:r>
          </w:p>
        </w:tc>
        <w:tc>
          <w:tcPr>
            <w:tcW w:w="1440" w:type="dxa"/>
            <w:tcBorders>
              <w:top w:val="single" w:sz="6" w:space="0" w:color="auto"/>
            </w:tcBorders>
          </w:tcPr>
          <w:p w14:paraId="0F4B6AE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10.95 (0.55–216.77)</w:t>
            </w:r>
          </w:p>
        </w:tc>
        <w:tc>
          <w:tcPr>
            <w:tcW w:w="1440" w:type="dxa"/>
            <w:tcBorders>
              <w:top w:val="single" w:sz="6" w:space="0" w:color="auto"/>
            </w:tcBorders>
          </w:tcPr>
          <w:p w14:paraId="5B500CE8"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0.108</w:t>
            </w:r>
          </w:p>
        </w:tc>
      </w:tr>
      <w:tr w:rsidR="00255627" w:rsidRPr="00B90BC5" w14:paraId="2E141092" w14:textId="77777777" w:rsidTr="0064688D">
        <w:tc>
          <w:tcPr>
            <w:tcW w:w="1440" w:type="dxa"/>
          </w:tcPr>
          <w:p w14:paraId="4F195FCF" w14:textId="77777777" w:rsidR="00255627" w:rsidRPr="00B90BC5" w:rsidRDefault="00255627" w:rsidP="0064688D">
            <w:pPr>
              <w:rPr>
                <w:rFonts w:ascii="Times New Roman" w:eastAsia="宋体" w:hAnsi="Times New Roman" w:cs="Times New Roman"/>
                <w:sz w:val="18"/>
                <w:szCs w:val="18"/>
              </w:rPr>
            </w:pPr>
          </w:p>
        </w:tc>
        <w:tc>
          <w:tcPr>
            <w:tcW w:w="1440" w:type="dxa"/>
          </w:tcPr>
          <w:p w14:paraId="1B7D5B7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≥60</w:t>
            </w:r>
          </w:p>
        </w:tc>
        <w:tc>
          <w:tcPr>
            <w:tcW w:w="1440" w:type="dxa"/>
          </w:tcPr>
          <w:p w14:paraId="3329F6B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6/8 (75.0%)</w:t>
            </w:r>
          </w:p>
        </w:tc>
        <w:tc>
          <w:tcPr>
            <w:tcW w:w="1440" w:type="dxa"/>
          </w:tcPr>
          <w:p w14:paraId="6BE98258"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8/8 (100.0%)</w:t>
            </w:r>
          </w:p>
        </w:tc>
        <w:tc>
          <w:tcPr>
            <w:tcW w:w="1440" w:type="dxa"/>
          </w:tcPr>
          <w:p w14:paraId="783A63F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6.54 (0.27–160.98)</w:t>
            </w:r>
          </w:p>
        </w:tc>
        <w:tc>
          <w:tcPr>
            <w:tcW w:w="1440" w:type="dxa"/>
          </w:tcPr>
          <w:p w14:paraId="7319566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0.467</w:t>
            </w:r>
          </w:p>
        </w:tc>
      </w:tr>
      <w:tr w:rsidR="00255627" w:rsidRPr="00B90BC5" w14:paraId="34736DC8" w14:textId="77777777" w:rsidTr="0064688D">
        <w:tc>
          <w:tcPr>
            <w:tcW w:w="1440" w:type="dxa"/>
          </w:tcPr>
          <w:p w14:paraId="52CC8D9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Sex</w:t>
            </w:r>
          </w:p>
        </w:tc>
        <w:tc>
          <w:tcPr>
            <w:tcW w:w="1440" w:type="dxa"/>
          </w:tcPr>
          <w:p w14:paraId="0C6026C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Female</w:t>
            </w:r>
          </w:p>
        </w:tc>
        <w:tc>
          <w:tcPr>
            <w:tcW w:w="1440" w:type="dxa"/>
          </w:tcPr>
          <w:p w14:paraId="5FBB9899"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8/12 (66.7%)</w:t>
            </w:r>
          </w:p>
        </w:tc>
        <w:tc>
          <w:tcPr>
            <w:tcW w:w="1440" w:type="dxa"/>
          </w:tcPr>
          <w:p w14:paraId="3ADA014B"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8/8 (100.0%)</w:t>
            </w:r>
          </w:p>
        </w:tc>
        <w:tc>
          <w:tcPr>
            <w:tcW w:w="1440" w:type="dxa"/>
          </w:tcPr>
          <w:p w14:paraId="587080AC"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9.00 (0.42–194.38)</w:t>
            </w:r>
          </w:p>
        </w:tc>
        <w:tc>
          <w:tcPr>
            <w:tcW w:w="1440" w:type="dxa"/>
          </w:tcPr>
          <w:p w14:paraId="6F052BEF"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0.117</w:t>
            </w:r>
          </w:p>
        </w:tc>
      </w:tr>
      <w:tr w:rsidR="00255627" w:rsidRPr="00B90BC5" w14:paraId="18B90372" w14:textId="77777777" w:rsidTr="0064688D">
        <w:tc>
          <w:tcPr>
            <w:tcW w:w="1440" w:type="dxa"/>
          </w:tcPr>
          <w:p w14:paraId="4B47522B" w14:textId="77777777" w:rsidR="00255627" w:rsidRPr="00B90BC5" w:rsidRDefault="00255627" w:rsidP="0064688D">
            <w:pPr>
              <w:rPr>
                <w:rFonts w:ascii="Times New Roman" w:eastAsia="宋体" w:hAnsi="Times New Roman" w:cs="Times New Roman"/>
                <w:sz w:val="18"/>
                <w:szCs w:val="18"/>
              </w:rPr>
            </w:pPr>
          </w:p>
        </w:tc>
        <w:tc>
          <w:tcPr>
            <w:tcW w:w="1440" w:type="dxa"/>
          </w:tcPr>
          <w:p w14:paraId="0A282486"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Male</w:t>
            </w:r>
          </w:p>
        </w:tc>
        <w:tc>
          <w:tcPr>
            <w:tcW w:w="1440" w:type="dxa"/>
          </w:tcPr>
          <w:p w14:paraId="410DE78B"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16/18 (88.9%)</w:t>
            </w:r>
          </w:p>
        </w:tc>
        <w:tc>
          <w:tcPr>
            <w:tcW w:w="1440" w:type="dxa"/>
          </w:tcPr>
          <w:p w14:paraId="4D78A88C"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22/22 (100.0%)</w:t>
            </w:r>
          </w:p>
        </w:tc>
        <w:tc>
          <w:tcPr>
            <w:tcW w:w="1440" w:type="dxa"/>
          </w:tcPr>
          <w:p w14:paraId="28E6CFAA"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6.82 (0.31–151.68)</w:t>
            </w:r>
          </w:p>
        </w:tc>
        <w:tc>
          <w:tcPr>
            <w:tcW w:w="1440" w:type="dxa"/>
          </w:tcPr>
          <w:p w14:paraId="39B9673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0.196</w:t>
            </w:r>
          </w:p>
        </w:tc>
      </w:tr>
      <w:tr w:rsidR="00255627" w:rsidRPr="00B90BC5" w14:paraId="376E656F" w14:textId="77777777" w:rsidTr="0064688D">
        <w:tc>
          <w:tcPr>
            <w:tcW w:w="1440" w:type="dxa"/>
          </w:tcPr>
          <w:p w14:paraId="0CC5DFD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T stage</w:t>
            </w:r>
          </w:p>
        </w:tc>
        <w:tc>
          <w:tcPr>
            <w:tcW w:w="1440" w:type="dxa"/>
          </w:tcPr>
          <w:p w14:paraId="1E281FA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T1–2</w:t>
            </w:r>
          </w:p>
        </w:tc>
        <w:tc>
          <w:tcPr>
            <w:tcW w:w="1440" w:type="dxa"/>
          </w:tcPr>
          <w:p w14:paraId="0452410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8/8 (100.0%)</w:t>
            </w:r>
          </w:p>
        </w:tc>
        <w:tc>
          <w:tcPr>
            <w:tcW w:w="1440" w:type="dxa"/>
          </w:tcPr>
          <w:p w14:paraId="62946AD9"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8/8 (100.0%)</w:t>
            </w:r>
          </w:p>
        </w:tc>
        <w:tc>
          <w:tcPr>
            <w:tcW w:w="1440" w:type="dxa"/>
          </w:tcPr>
          <w:p w14:paraId="72D3FC7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1.00 (0.02–56.47)</w:t>
            </w:r>
          </w:p>
        </w:tc>
        <w:tc>
          <w:tcPr>
            <w:tcW w:w="1440" w:type="dxa"/>
          </w:tcPr>
          <w:p w14:paraId="4989682D"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1.000</w:t>
            </w:r>
          </w:p>
        </w:tc>
      </w:tr>
      <w:tr w:rsidR="00255627" w:rsidRPr="00B90BC5" w14:paraId="43F629F6" w14:textId="77777777" w:rsidTr="0064688D">
        <w:tc>
          <w:tcPr>
            <w:tcW w:w="1440" w:type="dxa"/>
          </w:tcPr>
          <w:p w14:paraId="21361A0F" w14:textId="77777777" w:rsidR="00255627" w:rsidRPr="00B90BC5" w:rsidRDefault="00255627" w:rsidP="0064688D">
            <w:pPr>
              <w:rPr>
                <w:rFonts w:ascii="Times New Roman" w:eastAsia="宋体" w:hAnsi="Times New Roman" w:cs="Times New Roman"/>
                <w:sz w:val="18"/>
                <w:szCs w:val="18"/>
              </w:rPr>
            </w:pPr>
          </w:p>
        </w:tc>
        <w:tc>
          <w:tcPr>
            <w:tcW w:w="1440" w:type="dxa"/>
          </w:tcPr>
          <w:p w14:paraId="339276E9"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T3–4</w:t>
            </w:r>
          </w:p>
        </w:tc>
        <w:tc>
          <w:tcPr>
            <w:tcW w:w="1440" w:type="dxa"/>
          </w:tcPr>
          <w:p w14:paraId="14E88ABC"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16/22 (72.7%)</w:t>
            </w:r>
          </w:p>
        </w:tc>
        <w:tc>
          <w:tcPr>
            <w:tcW w:w="1440" w:type="dxa"/>
          </w:tcPr>
          <w:p w14:paraId="381F09B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22/22 (100.0%)</w:t>
            </w:r>
          </w:p>
        </w:tc>
        <w:tc>
          <w:tcPr>
            <w:tcW w:w="1440" w:type="dxa"/>
          </w:tcPr>
          <w:p w14:paraId="19C48CE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17.73 (0.93–337.28)</w:t>
            </w:r>
          </w:p>
        </w:tc>
        <w:tc>
          <w:tcPr>
            <w:tcW w:w="1440" w:type="dxa"/>
          </w:tcPr>
          <w:p w14:paraId="245DF7BF"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0.021</w:t>
            </w:r>
          </w:p>
        </w:tc>
      </w:tr>
      <w:tr w:rsidR="00255627" w:rsidRPr="00B90BC5" w14:paraId="264F49FF" w14:textId="77777777" w:rsidTr="0064688D">
        <w:tc>
          <w:tcPr>
            <w:tcW w:w="1440" w:type="dxa"/>
          </w:tcPr>
          <w:p w14:paraId="55B4987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N stage</w:t>
            </w:r>
          </w:p>
        </w:tc>
        <w:tc>
          <w:tcPr>
            <w:tcW w:w="1440" w:type="dxa"/>
          </w:tcPr>
          <w:p w14:paraId="0C49B56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N0–1</w:t>
            </w:r>
          </w:p>
        </w:tc>
        <w:tc>
          <w:tcPr>
            <w:tcW w:w="1440" w:type="dxa"/>
          </w:tcPr>
          <w:p w14:paraId="02C0A4F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6/7 (85.7%)</w:t>
            </w:r>
          </w:p>
        </w:tc>
        <w:tc>
          <w:tcPr>
            <w:tcW w:w="1440" w:type="dxa"/>
          </w:tcPr>
          <w:p w14:paraId="3385068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7/7 (100.0%)</w:t>
            </w:r>
          </w:p>
        </w:tc>
        <w:tc>
          <w:tcPr>
            <w:tcW w:w="1440" w:type="dxa"/>
          </w:tcPr>
          <w:p w14:paraId="11571886"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3.46 (0.12–100.52)</w:t>
            </w:r>
          </w:p>
        </w:tc>
        <w:tc>
          <w:tcPr>
            <w:tcW w:w="1440" w:type="dxa"/>
          </w:tcPr>
          <w:p w14:paraId="555483C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1.000</w:t>
            </w:r>
          </w:p>
        </w:tc>
      </w:tr>
      <w:tr w:rsidR="00255627" w:rsidRPr="00B90BC5" w14:paraId="5BA433E0" w14:textId="77777777" w:rsidTr="0064688D">
        <w:tc>
          <w:tcPr>
            <w:tcW w:w="1440" w:type="dxa"/>
          </w:tcPr>
          <w:p w14:paraId="4AD68F08" w14:textId="77777777" w:rsidR="00255627" w:rsidRPr="00B90BC5" w:rsidRDefault="00255627" w:rsidP="0064688D">
            <w:pPr>
              <w:rPr>
                <w:rFonts w:ascii="Times New Roman" w:eastAsia="宋体" w:hAnsi="Times New Roman" w:cs="Times New Roman"/>
                <w:sz w:val="18"/>
                <w:szCs w:val="18"/>
              </w:rPr>
            </w:pPr>
          </w:p>
        </w:tc>
        <w:tc>
          <w:tcPr>
            <w:tcW w:w="1440" w:type="dxa"/>
          </w:tcPr>
          <w:p w14:paraId="243A061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N2–3</w:t>
            </w:r>
          </w:p>
        </w:tc>
        <w:tc>
          <w:tcPr>
            <w:tcW w:w="1440" w:type="dxa"/>
          </w:tcPr>
          <w:p w14:paraId="6109691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18/23 (78.3%)</w:t>
            </w:r>
          </w:p>
        </w:tc>
        <w:tc>
          <w:tcPr>
            <w:tcW w:w="1440" w:type="dxa"/>
          </w:tcPr>
          <w:p w14:paraId="4110858C"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23/23 (100.0%)</w:t>
            </w:r>
          </w:p>
        </w:tc>
        <w:tc>
          <w:tcPr>
            <w:tcW w:w="1440" w:type="dxa"/>
          </w:tcPr>
          <w:p w14:paraId="31E0139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13.97 (0.73–269.25)</w:t>
            </w:r>
          </w:p>
        </w:tc>
        <w:tc>
          <w:tcPr>
            <w:tcW w:w="1440" w:type="dxa"/>
          </w:tcPr>
          <w:p w14:paraId="7C5B74F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0.049</w:t>
            </w:r>
          </w:p>
        </w:tc>
      </w:tr>
      <w:tr w:rsidR="00255627" w:rsidRPr="00B90BC5" w14:paraId="74317A2E" w14:textId="77777777" w:rsidTr="0064688D">
        <w:tc>
          <w:tcPr>
            <w:tcW w:w="1440" w:type="dxa"/>
          </w:tcPr>
          <w:p w14:paraId="4566FF1A"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EBV-DNA (copies/mL)</w:t>
            </w:r>
          </w:p>
        </w:tc>
        <w:tc>
          <w:tcPr>
            <w:tcW w:w="1440" w:type="dxa"/>
          </w:tcPr>
          <w:p w14:paraId="1B556369"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&lt;4000</w:t>
            </w:r>
          </w:p>
        </w:tc>
        <w:tc>
          <w:tcPr>
            <w:tcW w:w="1440" w:type="dxa"/>
          </w:tcPr>
          <w:p w14:paraId="35D37A4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6/9 (66.7%)</w:t>
            </w:r>
          </w:p>
        </w:tc>
        <w:tc>
          <w:tcPr>
            <w:tcW w:w="1440" w:type="dxa"/>
          </w:tcPr>
          <w:p w14:paraId="0D05D18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8/8 (100.0%)</w:t>
            </w:r>
          </w:p>
        </w:tc>
        <w:tc>
          <w:tcPr>
            <w:tcW w:w="1440" w:type="dxa"/>
          </w:tcPr>
          <w:p w14:paraId="3344E21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9.15 (0.40–210.28)</w:t>
            </w:r>
          </w:p>
        </w:tc>
        <w:tc>
          <w:tcPr>
            <w:tcW w:w="1440" w:type="dxa"/>
          </w:tcPr>
          <w:p w14:paraId="74A189D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0.206</w:t>
            </w:r>
          </w:p>
        </w:tc>
      </w:tr>
      <w:tr w:rsidR="00255627" w:rsidRPr="00B90BC5" w14:paraId="440E0155" w14:textId="77777777" w:rsidTr="0064688D">
        <w:tc>
          <w:tcPr>
            <w:tcW w:w="1440" w:type="dxa"/>
          </w:tcPr>
          <w:p w14:paraId="292933C5" w14:textId="77777777" w:rsidR="00255627" w:rsidRPr="00B90BC5" w:rsidRDefault="00255627" w:rsidP="0064688D">
            <w:pPr>
              <w:rPr>
                <w:rFonts w:ascii="Times New Roman" w:eastAsia="宋体" w:hAnsi="Times New Roman" w:cs="Times New Roman"/>
                <w:sz w:val="18"/>
                <w:szCs w:val="18"/>
              </w:rPr>
            </w:pPr>
          </w:p>
        </w:tc>
        <w:tc>
          <w:tcPr>
            <w:tcW w:w="1440" w:type="dxa"/>
          </w:tcPr>
          <w:p w14:paraId="2CB3C63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≥4000</w:t>
            </w:r>
          </w:p>
        </w:tc>
        <w:tc>
          <w:tcPr>
            <w:tcW w:w="1440" w:type="dxa"/>
          </w:tcPr>
          <w:p w14:paraId="07C6ED1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18/21 (85.7%)</w:t>
            </w:r>
          </w:p>
        </w:tc>
        <w:tc>
          <w:tcPr>
            <w:tcW w:w="1440" w:type="dxa"/>
          </w:tcPr>
          <w:p w14:paraId="75815F8B"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22/22 (100.0%)</w:t>
            </w:r>
          </w:p>
        </w:tc>
        <w:tc>
          <w:tcPr>
            <w:tcW w:w="1440" w:type="dxa"/>
          </w:tcPr>
          <w:p w14:paraId="7F3B447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8.51 (0.41–175.58)</w:t>
            </w:r>
          </w:p>
        </w:tc>
        <w:tc>
          <w:tcPr>
            <w:tcW w:w="1440" w:type="dxa"/>
          </w:tcPr>
          <w:p w14:paraId="1FBD811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0.108</w:t>
            </w:r>
          </w:p>
        </w:tc>
      </w:tr>
      <w:tr w:rsidR="00255627" w:rsidRPr="00B90BC5" w14:paraId="6C3CA16B" w14:textId="77777777" w:rsidTr="0064688D">
        <w:tc>
          <w:tcPr>
            <w:tcW w:w="1440" w:type="dxa"/>
          </w:tcPr>
          <w:p w14:paraId="6855F9A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ENE</w:t>
            </w:r>
          </w:p>
        </w:tc>
        <w:tc>
          <w:tcPr>
            <w:tcW w:w="1440" w:type="dxa"/>
          </w:tcPr>
          <w:p w14:paraId="4556C14D"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No</w:t>
            </w:r>
          </w:p>
        </w:tc>
        <w:tc>
          <w:tcPr>
            <w:tcW w:w="1440" w:type="dxa"/>
          </w:tcPr>
          <w:p w14:paraId="2C426DB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21/27 (77.8%)</w:t>
            </w:r>
          </w:p>
        </w:tc>
        <w:tc>
          <w:tcPr>
            <w:tcW w:w="1440" w:type="dxa"/>
          </w:tcPr>
          <w:p w14:paraId="0B777E3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27/27 (100.0%)</w:t>
            </w:r>
          </w:p>
        </w:tc>
        <w:tc>
          <w:tcPr>
            <w:tcW w:w="1440" w:type="dxa"/>
          </w:tcPr>
          <w:p w14:paraId="0231C61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16.63 (0.89–311.81)</w:t>
            </w:r>
          </w:p>
        </w:tc>
        <w:tc>
          <w:tcPr>
            <w:tcW w:w="1440" w:type="dxa"/>
          </w:tcPr>
          <w:p w14:paraId="4A885BF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0.023</w:t>
            </w:r>
          </w:p>
        </w:tc>
      </w:tr>
      <w:tr w:rsidR="00255627" w:rsidRPr="00B90BC5" w14:paraId="4DD5EE1C" w14:textId="77777777" w:rsidTr="0064688D">
        <w:tc>
          <w:tcPr>
            <w:tcW w:w="1440" w:type="dxa"/>
          </w:tcPr>
          <w:p w14:paraId="6D09676D" w14:textId="77777777" w:rsidR="00255627" w:rsidRPr="00B90BC5" w:rsidRDefault="00255627" w:rsidP="0064688D">
            <w:pPr>
              <w:rPr>
                <w:rFonts w:ascii="Times New Roman" w:eastAsia="宋体" w:hAnsi="Times New Roman" w:cs="Times New Roman"/>
                <w:sz w:val="18"/>
                <w:szCs w:val="18"/>
              </w:rPr>
            </w:pPr>
          </w:p>
        </w:tc>
        <w:tc>
          <w:tcPr>
            <w:tcW w:w="1440" w:type="dxa"/>
          </w:tcPr>
          <w:p w14:paraId="1CD1AD9F"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Yes</w:t>
            </w:r>
          </w:p>
        </w:tc>
        <w:tc>
          <w:tcPr>
            <w:tcW w:w="1440" w:type="dxa"/>
          </w:tcPr>
          <w:p w14:paraId="32FE6B5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3/3 (100.0%)</w:t>
            </w:r>
          </w:p>
        </w:tc>
        <w:tc>
          <w:tcPr>
            <w:tcW w:w="1440" w:type="dxa"/>
          </w:tcPr>
          <w:p w14:paraId="656842B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3/3 (100.0%)</w:t>
            </w:r>
          </w:p>
        </w:tc>
        <w:tc>
          <w:tcPr>
            <w:tcW w:w="1440" w:type="dxa"/>
          </w:tcPr>
          <w:p w14:paraId="6BD35D96"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1.00 (0.02–66.07)</w:t>
            </w:r>
          </w:p>
        </w:tc>
        <w:tc>
          <w:tcPr>
            <w:tcW w:w="1440" w:type="dxa"/>
          </w:tcPr>
          <w:p w14:paraId="26BA22C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1.000</w:t>
            </w:r>
          </w:p>
        </w:tc>
      </w:tr>
      <w:tr w:rsidR="00255627" w:rsidRPr="00B90BC5" w14:paraId="41E1761F" w14:textId="77777777" w:rsidTr="0064688D">
        <w:tc>
          <w:tcPr>
            <w:tcW w:w="1440" w:type="dxa"/>
          </w:tcPr>
          <w:p w14:paraId="231C87A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LN necrosis</w:t>
            </w:r>
          </w:p>
        </w:tc>
        <w:tc>
          <w:tcPr>
            <w:tcW w:w="1440" w:type="dxa"/>
          </w:tcPr>
          <w:p w14:paraId="188C151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No</w:t>
            </w:r>
          </w:p>
        </w:tc>
        <w:tc>
          <w:tcPr>
            <w:tcW w:w="1440" w:type="dxa"/>
          </w:tcPr>
          <w:p w14:paraId="5110DE0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15/19 (78.9%)</w:t>
            </w:r>
          </w:p>
        </w:tc>
        <w:tc>
          <w:tcPr>
            <w:tcW w:w="1440" w:type="dxa"/>
          </w:tcPr>
          <w:p w14:paraId="0F229CDF"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17/17 (100.0%)</w:t>
            </w:r>
          </w:p>
        </w:tc>
        <w:tc>
          <w:tcPr>
            <w:tcW w:w="1440" w:type="dxa"/>
          </w:tcPr>
          <w:p w14:paraId="3DE8C0D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10.16 (0.51–204.24)</w:t>
            </w:r>
          </w:p>
        </w:tc>
        <w:tc>
          <w:tcPr>
            <w:tcW w:w="1440" w:type="dxa"/>
          </w:tcPr>
          <w:p w14:paraId="253A1FC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0.106</w:t>
            </w:r>
          </w:p>
        </w:tc>
      </w:tr>
      <w:tr w:rsidR="00255627" w:rsidRPr="00B90BC5" w14:paraId="6DFC5167" w14:textId="77777777" w:rsidTr="0064688D">
        <w:tc>
          <w:tcPr>
            <w:tcW w:w="1440" w:type="dxa"/>
          </w:tcPr>
          <w:p w14:paraId="017D6DE4" w14:textId="77777777" w:rsidR="00255627" w:rsidRPr="00B90BC5" w:rsidRDefault="00255627" w:rsidP="0064688D">
            <w:pPr>
              <w:rPr>
                <w:rFonts w:ascii="Times New Roman" w:eastAsia="宋体" w:hAnsi="Times New Roman" w:cs="Times New Roman"/>
                <w:sz w:val="18"/>
                <w:szCs w:val="18"/>
              </w:rPr>
            </w:pPr>
          </w:p>
        </w:tc>
        <w:tc>
          <w:tcPr>
            <w:tcW w:w="1440" w:type="dxa"/>
          </w:tcPr>
          <w:p w14:paraId="43ED6326"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Yes</w:t>
            </w:r>
          </w:p>
        </w:tc>
        <w:tc>
          <w:tcPr>
            <w:tcW w:w="1440" w:type="dxa"/>
          </w:tcPr>
          <w:p w14:paraId="05017FCD"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9/11 (81.8%)</w:t>
            </w:r>
          </w:p>
        </w:tc>
        <w:tc>
          <w:tcPr>
            <w:tcW w:w="1440" w:type="dxa"/>
          </w:tcPr>
          <w:p w14:paraId="259095F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13/13 (100.0%)</w:t>
            </w:r>
          </w:p>
        </w:tc>
        <w:tc>
          <w:tcPr>
            <w:tcW w:w="1440" w:type="dxa"/>
          </w:tcPr>
          <w:p w14:paraId="36D705CB"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7.11 (0.31–165.45)</w:t>
            </w:r>
          </w:p>
        </w:tc>
        <w:tc>
          <w:tcPr>
            <w:tcW w:w="1440" w:type="dxa"/>
          </w:tcPr>
          <w:p w14:paraId="7206126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0.199</w:t>
            </w:r>
          </w:p>
        </w:tc>
      </w:tr>
      <w:tr w:rsidR="00255627" w:rsidRPr="00B90BC5" w14:paraId="3551074C" w14:textId="77777777" w:rsidTr="0064688D">
        <w:tc>
          <w:tcPr>
            <w:tcW w:w="1440" w:type="dxa"/>
          </w:tcPr>
          <w:p w14:paraId="03CBDCED"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PD-L1 CPS</w:t>
            </w:r>
          </w:p>
        </w:tc>
        <w:tc>
          <w:tcPr>
            <w:tcW w:w="1440" w:type="dxa"/>
          </w:tcPr>
          <w:p w14:paraId="3EE710FE"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&lt;20</w:t>
            </w:r>
          </w:p>
        </w:tc>
        <w:tc>
          <w:tcPr>
            <w:tcW w:w="1440" w:type="dxa"/>
          </w:tcPr>
          <w:p w14:paraId="4183B026"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6/10 (60.0%)</w:t>
            </w:r>
          </w:p>
        </w:tc>
        <w:tc>
          <w:tcPr>
            <w:tcW w:w="1440" w:type="dxa"/>
          </w:tcPr>
          <w:p w14:paraId="74096D68"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3/3 (100.0%)</w:t>
            </w:r>
          </w:p>
        </w:tc>
        <w:tc>
          <w:tcPr>
            <w:tcW w:w="1440" w:type="dxa"/>
          </w:tcPr>
          <w:p w14:paraId="28B7133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4.85 (0.20–118.62)</w:t>
            </w:r>
          </w:p>
        </w:tc>
        <w:tc>
          <w:tcPr>
            <w:tcW w:w="1440" w:type="dxa"/>
          </w:tcPr>
          <w:p w14:paraId="1267DB3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0.497</w:t>
            </w:r>
          </w:p>
        </w:tc>
      </w:tr>
      <w:tr w:rsidR="00255627" w:rsidRPr="00B90BC5" w14:paraId="38F520C6" w14:textId="77777777" w:rsidTr="0064688D">
        <w:tc>
          <w:tcPr>
            <w:tcW w:w="1440" w:type="dxa"/>
          </w:tcPr>
          <w:p w14:paraId="0091CB4D" w14:textId="77777777" w:rsidR="00255627" w:rsidRPr="00B90BC5" w:rsidRDefault="00255627" w:rsidP="0064688D">
            <w:pPr>
              <w:rPr>
                <w:rFonts w:ascii="Times New Roman" w:eastAsia="宋体" w:hAnsi="Times New Roman" w:cs="Times New Roman"/>
                <w:sz w:val="18"/>
                <w:szCs w:val="18"/>
              </w:rPr>
            </w:pPr>
          </w:p>
        </w:tc>
        <w:tc>
          <w:tcPr>
            <w:tcW w:w="1440" w:type="dxa"/>
          </w:tcPr>
          <w:p w14:paraId="7430F088"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≥20</w:t>
            </w:r>
          </w:p>
        </w:tc>
        <w:tc>
          <w:tcPr>
            <w:tcW w:w="1440" w:type="dxa"/>
          </w:tcPr>
          <w:p w14:paraId="14888E04"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18/20 (90.0%)</w:t>
            </w:r>
          </w:p>
        </w:tc>
        <w:tc>
          <w:tcPr>
            <w:tcW w:w="1440" w:type="dxa"/>
          </w:tcPr>
          <w:p w14:paraId="55BCF12A"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27/27 (100.0%)</w:t>
            </w:r>
          </w:p>
        </w:tc>
        <w:tc>
          <w:tcPr>
            <w:tcW w:w="1440" w:type="dxa"/>
          </w:tcPr>
          <w:p w14:paraId="4C7CBD8F"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7.43 (0.34–163.85)</w:t>
            </w:r>
          </w:p>
        </w:tc>
        <w:tc>
          <w:tcPr>
            <w:tcW w:w="1440" w:type="dxa"/>
          </w:tcPr>
          <w:p w14:paraId="688106F7"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0.176</w:t>
            </w:r>
          </w:p>
        </w:tc>
      </w:tr>
      <w:tr w:rsidR="00255627" w:rsidRPr="00B90BC5" w14:paraId="49F3377E" w14:textId="77777777" w:rsidTr="0064688D">
        <w:tc>
          <w:tcPr>
            <w:tcW w:w="1440" w:type="dxa"/>
          </w:tcPr>
          <w:p w14:paraId="2EF72D1D"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EGFR expression</w:t>
            </w:r>
          </w:p>
        </w:tc>
        <w:tc>
          <w:tcPr>
            <w:tcW w:w="1440" w:type="dxa"/>
          </w:tcPr>
          <w:p w14:paraId="5B8A7B90"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w:t>
            </w:r>
          </w:p>
        </w:tc>
        <w:tc>
          <w:tcPr>
            <w:tcW w:w="1440" w:type="dxa"/>
          </w:tcPr>
          <w:p w14:paraId="6AB32ED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18/23 (78.3%)</w:t>
            </w:r>
          </w:p>
        </w:tc>
        <w:tc>
          <w:tcPr>
            <w:tcW w:w="1440" w:type="dxa"/>
          </w:tcPr>
          <w:p w14:paraId="7718945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17/17 (100.0%)</w:t>
            </w:r>
          </w:p>
        </w:tc>
        <w:tc>
          <w:tcPr>
            <w:tcW w:w="1440" w:type="dxa"/>
          </w:tcPr>
          <w:p w14:paraId="04FED9B2"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10.41 (0.53–202.41)</w:t>
            </w:r>
          </w:p>
        </w:tc>
        <w:tc>
          <w:tcPr>
            <w:tcW w:w="1440" w:type="dxa"/>
          </w:tcPr>
          <w:p w14:paraId="3FF2354A"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0.061</w:t>
            </w:r>
          </w:p>
        </w:tc>
      </w:tr>
      <w:tr w:rsidR="00255627" w:rsidRPr="00B90BC5" w14:paraId="08725BD0" w14:textId="77777777" w:rsidTr="0064688D">
        <w:tc>
          <w:tcPr>
            <w:tcW w:w="1440" w:type="dxa"/>
            <w:tcBorders>
              <w:bottom w:val="single" w:sz="12" w:space="0" w:color="auto"/>
            </w:tcBorders>
          </w:tcPr>
          <w:p w14:paraId="12A4ADED" w14:textId="77777777" w:rsidR="00255627" w:rsidRPr="00B90BC5" w:rsidRDefault="00255627" w:rsidP="0064688D">
            <w:pPr>
              <w:rPr>
                <w:rFonts w:ascii="Times New Roman" w:eastAsia="宋体" w:hAnsi="Times New Roman" w:cs="Times New Roman"/>
                <w:sz w:val="18"/>
                <w:szCs w:val="18"/>
              </w:rPr>
            </w:pPr>
          </w:p>
        </w:tc>
        <w:tc>
          <w:tcPr>
            <w:tcW w:w="1440" w:type="dxa"/>
            <w:tcBorders>
              <w:bottom w:val="single" w:sz="12" w:space="0" w:color="auto"/>
            </w:tcBorders>
          </w:tcPr>
          <w:p w14:paraId="52B105B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w:t>
            </w:r>
          </w:p>
        </w:tc>
        <w:tc>
          <w:tcPr>
            <w:tcW w:w="1440" w:type="dxa"/>
            <w:tcBorders>
              <w:bottom w:val="single" w:sz="12" w:space="0" w:color="auto"/>
            </w:tcBorders>
          </w:tcPr>
          <w:p w14:paraId="6C34DBD3"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6/7 (85.7%)</w:t>
            </w:r>
          </w:p>
        </w:tc>
        <w:tc>
          <w:tcPr>
            <w:tcW w:w="1440" w:type="dxa"/>
            <w:tcBorders>
              <w:bottom w:val="single" w:sz="12" w:space="0" w:color="auto"/>
            </w:tcBorders>
          </w:tcPr>
          <w:p w14:paraId="42E21D2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13/13 (100.0%)</w:t>
            </w:r>
          </w:p>
        </w:tc>
        <w:tc>
          <w:tcPr>
            <w:tcW w:w="1440" w:type="dxa"/>
            <w:tcBorders>
              <w:bottom w:val="single" w:sz="12" w:space="0" w:color="auto"/>
            </w:tcBorders>
          </w:tcPr>
          <w:p w14:paraId="7784F911"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6.23 (0.22–174.89)</w:t>
            </w:r>
          </w:p>
        </w:tc>
        <w:tc>
          <w:tcPr>
            <w:tcW w:w="1440" w:type="dxa"/>
            <w:tcBorders>
              <w:bottom w:val="single" w:sz="12" w:space="0" w:color="auto"/>
            </w:tcBorders>
          </w:tcPr>
          <w:p w14:paraId="4353FF35" w14:textId="77777777" w:rsidR="00255627" w:rsidRPr="00B90BC5" w:rsidRDefault="00255627" w:rsidP="0064688D">
            <w:pPr>
              <w:rPr>
                <w:rFonts w:ascii="Times New Roman" w:eastAsia="宋体" w:hAnsi="Times New Roman" w:cs="Times New Roman"/>
                <w:sz w:val="18"/>
                <w:szCs w:val="18"/>
              </w:rPr>
            </w:pPr>
            <w:r w:rsidRPr="00B90BC5">
              <w:rPr>
                <w:rFonts w:ascii="Times New Roman" w:eastAsia="宋体" w:hAnsi="Times New Roman" w:cs="Times New Roman"/>
                <w:sz w:val="18"/>
                <w:szCs w:val="18"/>
              </w:rPr>
              <w:t>0.350</w:t>
            </w:r>
          </w:p>
        </w:tc>
      </w:tr>
    </w:tbl>
    <w:p w14:paraId="2638FFF3" w14:textId="77777777" w:rsidR="00255627" w:rsidRPr="00B90BC5" w:rsidRDefault="00255627" w:rsidP="00255627">
      <w:pPr>
        <w:rPr>
          <w:rFonts w:ascii="Times New Roman" w:eastAsia="宋体" w:hAnsi="Times New Roman" w:cs="Times New Roman"/>
          <w:sz w:val="18"/>
          <w:szCs w:val="18"/>
        </w:rPr>
      </w:pPr>
      <w:r w:rsidRPr="00B90BC5">
        <w:rPr>
          <w:rFonts w:ascii="Times New Roman" w:eastAsia="宋体" w:hAnsi="Times New Roman" w:cs="Times New Roman"/>
          <w:sz w:val="18"/>
          <w:szCs w:val="18"/>
        </w:rPr>
        <w:t>Abbreviations: OR, odds ratio; CI, confidence interval; Note: Odds ratios were calculated with Haldane–Anscombe correction (adding 0.5 to each cell), and p-values were obtained from Fisher’s exact tests. Subgroup analyses are exploratory due to limited sample size.</w:t>
      </w:r>
    </w:p>
    <w:p w14:paraId="145AF30D" w14:textId="77777777" w:rsidR="00D606CB" w:rsidRPr="00255627" w:rsidRDefault="00D606CB">
      <w:pPr>
        <w:pStyle w:val="a9"/>
        <w:adjustRightInd w:val="0"/>
        <w:snapToGrid w:val="0"/>
        <w:spacing w:before="0" w:beforeAutospacing="0" w:after="0" w:afterAutospacing="0" w:line="360" w:lineRule="auto"/>
        <w:rPr>
          <w:rFonts w:ascii="Times New Roman" w:hAnsi="Times New Roman" w:cs="Times New Roman"/>
          <w:b/>
          <w:bCs/>
        </w:rPr>
      </w:pPr>
    </w:p>
    <w:p w14:paraId="002B0089" w14:textId="6E462895" w:rsidR="00D606CB" w:rsidRDefault="00000000">
      <w:pPr>
        <w:pStyle w:val="a9"/>
        <w:adjustRightInd w:val="0"/>
        <w:snapToGrid w:val="0"/>
        <w:spacing w:before="0" w:beforeAutospacing="0" w:after="0" w:afterAutospacing="0" w:line="360" w:lineRule="auto"/>
        <w:rPr>
          <w:rFonts w:ascii="Times New Roman" w:hAnsi="Times New Roman" w:cs="Times New Roman"/>
          <w:b/>
          <w:bCs/>
        </w:rPr>
      </w:pPr>
      <w:r w:rsidRPr="00932EBB">
        <w:rPr>
          <w:rFonts w:ascii="Times New Roman" w:hAnsi="Times New Roman" w:cs="Times New Roman" w:hint="eastAsia"/>
          <w:b/>
          <w:bCs/>
        </w:rPr>
        <w:t>2</w:t>
      </w:r>
      <w:r>
        <w:rPr>
          <w:rFonts w:ascii="Times New Roman" w:hAnsi="Times New Roman" w:cs="Times New Roman" w:hint="eastAsia"/>
          <w:b/>
          <w:bCs/>
        </w:rPr>
        <w:t>.</w:t>
      </w:r>
      <w:r w:rsidR="00D52B88">
        <w:rPr>
          <w:rFonts w:ascii="Times New Roman" w:hAnsi="Times New Roman" w:cs="Times New Roman" w:hint="eastAsia"/>
          <w:b/>
          <w:bCs/>
        </w:rPr>
        <w:t>7</w:t>
      </w:r>
      <w:r>
        <w:rPr>
          <w:rFonts w:ascii="Times New Roman" w:hAnsi="Times New Roman" w:cs="Times New Roman" w:hint="eastAsia"/>
          <w:b/>
          <w:bCs/>
        </w:rPr>
        <w:t>生存分析</w:t>
      </w:r>
    </w:p>
    <w:p w14:paraId="0CC02DD6" w14:textId="20F54F3C"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cs="Times New Roman"/>
        </w:rPr>
      </w:pPr>
      <w:r w:rsidRPr="00932EBB">
        <w:rPr>
          <w:rFonts w:ascii="Times New Roman" w:hAnsi="Times New Roman" w:cs="Times New Roman"/>
        </w:rPr>
        <w:t>PSM</w:t>
      </w:r>
      <w:r>
        <w:rPr>
          <w:rFonts w:ascii="Times New Roman" w:hAnsi="Times New Roman" w:cs="Times New Roman"/>
        </w:rPr>
        <w:t>匹配队列的中位随访时间为</w:t>
      </w:r>
      <w:r w:rsidRPr="00932EBB">
        <w:rPr>
          <w:rFonts w:ascii="Times New Roman" w:hAnsi="Times New Roman" w:cs="Times New Roman"/>
        </w:rPr>
        <w:t>18</w:t>
      </w:r>
      <w:r>
        <w:rPr>
          <w:rFonts w:ascii="Times New Roman" w:hAnsi="Times New Roman" w:cs="Times New Roman"/>
        </w:rPr>
        <w:t>.</w:t>
      </w:r>
      <w:r w:rsidRPr="00932EBB">
        <w:rPr>
          <w:rFonts w:ascii="Times New Roman" w:hAnsi="Times New Roman" w:cs="Times New Roman"/>
        </w:rPr>
        <w:t>3</w:t>
      </w:r>
      <w:r>
        <w:rPr>
          <w:rFonts w:ascii="Times New Roman" w:hAnsi="Times New Roman" w:cs="Times New Roman"/>
        </w:rPr>
        <w:t>个月（</w:t>
      </w:r>
      <w:r w:rsidRPr="00932EBB">
        <w:rPr>
          <w:rFonts w:ascii="Times New Roman" w:hAnsi="Times New Roman" w:cs="Times New Roman"/>
        </w:rPr>
        <w:t>IQR</w:t>
      </w:r>
      <w:r>
        <w:rPr>
          <w:rFonts w:ascii="Times New Roman" w:hAnsi="Times New Roman" w:cs="Times New Roman"/>
        </w:rPr>
        <w:t>：</w:t>
      </w:r>
      <w:r w:rsidRPr="00932EBB">
        <w:rPr>
          <w:rFonts w:ascii="Times New Roman" w:hAnsi="Times New Roman" w:cs="Times New Roman"/>
        </w:rPr>
        <w:t>14</w:t>
      </w:r>
      <w:r>
        <w:rPr>
          <w:rFonts w:ascii="Times New Roman" w:hAnsi="Times New Roman" w:cs="Times New Roman"/>
        </w:rPr>
        <w:t>.</w:t>
      </w:r>
      <w:r w:rsidRPr="00932EBB">
        <w:rPr>
          <w:rFonts w:ascii="Times New Roman" w:hAnsi="Times New Roman" w:cs="Times New Roman"/>
        </w:rPr>
        <w:t>5</w:t>
      </w:r>
      <w:r>
        <w:rPr>
          <w:rFonts w:ascii="Times New Roman" w:hAnsi="Times New Roman" w:cs="Times New Roman"/>
        </w:rPr>
        <w:t>–</w:t>
      </w:r>
      <w:r w:rsidRPr="00932EBB">
        <w:rPr>
          <w:rFonts w:ascii="Times New Roman" w:hAnsi="Times New Roman" w:cs="Times New Roman"/>
        </w:rPr>
        <w:t>21</w:t>
      </w:r>
      <w:r>
        <w:rPr>
          <w:rFonts w:ascii="Times New Roman" w:hAnsi="Times New Roman" w:cs="Times New Roman"/>
        </w:rPr>
        <w:t>.</w:t>
      </w:r>
      <w:r w:rsidRPr="00932EBB">
        <w:rPr>
          <w:rFonts w:ascii="Times New Roman" w:hAnsi="Times New Roman" w:cs="Times New Roman"/>
        </w:rPr>
        <w:t>6</w:t>
      </w:r>
      <w:r>
        <w:rPr>
          <w:rFonts w:ascii="Times New Roman" w:hAnsi="Times New Roman" w:cs="Times New Roman"/>
        </w:rPr>
        <w:t>个月）。在此期间，共观察到</w:t>
      </w:r>
      <w:r w:rsidRPr="00932EBB">
        <w:rPr>
          <w:rFonts w:ascii="Times New Roman" w:hAnsi="Times New Roman" w:cs="Times New Roman"/>
        </w:rPr>
        <w:t>6</w:t>
      </w:r>
      <w:r>
        <w:rPr>
          <w:rFonts w:ascii="Times New Roman" w:hAnsi="Times New Roman" w:cs="Times New Roman"/>
        </w:rPr>
        <w:t>例</w:t>
      </w:r>
      <w:r w:rsidRPr="00932EBB">
        <w:rPr>
          <w:rFonts w:ascii="Times New Roman" w:hAnsi="Times New Roman" w:cs="Times New Roman"/>
        </w:rPr>
        <w:t>PFS</w:t>
      </w:r>
      <w:r>
        <w:rPr>
          <w:rFonts w:ascii="Times New Roman" w:hAnsi="Times New Roman" w:cs="Times New Roman"/>
        </w:rPr>
        <w:t>事件、</w:t>
      </w:r>
      <w:r w:rsidRPr="00932EBB">
        <w:rPr>
          <w:rFonts w:ascii="Times New Roman" w:hAnsi="Times New Roman" w:cs="Times New Roman"/>
        </w:rPr>
        <w:t>5</w:t>
      </w:r>
      <w:r>
        <w:rPr>
          <w:rFonts w:ascii="Times New Roman" w:hAnsi="Times New Roman" w:cs="Times New Roman"/>
        </w:rPr>
        <w:t>例远处转移事件和</w:t>
      </w:r>
      <w:r w:rsidRPr="00932EBB">
        <w:rPr>
          <w:rFonts w:ascii="Times New Roman" w:hAnsi="Times New Roman" w:cs="Times New Roman"/>
        </w:rPr>
        <w:t>1</w:t>
      </w:r>
      <w:r>
        <w:rPr>
          <w:rFonts w:ascii="Times New Roman" w:hAnsi="Times New Roman" w:cs="Times New Roman"/>
        </w:rPr>
        <w:t>例局部复发事件。生存分析显示，</w:t>
      </w:r>
      <w:r w:rsidRPr="00932EBB">
        <w:rPr>
          <w:rFonts w:ascii="Times New Roman" w:hAnsi="Times New Roman" w:cs="Times New Roman"/>
        </w:rPr>
        <w:t>ICIT</w:t>
      </w:r>
      <w:r>
        <w:rPr>
          <w:rFonts w:ascii="Times New Roman" w:hAnsi="Times New Roman" w:cs="Times New Roman"/>
        </w:rPr>
        <w:t>组与</w:t>
      </w:r>
      <w:r w:rsidRPr="00932EBB">
        <w:rPr>
          <w:rFonts w:ascii="Times New Roman" w:hAnsi="Times New Roman" w:cs="Times New Roman"/>
        </w:rPr>
        <w:t>IC</w:t>
      </w:r>
      <w:r>
        <w:rPr>
          <w:rFonts w:ascii="Times New Roman" w:hAnsi="Times New Roman" w:cs="Times New Roman"/>
        </w:rPr>
        <w:t>组在</w:t>
      </w:r>
      <w:r w:rsidRPr="00932EBB">
        <w:rPr>
          <w:rFonts w:ascii="Times New Roman" w:hAnsi="Times New Roman" w:cs="Times New Roman"/>
        </w:rPr>
        <w:t>PFS</w:t>
      </w:r>
      <w:r>
        <w:rPr>
          <w:rFonts w:ascii="Times New Roman" w:hAnsi="Times New Roman" w:cs="Times New Roman"/>
        </w:rPr>
        <w:t>（</w:t>
      </w:r>
      <w:r w:rsidRPr="00932EBB">
        <w:rPr>
          <w:rFonts w:ascii="Times New Roman" w:hAnsi="Times New Roman" w:cs="Times New Roman"/>
        </w:rPr>
        <w:t>HR</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55</w:t>
      </w:r>
      <w:r>
        <w:rPr>
          <w:rFonts w:ascii="Times New Roman" w:hAnsi="Times New Roman" w:cs="Times New Roman"/>
        </w:rPr>
        <w:t>，</w:t>
      </w:r>
      <w:r w:rsidRPr="00932EBB">
        <w:rPr>
          <w:rFonts w:ascii="Times New Roman" w:hAnsi="Times New Roman" w:cs="Times New Roman"/>
        </w:rPr>
        <w:t>95</w:t>
      </w:r>
      <w:r>
        <w:rPr>
          <w:rFonts w:ascii="Times New Roman" w:hAnsi="Times New Roman" w:cs="Times New Roman"/>
        </w:rPr>
        <w:t>%</w:t>
      </w:r>
      <w:r w:rsidRPr="00932EBB">
        <w:rPr>
          <w:rFonts w:ascii="Times New Roman" w:hAnsi="Times New Roman" w:cs="Times New Roman"/>
        </w:rPr>
        <w:t>CI</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10</w:t>
      </w:r>
      <w:r>
        <w:rPr>
          <w:rFonts w:ascii="Times New Roman" w:hAnsi="Times New Roman" w:cs="Times New Roman"/>
        </w:rPr>
        <w:t>–</w:t>
      </w:r>
      <w:r w:rsidRPr="00932EBB">
        <w:rPr>
          <w:rFonts w:ascii="Times New Roman" w:hAnsi="Times New Roman" w:cs="Times New Roman"/>
        </w:rPr>
        <w:t>3</w:t>
      </w:r>
      <w:r>
        <w:rPr>
          <w:rFonts w:ascii="Times New Roman" w:hAnsi="Times New Roman" w:cs="Times New Roman"/>
        </w:rPr>
        <w:t>.</w:t>
      </w:r>
      <w:r w:rsidRPr="00932EBB">
        <w:rPr>
          <w:rFonts w:ascii="Times New Roman" w:hAnsi="Times New Roman" w:cs="Times New Roman"/>
        </w:rPr>
        <w:t>00</w:t>
      </w:r>
      <w:r>
        <w:rPr>
          <w:rFonts w:ascii="Times New Roman" w:hAnsi="Times New Roman" w:cs="Times New Roman"/>
        </w:rPr>
        <w:t>，</w:t>
      </w:r>
      <w:r w:rsidRPr="00932EBB">
        <w:rPr>
          <w:rFonts w:ascii="Times New Roman" w:hAnsi="Times New Roman" w:cs="Times New Roman"/>
        </w:rPr>
        <w:t>P</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075</w:t>
      </w:r>
      <w:r>
        <w:rPr>
          <w:rFonts w:ascii="Times New Roman" w:hAnsi="Times New Roman" w:cs="Times New Roman"/>
        </w:rPr>
        <w:t>）、</w:t>
      </w:r>
      <w:r w:rsidRPr="00932EBB">
        <w:rPr>
          <w:rFonts w:ascii="Times New Roman" w:hAnsi="Times New Roman" w:cs="Times New Roman"/>
        </w:rPr>
        <w:t>DMFS</w:t>
      </w:r>
      <w:r>
        <w:rPr>
          <w:rFonts w:ascii="Times New Roman" w:hAnsi="Times New Roman" w:cs="Times New Roman"/>
        </w:rPr>
        <w:t>（</w:t>
      </w:r>
      <w:r w:rsidRPr="00932EBB">
        <w:rPr>
          <w:rFonts w:ascii="Times New Roman" w:hAnsi="Times New Roman" w:cs="Times New Roman"/>
        </w:rPr>
        <w:t>HR</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99</w:t>
      </w:r>
      <w:r>
        <w:rPr>
          <w:rFonts w:ascii="Times New Roman" w:hAnsi="Times New Roman" w:cs="Times New Roman"/>
        </w:rPr>
        <w:t>，</w:t>
      </w:r>
      <w:r w:rsidRPr="00932EBB">
        <w:rPr>
          <w:rFonts w:ascii="Times New Roman" w:hAnsi="Times New Roman" w:cs="Times New Roman"/>
        </w:rPr>
        <w:t>95</w:t>
      </w:r>
      <w:r>
        <w:rPr>
          <w:rFonts w:ascii="Times New Roman" w:hAnsi="Times New Roman" w:cs="Times New Roman"/>
        </w:rPr>
        <w:t>%</w:t>
      </w:r>
      <w:r w:rsidRPr="00932EBB">
        <w:rPr>
          <w:rFonts w:ascii="Times New Roman" w:hAnsi="Times New Roman" w:cs="Times New Roman"/>
        </w:rPr>
        <w:t>CI</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15</w:t>
      </w:r>
      <w:r>
        <w:rPr>
          <w:rFonts w:ascii="Times New Roman" w:hAnsi="Times New Roman" w:cs="Times New Roman"/>
        </w:rPr>
        <w:t>–</w:t>
      </w:r>
      <w:r w:rsidRPr="00932EBB">
        <w:rPr>
          <w:rFonts w:ascii="Times New Roman" w:hAnsi="Times New Roman" w:cs="Times New Roman"/>
        </w:rPr>
        <w:t>6</w:t>
      </w:r>
      <w:r>
        <w:rPr>
          <w:rFonts w:ascii="Times New Roman" w:hAnsi="Times New Roman" w:cs="Times New Roman"/>
        </w:rPr>
        <w:t>.</w:t>
      </w:r>
      <w:r w:rsidRPr="00932EBB">
        <w:rPr>
          <w:rFonts w:ascii="Times New Roman" w:hAnsi="Times New Roman" w:cs="Times New Roman"/>
        </w:rPr>
        <w:t>47</w:t>
      </w:r>
      <w:r>
        <w:rPr>
          <w:rFonts w:ascii="Times New Roman" w:hAnsi="Times New Roman" w:cs="Times New Roman"/>
        </w:rPr>
        <w:t>，</w:t>
      </w:r>
      <w:r w:rsidRPr="00932EBB">
        <w:rPr>
          <w:rFonts w:ascii="Times New Roman" w:hAnsi="Times New Roman" w:cs="Times New Roman"/>
        </w:rPr>
        <w:t>P</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16</w:t>
      </w:r>
      <w:r>
        <w:rPr>
          <w:rFonts w:ascii="Times New Roman" w:hAnsi="Times New Roman" w:cs="Times New Roman"/>
        </w:rPr>
        <w:t>）及</w:t>
      </w:r>
      <w:r w:rsidRPr="00932EBB">
        <w:rPr>
          <w:rFonts w:ascii="Times New Roman" w:hAnsi="Times New Roman" w:cs="Times New Roman"/>
        </w:rPr>
        <w:t>LRFS</w:t>
      </w:r>
      <w:r>
        <w:rPr>
          <w:rFonts w:ascii="Times New Roman" w:hAnsi="Times New Roman" w:cs="Times New Roman"/>
        </w:rPr>
        <w:t>（</w:t>
      </w:r>
      <w:r w:rsidRPr="00932EBB">
        <w:rPr>
          <w:rFonts w:ascii="Times New Roman" w:hAnsi="Times New Roman" w:cs="Times New Roman"/>
        </w:rPr>
        <w:t>HR</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95</w:t>
      </w:r>
      <w:r>
        <w:rPr>
          <w:rFonts w:ascii="Times New Roman" w:hAnsi="Times New Roman" w:cs="Times New Roman"/>
        </w:rPr>
        <w:t>%</w:t>
      </w:r>
      <w:r w:rsidRPr="00932EBB">
        <w:rPr>
          <w:rFonts w:ascii="Times New Roman" w:hAnsi="Times New Roman" w:cs="Times New Roman"/>
        </w:rPr>
        <w:t>CI</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Pr>
          <w:rFonts w:ascii="Times New Roman" w:hAnsi="Times New Roman" w:cs="Times New Roman"/>
        </w:rPr>
        <w:t>，</w:t>
      </w:r>
      <w:r w:rsidRPr="00932EBB">
        <w:rPr>
          <w:rFonts w:ascii="Times New Roman" w:hAnsi="Times New Roman" w:cs="Times New Roman"/>
        </w:rPr>
        <w:t>P</w:t>
      </w:r>
      <w:r>
        <w:rPr>
          <w:rFonts w:ascii="Times New Roman" w:hAnsi="Times New Roman" w:cs="Times New Roman"/>
        </w:rPr>
        <w:t>=</w:t>
      </w:r>
      <w:r w:rsidRPr="00932EBB">
        <w:rPr>
          <w:rFonts w:ascii="Times New Roman" w:hAnsi="Times New Roman" w:cs="Times New Roman"/>
        </w:rPr>
        <w:t>0</w:t>
      </w:r>
      <w:r>
        <w:rPr>
          <w:rFonts w:ascii="Times New Roman" w:hAnsi="Times New Roman" w:cs="Times New Roman"/>
        </w:rPr>
        <w:t>.</w:t>
      </w:r>
      <w:r w:rsidRPr="00932EBB">
        <w:rPr>
          <w:rFonts w:ascii="Times New Roman" w:hAnsi="Times New Roman" w:cs="Times New Roman"/>
        </w:rPr>
        <w:t>28</w:t>
      </w:r>
      <w:r>
        <w:rPr>
          <w:rFonts w:ascii="Times New Roman" w:hAnsi="Times New Roman" w:cs="Times New Roman"/>
        </w:rPr>
        <w:t>）方面的差异均无统计学意义（见</w:t>
      </w:r>
      <w:r w:rsidRPr="00932EBB">
        <w:rPr>
          <w:rFonts w:ascii="Times New Roman" w:hAnsi="Times New Roman" w:cs="Times New Roman"/>
        </w:rPr>
        <w:t>Figure</w:t>
      </w:r>
      <w:r>
        <w:rPr>
          <w:rFonts w:ascii="Times New Roman" w:hAnsi="Times New Roman" w:cs="Times New Roman"/>
        </w:rPr>
        <w:t xml:space="preserve"> </w:t>
      </w:r>
      <w:r w:rsidRPr="00932EBB">
        <w:rPr>
          <w:rFonts w:ascii="Times New Roman" w:hAnsi="Times New Roman" w:cs="Times New Roman"/>
        </w:rPr>
        <w:t>1</w:t>
      </w:r>
      <w:r>
        <w:rPr>
          <w:rFonts w:ascii="Times New Roman" w:hAnsi="Times New Roman" w:cs="Times New Roman"/>
        </w:rPr>
        <w:t>）。</w:t>
      </w:r>
    </w:p>
    <w:p w14:paraId="43AB28B6" w14:textId="1B62652F" w:rsidR="00D606CB" w:rsidRDefault="00255627">
      <w:pPr>
        <w:pStyle w:val="a9"/>
        <w:adjustRightInd w:val="0"/>
        <w:snapToGrid w:val="0"/>
        <w:spacing w:before="0" w:beforeAutospacing="0" w:after="0" w:afterAutospacing="0" w:line="360" w:lineRule="auto"/>
        <w:rPr>
          <w:rFonts w:ascii="Times New Roman" w:hAnsi="Times New Roman" w:cs="Times New Roman"/>
        </w:rPr>
      </w:pPr>
      <w:r w:rsidRPr="00B90BC5">
        <w:rPr>
          <w:rFonts w:ascii="Times New Roman" w:hAnsi="Times New Roman" w:cs="Times New Roman" w:hint="eastAsia"/>
          <w:noProof/>
        </w:rPr>
        <w:drawing>
          <wp:inline distT="0" distB="0" distL="0" distR="0" wp14:anchorId="28D08368" wp14:editId="56762E82">
            <wp:extent cx="5274310" cy="2344420"/>
            <wp:effectExtent l="0" t="0" r="2540" b="0"/>
            <wp:docPr id="17582579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57959" name="图片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344420"/>
                    </a:xfrm>
                    <a:prstGeom prst="rect">
                      <a:avLst/>
                    </a:prstGeom>
                  </pic:spPr>
                </pic:pic>
              </a:graphicData>
            </a:graphic>
          </wp:inline>
        </w:drawing>
      </w:r>
    </w:p>
    <w:p w14:paraId="10C4F0A5" w14:textId="289ACF2B" w:rsidR="00255627" w:rsidRPr="00255627" w:rsidRDefault="00255627" w:rsidP="00255627">
      <w:pPr>
        <w:pStyle w:val="a9"/>
        <w:spacing w:line="240" w:lineRule="atLeast"/>
        <w:rPr>
          <w:rFonts w:ascii="Times New Roman" w:hAnsi="Times New Roman" w:cs="Times New Roman"/>
          <w:b/>
          <w:bCs/>
          <w:sz w:val="18"/>
          <w:szCs w:val="18"/>
        </w:rPr>
      </w:pPr>
      <w:r w:rsidRPr="00255627">
        <w:rPr>
          <w:rFonts w:ascii="Times New Roman" w:hAnsi="Times New Roman" w:cs="Times New Roman"/>
          <w:b/>
          <w:bCs/>
          <w:sz w:val="18"/>
          <w:szCs w:val="18"/>
        </w:rPr>
        <w:t xml:space="preserve">Figure </w:t>
      </w:r>
      <w:r w:rsidRPr="00255627">
        <w:rPr>
          <w:rFonts w:ascii="Times New Roman" w:hAnsi="Times New Roman" w:cs="Times New Roman" w:hint="eastAsia"/>
          <w:b/>
          <w:bCs/>
          <w:sz w:val="18"/>
          <w:szCs w:val="18"/>
        </w:rPr>
        <w:t>1</w:t>
      </w:r>
      <w:r w:rsidRPr="00255627">
        <w:rPr>
          <w:rFonts w:ascii="Times New Roman" w:hAnsi="Times New Roman" w:cs="Times New Roman"/>
          <w:b/>
          <w:bCs/>
          <w:sz w:val="18"/>
          <w:szCs w:val="18"/>
        </w:rPr>
        <w:t>. Kaplan–Meier survival curves in the propensity score–matched cohort.</w:t>
      </w:r>
      <w:r w:rsidR="000F3B9C">
        <w:rPr>
          <w:rFonts w:ascii="Times New Roman" w:hAnsi="Times New Roman" w:cs="Times New Roman" w:hint="eastAsia"/>
          <w:b/>
          <w:bCs/>
          <w:sz w:val="18"/>
          <w:szCs w:val="18"/>
        </w:rPr>
        <w:t xml:space="preserve"> </w:t>
      </w:r>
      <w:r w:rsidRPr="00255627">
        <w:rPr>
          <w:rFonts w:ascii="Times New Roman" w:hAnsi="Times New Roman" w:cs="Times New Roman"/>
          <w:sz w:val="18"/>
          <w:szCs w:val="18"/>
        </w:rPr>
        <w:t>(</w:t>
      </w:r>
      <w:r w:rsidRPr="00255627">
        <w:rPr>
          <w:rFonts w:ascii="Times New Roman" w:hAnsi="Times New Roman" w:cs="Times New Roman" w:hint="eastAsia"/>
          <w:sz w:val="18"/>
          <w:szCs w:val="18"/>
        </w:rPr>
        <w:t>a</w:t>
      </w:r>
      <w:r w:rsidRPr="00255627">
        <w:rPr>
          <w:rFonts w:ascii="Times New Roman" w:hAnsi="Times New Roman" w:cs="Times New Roman"/>
          <w:sz w:val="18"/>
          <w:szCs w:val="18"/>
        </w:rPr>
        <w:t>) Progression-free survival (PFS); (</w:t>
      </w:r>
      <w:r w:rsidRPr="00255627">
        <w:rPr>
          <w:rFonts w:ascii="Times New Roman" w:hAnsi="Times New Roman" w:cs="Times New Roman" w:hint="eastAsia"/>
          <w:sz w:val="18"/>
          <w:szCs w:val="18"/>
        </w:rPr>
        <w:t>b</w:t>
      </w:r>
      <w:r w:rsidRPr="00255627">
        <w:rPr>
          <w:rFonts w:ascii="Times New Roman" w:hAnsi="Times New Roman" w:cs="Times New Roman"/>
          <w:sz w:val="18"/>
          <w:szCs w:val="18"/>
        </w:rPr>
        <w:t>) Distant metastasis–free survival (DMFS); (</w:t>
      </w:r>
      <w:r w:rsidRPr="00255627">
        <w:rPr>
          <w:rFonts w:ascii="Times New Roman" w:hAnsi="Times New Roman" w:cs="Times New Roman" w:hint="eastAsia"/>
          <w:sz w:val="18"/>
          <w:szCs w:val="18"/>
        </w:rPr>
        <w:t>c</w:t>
      </w:r>
      <w:r w:rsidRPr="00255627">
        <w:rPr>
          <w:rFonts w:ascii="Times New Roman" w:hAnsi="Times New Roman" w:cs="Times New Roman"/>
          <w:sz w:val="18"/>
          <w:szCs w:val="18"/>
        </w:rPr>
        <w:t>) Locoregional relapse–free survival (LRFS).</w:t>
      </w:r>
      <w:r w:rsidRPr="00255627">
        <w:rPr>
          <w:rFonts w:ascii="Times New Roman" w:hAnsi="Times New Roman" w:cstheme="minorBidi"/>
          <w:b/>
          <w:bCs/>
          <w:kern w:val="2"/>
          <w:sz w:val="18"/>
          <w:szCs w:val="18"/>
          <w14:ligatures w14:val="standardContextual"/>
        </w:rPr>
        <w:t xml:space="preserve"> </w:t>
      </w:r>
      <w:r w:rsidRPr="00255627">
        <w:rPr>
          <w:rFonts w:ascii="Times New Roman" w:hAnsi="Times New Roman" w:cs="Times New Roman"/>
          <w:b/>
          <w:bCs/>
          <w:sz w:val="18"/>
          <w:szCs w:val="18"/>
        </w:rPr>
        <w:t>Note:</w:t>
      </w:r>
      <w:r w:rsidRPr="00255627">
        <w:rPr>
          <w:rFonts w:ascii="Times New Roman" w:hAnsi="Times New Roman" w:cs="Times New Roman"/>
          <w:sz w:val="18"/>
          <w:szCs w:val="18"/>
        </w:rPr>
        <w:t xml:space="preserve"> Owing </w:t>
      </w:r>
      <w:r w:rsidRPr="00255627">
        <w:rPr>
          <w:rFonts w:ascii="Times New Roman" w:hAnsi="Times New Roman" w:cs="Times New Roman"/>
          <w:sz w:val="18"/>
          <w:szCs w:val="18"/>
        </w:rPr>
        <w:lastRenderedPageBreak/>
        <w:t>to the small number of patients at risk at the tail of follow-up, greater variability may be observed in the late portions of the survival curves; therefore, these findings should be interpreted with caution.</w:t>
      </w:r>
    </w:p>
    <w:p w14:paraId="5509F8E6" w14:textId="77777777" w:rsidR="00D606CB" w:rsidRPr="00255627" w:rsidRDefault="00D606CB">
      <w:pPr>
        <w:pStyle w:val="a9"/>
        <w:adjustRightInd w:val="0"/>
        <w:snapToGrid w:val="0"/>
        <w:spacing w:before="0" w:beforeAutospacing="0" w:after="0" w:afterAutospacing="0" w:line="360" w:lineRule="auto"/>
        <w:rPr>
          <w:rFonts w:ascii="Times New Roman" w:hAnsi="Times New Roman"/>
          <w:b/>
          <w:bCs/>
        </w:rPr>
      </w:pPr>
    </w:p>
    <w:p w14:paraId="7A9E7F45" w14:textId="6BF6723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2</w:t>
      </w:r>
      <w:r>
        <w:rPr>
          <w:rFonts w:ascii="Times New Roman" w:hAnsi="Times New Roman" w:hint="eastAsia"/>
          <w:b/>
          <w:bCs/>
        </w:rPr>
        <w:t>.</w:t>
      </w:r>
      <w:r w:rsidR="00D52B88">
        <w:rPr>
          <w:rFonts w:ascii="Times New Roman" w:hAnsi="Times New Roman" w:hint="eastAsia"/>
          <w:b/>
          <w:bCs/>
        </w:rPr>
        <w:t>8</w:t>
      </w:r>
      <w:r>
        <w:rPr>
          <w:rFonts w:ascii="Times New Roman" w:hAnsi="Times New Roman" w:hint="eastAsia"/>
          <w:b/>
          <w:bCs/>
        </w:rPr>
        <w:t>不良反应</w:t>
      </w:r>
    </w:p>
    <w:p w14:paraId="2D85739A" w14:textId="77777777" w:rsidR="00D606CB" w:rsidRDefault="00000000">
      <w:pPr>
        <w:pStyle w:val="a9"/>
        <w:adjustRightInd w:val="0"/>
        <w:snapToGrid w:val="0"/>
        <w:spacing w:before="0" w:beforeAutospacing="0" w:after="0" w:afterAutospacing="0" w:line="360" w:lineRule="auto"/>
        <w:rPr>
          <w:rFonts w:ascii="Times New Roman" w:hAnsi="Times New Roman"/>
        </w:rPr>
      </w:pPr>
      <w:r>
        <w:rPr>
          <w:rFonts w:ascii="Times New Roman" w:hAnsi="Times New Roman" w:hint="eastAsia"/>
        </w:rPr>
        <w:t xml:space="preserve">   </w:t>
      </w:r>
      <w:r>
        <w:rPr>
          <w:rFonts w:ascii="Times New Roman" w:hAnsi="Times New Roman"/>
        </w:rPr>
        <w:t>在</w:t>
      </w:r>
      <w:r w:rsidRPr="00932EBB">
        <w:rPr>
          <w:rFonts w:ascii="Times New Roman" w:hAnsi="Times New Roman"/>
        </w:rPr>
        <w:t>PSM</w:t>
      </w:r>
      <w:r>
        <w:rPr>
          <w:rFonts w:ascii="Times New Roman" w:hAnsi="Times New Roman"/>
        </w:rPr>
        <w:t>队列中，两组治疗相关不良反应详见</w:t>
      </w:r>
      <w:r w:rsidRPr="00932EBB">
        <w:rPr>
          <w:rFonts w:ascii="Times New Roman" w:hAnsi="Times New Roman"/>
        </w:rPr>
        <w:t>Table</w:t>
      </w:r>
      <w:r>
        <w:rPr>
          <w:rFonts w:ascii="Times New Roman" w:hAnsi="Times New Roman"/>
        </w:rPr>
        <w:t xml:space="preserve"> </w:t>
      </w:r>
      <w:r w:rsidRPr="00932EBB">
        <w:rPr>
          <w:rFonts w:ascii="Times New Roman" w:hAnsi="Times New Roman"/>
        </w:rPr>
        <w:t>6</w:t>
      </w:r>
      <w:r>
        <w:rPr>
          <w:rFonts w:ascii="Times New Roman" w:hAnsi="Times New Roman"/>
        </w:rPr>
        <w:t>。在血液学毒性方面，</w:t>
      </w:r>
      <w:r w:rsidRPr="00932EBB">
        <w:rPr>
          <w:rFonts w:ascii="Times New Roman" w:hAnsi="Times New Roman"/>
        </w:rPr>
        <w:t>IC</w:t>
      </w:r>
      <w:r>
        <w:rPr>
          <w:rFonts w:ascii="Times New Roman" w:hAnsi="Times New Roman"/>
        </w:rPr>
        <w:t>组与</w:t>
      </w:r>
      <w:r w:rsidRPr="00932EBB">
        <w:rPr>
          <w:rFonts w:ascii="Times New Roman" w:hAnsi="Times New Roman"/>
        </w:rPr>
        <w:t>ICIT</w:t>
      </w:r>
      <w:r>
        <w:rPr>
          <w:rFonts w:ascii="Times New Roman" w:hAnsi="Times New Roman"/>
        </w:rPr>
        <w:t>组贫血、血小板减少、白细胞减少及中性粒细胞减少的</w:t>
      </w:r>
      <w:r w:rsidRPr="00932EBB">
        <w:rPr>
          <w:rFonts w:ascii="Times New Roman" w:hAnsi="Times New Roman"/>
        </w:rPr>
        <w:t>G0</w:t>
      </w:r>
      <w:r>
        <w:rPr>
          <w:rFonts w:ascii="Times New Roman" w:hAnsi="Times New Roman"/>
        </w:rPr>
        <w:t>–</w:t>
      </w:r>
      <w:r w:rsidRPr="00932EBB">
        <w:rPr>
          <w:rFonts w:ascii="Times New Roman" w:hAnsi="Times New Roman"/>
        </w:rPr>
        <w:t>2</w:t>
      </w:r>
      <w:r>
        <w:rPr>
          <w:rFonts w:ascii="Times New Roman" w:hAnsi="Times New Roman"/>
        </w:rPr>
        <w:t>发生率差异均无统计学意义（均</w:t>
      </w:r>
      <w:r w:rsidRPr="00932EBB">
        <w:rPr>
          <w:rFonts w:ascii="Times New Roman" w:hAnsi="Times New Roman"/>
        </w:rPr>
        <w:t>P</w:t>
      </w:r>
      <w:r>
        <w:rPr>
          <w:rFonts w:ascii="Times New Roman" w:hAnsi="Times New Roman"/>
        </w:rPr>
        <w:t>&gt;</w:t>
      </w:r>
      <w:r w:rsidRPr="00932EBB">
        <w:rPr>
          <w:rFonts w:ascii="Times New Roman" w:hAnsi="Times New Roman"/>
        </w:rPr>
        <w:t>0</w:t>
      </w:r>
      <w:r>
        <w:rPr>
          <w:rFonts w:ascii="Times New Roman" w:hAnsi="Times New Roman"/>
        </w:rPr>
        <w:t>.</w:t>
      </w:r>
      <w:r w:rsidRPr="00932EBB">
        <w:rPr>
          <w:rFonts w:ascii="Times New Roman" w:hAnsi="Times New Roman"/>
        </w:rPr>
        <w:t>05</w:t>
      </w:r>
      <w:r>
        <w:rPr>
          <w:rFonts w:ascii="Times New Roman" w:hAnsi="Times New Roman"/>
        </w:rPr>
        <w:t>）。</w:t>
      </w:r>
      <w:r w:rsidRPr="00932EBB">
        <w:rPr>
          <w:rFonts w:ascii="Times New Roman" w:hAnsi="Times New Roman"/>
        </w:rPr>
        <w:t>G3</w:t>
      </w:r>
      <w:r>
        <w:rPr>
          <w:rFonts w:ascii="Times New Roman" w:hAnsi="Times New Roman"/>
        </w:rPr>
        <w:t>–</w:t>
      </w:r>
      <w:r w:rsidRPr="00932EBB">
        <w:rPr>
          <w:rFonts w:ascii="Times New Roman" w:hAnsi="Times New Roman"/>
        </w:rPr>
        <w:t>4</w:t>
      </w:r>
      <w:r>
        <w:rPr>
          <w:rFonts w:ascii="Times New Roman" w:hAnsi="Times New Roman"/>
        </w:rPr>
        <w:t>贫血（</w:t>
      </w:r>
      <w:r w:rsidRPr="00932EBB">
        <w:rPr>
          <w:rFonts w:ascii="Times New Roman" w:hAnsi="Times New Roman"/>
        </w:rPr>
        <w:t>10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）、血小板减少（</w:t>
      </w:r>
      <w:r w:rsidRPr="00932EBB">
        <w:rPr>
          <w:rFonts w:ascii="Times New Roman" w:hAnsi="Times New Roman"/>
        </w:rPr>
        <w:t>10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13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）、白细胞减少（</w:t>
      </w:r>
      <w:r w:rsidRPr="00932EBB">
        <w:rPr>
          <w:rFonts w:ascii="Times New Roman" w:hAnsi="Times New Roman"/>
        </w:rPr>
        <w:t>20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16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rPr>
        <w:t>）和中性粒细胞减少（</w:t>
      </w:r>
      <w:r w:rsidRPr="00932EBB">
        <w:rPr>
          <w:rFonts w:ascii="Times New Roman" w:hAnsi="Times New Roman"/>
        </w:rPr>
        <w:t>26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hint="eastAsia"/>
        </w:rPr>
        <w:t xml:space="preserve"> </w:t>
      </w:r>
      <w:r w:rsidRPr="00932EBB">
        <w:rPr>
          <w:rFonts w:ascii="Times New Roman" w:hAnsi="Times New Roman"/>
        </w:rPr>
        <w:t>vs</w:t>
      </w:r>
      <w:r>
        <w:rPr>
          <w:rFonts w:ascii="Times New Roman" w:hAnsi="Times New Roman"/>
        </w:rPr>
        <w:t>.</w:t>
      </w:r>
      <w:r>
        <w:rPr>
          <w:rFonts w:ascii="Times New Roman" w:hAnsi="Times New Roman" w:hint="eastAsia"/>
        </w:rPr>
        <w:t xml:space="preserve"> </w:t>
      </w:r>
      <w:r w:rsidRPr="00932EBB">
        <w:rPr>
          <w:rFonts w:ascii="Times New Roman" w:hAnsi="Times New Roman"/>
        </w:rPr>
        <w:t>20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）的发生率在两组间亦无统计学差异。在非血液学毒性方面，肝功能损伤和甲状腺功能减退在两组中主要为</w:t>
      </w:r>
      <w:r w:rsidRPr="00932EBB">
        <w:rPr>
          <w:rFonts w:ascii="Times New Roman" w:hAnsi="Times New Roman"/>
        </w:rPr>
        <w:t>G0</w:t>
      </w:r>
      <w:r>
        <w:rPr>
          <w:rFonts w:ascii="Times New Roman" w:hAnsi="Times New Roman"/>
        </w:rPr>
        <w:t>–</w:t>
      </w:r>
      <w:r w:rsidRPr="00932EBB">
        <w:rPr>
          <w:rFonts w:ascii="Times New Roman" w:hAnsi="Times New Roman"/>
        </w:rPr>
        <w:t>2</w:t>
      </w:r>
      <w:r>
        <w:rPr>
          <w:rFonts w:ascii="Times New Roman" w:hAnsi="Times New Roman"/>
        </w:rPr>
        <w:t>级，</w:t>
      </w:r>
      <w:r w:rsidRPr="00932EBB">
        <w:rPr>
          <w:rFonts w:ascii="Times New Roman" w:hAnsi="Times New Roman"/>
        </w:rPr>
        <w:t>G3</w:t>
      </w:r>
      <w:r>
        <w:rPr>
          <w:rFonts w:ascii="Times New Roman" w:hAnsi="Times New Roman"/>
        </w:rPr>
        <w:t>–</w:t>
      </w:r>
      <w:r w:rsidRPr="00932EBB">
        <w:rPr>
          <w:rFonts w:ascii="Times New Roman" w:hAnsi="Times New Roman"/>
        </w:rPr>
        <w:t>4</w:t>
      </w:r>
      <w:r>
        <w:rPr>
          <w:rFonts w:ascii="Times New Roman" w:hAnsi="Times New Roman"/>
        </w:rPr>
        <w:t>级发生率较低且组间差异无统计学意义。两组恶心、呕吐、腹泻及便秘等胃肠道不良反应发生率亦无显著差异。口腔黏膜炎在</w:t>
      </w:r>
      <w:r w:rsidRPr="00932EBB">
        <w:rPr>
          <w:rFonts w:ascii="Times New Roman" w:hAnsi="Times New Roman"/>
        </w:rPr>
        <w:t>ICIT</w:t>
      </w:r>
      <w:r>
        <w:rPr>
          <w:rFonts w:ascii="Times New Roman" w:hAnsi="Times New Roman"/>
        </w:rPr>
        <w:t>组中的</w:t>
      </w:r>
      <w:r w:rsidRPr="00932EBB">
        <w:rPr>
          <w:rFonts w:ascii="Times New Roman" w:hAnsi="Times New Roman"/>
        </w:rPr>
        <w:t>G3</w:t>
      </w:r>
      <w:r>
        <w:rPr>
          <w:rFonts w:ascii="Times New Roman" w:hAnsi="Times New Roman"/>
        </w:rPr>
        <w:t>–</w:t>
      </w:r>
      <w:r w:rsidRPr="00932EBB">
        <w:rPr>
          <w:rFonts w:ascii="Times New Roman" w:hAnsi="Times New Roman"/>
        </w:rPr>
        <w:t>4</w:t>
      </w:r>
      <w:r>
        <w:rPr>
          <w:rFonts w:ascii="Times New Roman" w:hAnsi="Times New Roman"/>
        </w:rPr>
        <w:t>发生率为</w:t>
      </w:r>
      <w:r w:rsidRPr="00932EBB">
        <w:rPr>
          <w:rFonts w:ascii="Times New Roman" w:hAnsi="Times New Roman"/>
        </w:rPr>
        <w:t>40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，数值上高于</w:t>
      </w:r>
      <w:r w:rsidRPr="00932EBB">
        <w:rPr>
          <w:rFonts w:ascii="Times New Roman" w:hAnsi="Times New Roman"/>
        </w:rPr>
        <w:t>IC</w:t>
      </w:r>
      <w:r>
        <w:rPr>
          <w:rFonts w:ascii="Times New Roman" w:hAnsi="Times New Roman"/>
        </w:rPr>
        <w:t>组的</w:t>
      </w:r>
      <w:r w:rsidRPr="00932EBB">
        <w:rPr>
          <w:rFonts w:ascii="Times New Roman" w:hAnsi="Times New Roman"/>
        </w:rPr>
        <w:t>16</w:t>
      </w:r>
      <w:r>
        <w:rPr>
          <w:rFonts w:ascii="Times New Roman" w:hAnsi="Times New Roman"/>
        </w:rPr>
        <w:t>.</w:t>
      </w:r>
      <w:r w:rsidRPr="00932EBB">
        <w:rPr>
          <w:rFonts w:ascii="Times New Roman" w:hAnsi="Times New Roman"/>
        </w:rPr>
        <w:t>7</w:t>
      </w:r>
      <w:r>
        <w:rPr>
          <w:rFonts w:ascii="Times New Roman" w:hAnsi="Times New Roman"/>
        </w:rPr>
        <w:t>%</w:t>
      </w:r>
      <w:r>
        <w:rPr>
          <w:rFonts w:ascii="Times New Roman" w:hAnsi="Times New Roman"/>
        </w:rPr>
        <w:t>，但差异未达到统计学显著性（</w:t>
      </w:r>
      <w:r w:rsidRPr="00932EBB">
        <w:rPr>
          <w:rFonts w:ascii="Times New Roman" w:hAnsi="Times New Roman"/>
        </w:rPr>
        <w:t>P</w:t>
      </w:r>
      <w:r>
        <w:rPr>
          <w:rFonts w:ascii="Times New Roman" w:hAnsi="Times New Roman"/>
        </w:rPr>
        <w:t>=</w:t>
      </w:r>
      <w:r w:rsidRPr="00932EBB">
        <w:rPr>
          <w:rFonts w:ascii="Times New Roman" w:hAnsi="Times New Roman"/>
        </w:rPr>
        <w:t>0</w:t>
      </w:r>
      <w:r>
        <w:rPr>
          <w:rFonts w:ascii="Times New Roman" w:hAnsi="Times New Roman"/>
        </w:rPr>
        <w:t>.</w:t>
      </w:r>
      <w:r w:rsidRPr="00932EBB">
        <w:rPr>
          <w:rFonts w:ascii="Times New Roman" w:hAnsi="Times New Roman"/>
        </w:rPr>
        <w:t>084</w:t>
      </w:r>
      <w:r>
        <w:rPr>
          <w:rFonts w:ascii="Times New Roman" w:hAnsi="Times New Roman"/>
        </w:rPr>
        <w:t>）。</w:t>
      </w:r>
      <w:r w:rsidRPr="00932EBB">
        <w:rPr>
          <w:rFonts w:ascii="Times New Roman" w:hAnsi="Times New Roman"/>
        </w:rPr>
        <w:t>ICIT</w:t>
      </w:r>
      <w:r>
        <w:rPr>
          <w:rFonts w:ascii="Times New Roman" w:hAnsi="Times New Roman"/>
        </w:rPr>
        <w:t>组中观察到</w:t>
      </w:r>
      <w:r w:rsidRPr="00932EBB">
        <w:rPr>
          <w:rFonts w:ascii="Times New Roman" w:hAnsi="Times New Roman"/>
        </w:rPr>
        <w:t>1</w:t>
      </w:r>
      <w:r>
        <w:rPr>
          <w:rFonts w:ascii="Times New Roman" w:hAnsi="Times New Roman"/>
        </w:rPr>
        <w:t>例</w:t>
      </w:r>
      <w:r w:rsidRPr="00932EBB">
        <w:rPr>
          <w:rFonts w:ascii="Times New Roman" w:hAnsi="Times New Roman"/>
        </w:rPr>
        <w:t>G1</w:t>
      </w:r>
      <w:r>
        <w:rPr>
          <w:rFonts w:ascii="Times New Roman" w:hAnsi="Times New Roman"/>
        </w:rPr>
        <w:t>–</w:t>
      </w:r>
      <w:r w:rsidRPr="00932EBB">
        <w:rPr>
          <w:rFonts w:ascii="Times New Roman" w:hAnsi="Times New Roman"/>
        </w:rPr>
        <w:t>2</w:t>
      </w:r>
      <w:r>
        <w:rPr>
          <w:rFonts w:ascii="Times New Roman" w:hAnsi="Times New Roman"/>
        </w:rPr>
        <w:t>免疫相关性肺炎，未出现</w:t>
      </w:r>
      <w:r w:rsidRPr="00932EBB">
        <w:rPr>
          <w:rFonts w:ascii="Times New Roman" w:hAnsi="Times New Roman"/>
        </w:rPr>
        <w:t>G3</w:t>
      </w:r>
      <w:r>
        <w:rPr>
          <w:rFonts w:ascii="Times New Roman" w:hAnsi="Times New Roman"/>
        </w:rPr>
        <w:t>–</w:t>
      </w:r>
      <w:r w:rsidRPr="00932EBB">
        <w:rPr>
          <w:rFonts w:ascii="Times New Roman" w:hAnsi="Times New Roman"/>
        </w:rPr>
        <w:t>4</w:t>
      </w:r>
      <w:r>
        <w:rPr>
          <w:rFonts w:ascii="Times New Roman" w:hAnsi="Times New Roman"/>
        </w:rPr>
        <w:t>肺炎。此外，</w:t>
      </w:r>
      <w:r w:rsidRPr="00932EBB">
        <w:rPr>
          <w:rFonts w:ascii="Times New Roman" w:hAnsi="Times New Roman"/>
        </w:rPr>
        <w:t>ICIT</w:t>
      </w:r>
      <w:r>
        <w:rPr>
          <w:rFonts w:ascii="Times New Roman" w:hAnsi="Times New Roman"/>
        </w:rPr>
        <w:t>组中</w:t>
      </w:r>
      <w:r w:rsidRPr="00932EBB">
        <w:rPr>
          <w:rFonts w:ascii="Times New Roman" w:hAnsi="Times New Roman"/>
        </w:rPr>
        <w:t>G1</w:t>
      </w:r>
      <w:r>
        <w:rPr>
          <w:rFonts w:ascii="Times New Roman" w:hAnsi="Times New Roman"/>
        </w:rPr>
        <w:t>–</w:t>
      </w:r>
      <w:r w:rsidRPr="00932EBB">
        <w:rPr>
          <w:rFonts w:ascii="Times New Roman" w:hAnsi="Times New Roman"/>
        </w:rPr>
        <w:t>2</w:t>
      </w:r>
      <w:r>
        <w:rPr>
          <w:rFonts w:ascii="Times New Roman" w:hAnsi="Times New Roman"/>
        </w:rPr>
        <w:t>皮炎发生率为</w:t>
      </w:r>
      <w:r w:rsidRPr="00932EBB">
        <w:rPr>
          <w:rFonts w:ascii="Times New Roman" w:hAnsi="Times New Roman"/>
        </w:rPr>
        <w:t>33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w:t>
      </w:r>
      <w:r w:rsidRPr="00932EBB">
        <w:rPr>
          <w:rFonts w:ascii="Times New Roman" w:hAnsi="Times New Roman"/>
        </w:rPr>
        <w:t>IC</w:t>
      </w:r>
      <w:r>
        <w:rPr>
          <w:rFonts w:ascii="Times New Roman" w:hAnsi="Times New Roman"/>
        </w:rPr>
        <w:t>组为</w:t>
      </w:r>
      <w:r w:rsidRPr="00932EBB">
        <w:rPr>
          <w:rFonts w:ascii="Times New Roman" w:hAnsi="Times New Roman"/>
        </w:rPr>
        <w:t>13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，两组均未出现</w:t>
      </w:r>
      <w:r w:rsidRPr="00932EBB">
        <w:rPr>
          <w:rFonts w:ascii="Times New Roman" w:hAnsi="Times New Roman"/>
        </w:rPr>
        <w:t>G3</w:t>
      </w:r>
      <w:r>
        <w:rPr>
          <w:rFonts w:ascii="Times New Roman" w:hAnsi="Times New Roman"/>
        </w:rPr>
        <w:t>–</w:t>
      </w:r>
      <w:r w:rsidRPr="00932EBB">
        <w:rPr>
          <w:rFonts w:ascii="Times New Roman" w:hAnsi="Times New Roman"/>
        </w:rPr>
        <w:t>4</w:t>
      </w:r>
      <w:r>
        <w:rPr>
          <w:rFonts w:ascii="Times New Roman" w:hAnsi="Times New Roman"/>
        </w:rPr>
        <w:t>皮炎。</w:t>
      </w:r>
    </w:p>
    <w:p w14:paraId="3B3278D5" w14:textId="20F88BBA" w:rsidR="00D606CB" w:rsidRDefault="000F3B9C">
      <w:pPr>
        <w:pStyle w:val="2"/>
        <w:spacing w:line="160" w:lineRule="atLeast"/>
        <w:rPr>
          <w:rFonts w:ascii="Times New Roman" w:eastAsia="宋体" w:hAnsi="Times New Roman" w:cs="Times New Roman"/>
          <w:color w:val="auto"/>
          <w:sz w:val="18"/>
          <w:szCs w:val="18"/>
        </w:rPr>
      </w:pPr>
      <w:r w:rsidRPr="000F3B9C">
        <w:rPr>
          <w:rFonts w:ascii="Times New Roman" w:eastAsia="宋体" w:hAnsi="Times New Roman" w:cs="Times New Roman"/>
          <w:b/>
          <w:bCs/>
          <w:color w:val="auto"/>
          <w:sz w:val="18"/>
          <w:szCs w:val="18"/>
        </w:rPr>
        <w:t>Table 6. Treatment-related adverse events by grade in the IC and ICIT groups</w:t>
      </w:r>
    </w:p>
    <w:tbl>
      <w:tblPr>
        <w:tblW w:w="0" w:type="auto"/>
        <w:tblBorders>
          <w:top w:val="single" w:sz="12" w:space="0" w:color="auto"/>
          <w:bottom w:val="single" w:sz="12" w:space="0" w:color="auto"/>
        </w:tblBorders>
        <w:tblLook w:val="04A0" w:firstRow="1" w:lastRow="0" w:firstColumn="1" w:lastColumn="0" w:noHBand="0" w:noVBand="1"/>
      </w:tblPr>
      <w:tblGrid>
        <w:gridCol w:w="1586"/>
        <w:gridCol w:w="1122"/>
        <w:gridCol w:w="1122"/>
        <w:gridCol w:w="1116"/>
        <w:gridCol w:w="1122"/>
        <w:gridCol w:w="1122"/>
        <w:gridCol w:w="1116"/>
      </w:tblGrid>
      <w:tr w:rsidR="00D606CB" w14:paraId="675CB59A" w14:textId="77777777" w:rsidTr="00BE0ADF">
        <w:tc>
          <w:tcPr>
            <w:tcW w:w="1586" w:type="dxa"/>
            <w:tcBorders>
              <w:bottom w:val="single" w:sz="6" w:space="0" w:color="auto"/>
            </w:tcBorders>
          </w:tcPr>
          <w:p w14:paraId="1A526457" w14:textId="764EDDB7" w:rsidR="00D606CB" w:rsidRDefault="00C92343">
            <w:pPr>
              <w:rPr>
                <w:rFonts w:ascii="Times New Roman" w:eastAsia="宋体" w:hAnsi="Times New Roman" w:cs="Times New Roman"/>
                <w:sz w:val="18"/>
                <w:szCs w:val="18"/>
              </w:rPr>
            </w:pPr>
            <w:r w:rsidRPr="00C92343">
              <w:rPr>
                <w:rFonts w:ascii="Times New Roman" w:eastAsia="宋体" w:hAnsi="Times New Roman" w:cs="Times New Roman" w:hint="eastAsia"/>
                <w:sz w:val="18"/>
                <w:szCs w:val="18"/>
              </w:rPr>
              <w:t>Adverse event</w:t>
            </w:r>
          </w:p>
        </w:tc>
        <w:tc>
          <w:tcPr>
            <w:tcW w:w="1122" w:type="dxa"/>
            <w:tcBorders>
              <w:bottom w:val="single" w:sz="6" w:space="0" w:color="auto"/>
            </w:tcBorders>
          </w:tcPr>
          <w:p w14:paraId="4194C6E8" w14:textId="77777777" w:rsidR="00DE4C15"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IC</w:t>
            </w:r>
          </w:p>
          <w:p w14:paraId="611690F4" w14:textId="1A6D9755"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G0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2</w:t>
            </w:r>
            <w:r w:rsidR="006D6F32">
              <w:rPr>
                <w:rFonts w:ascii="Times New Roman" w:eastAsia="宋体" w:hAnsi="Times New Roman" w:cs="Times New Roman" w:hint="eastAsia"/>
                <w:sz w:val="18"/>
                <w:szCs w:val="18"/>
              </w:rPr>
              <w:t xml:space="preserve"> n</w:t>
            </w:r>
            <w:r>
              <w:rPr>
                <w:rFonts w:ascii="Times New Roman" w:eastAsia="宋体" w:hAnsi="Times New Roman" w:cs="Times New Roman"/>
                <w:sz w:val="18"/>
                <w:szCs w:val="18"/>
              </w:rPr>
              <w:t>(%)</w:t>
            </w:r>
          </w:p>
        </w:tc>
        <w:tc>
          <w:tcPr>
            <w:tcW w:w="1122" w:type="dxa"/>
            <w:tcBorders>
              <w:bottom w:val="single" w:sz="6" w:space="0" w:color="auto"/>
            </w:tcBorders>
          </w:tcPr>
          <w:p w14:paraId="39C3DD79" w14:textId="04D83D19"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ICIT</w:t>
            </w:r>
          </w:p>
          <w:p w14:paraId="6466F163" w14:textId="1620566B"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G0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2</w:t>
            </w:r>
            <w:r>
              <w:rPr>
                <w:rFonts w:ascii="Times New Roman" w:eastAsia="宋体" w:hAnsi="Times New Roman" w:cs="Times New Roman"/>
                <w:sz w:val="18"/>
                <w:szCs w:val="18"/>
              </w:rPr>
              <w:t xml:space="preserve"> </w:t>
            </w:r>
            <w:r w:rsidR="006D6F32">
              <w:rPr>
                <w:rFonts w:ascii="Times New Roman" w:eastAsia="宋体" w:hAnsi="Times New Roman" w:cs="Times New Roman" w:hint="eastAsia"/>
                <w:sz w:val="18"/>
                <w:szCs w:val="18"/>
              </w:rPr>
              <w:t>n</w:t>
            </w:r>
            <w:r>
              <w:rPr>
                <w:rFonts w:ascii="Times New Roman" w:eastAsia="宋体" w:hAnsi="Times New Roman" w:cs="Times New Roman"/>
                <w:sz w:val="18"/>
                <w:szCs w:val="18"/>
              </w:rPr>
              <w:t>(%)</w:t>
            </w:r>
          </w:p>
        </w:tc>
        <w:tc>
          <w:tcPr>
            <w:tcW w:w="1116" w:type="dxa"/>
            <w:tcBorders>
              <w:bottom w:val="single" w:sz="6" w:space="0" w:color="auto"/>
            </w:tcBorders>
          </w:tcPr>
          <w:p w14:paraId="5C4746B1" w14:textId="4EFF495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P</w:t>
            </w:r>
            <w:r w:rsidR="006D6F32">
              <w:rPr>
                <w:rFonts w:ascii="Times New Roman" w:eastAsia="宋体" w:hAnsi="Times New Roman" w:cs="Times New Roman" w:hint="eastAsia"/>
                <w:sz w:val="18"/>
                <w:szCs w:val="18"/>
              </w:rPr>
              <w:t xml:space="preserve"> </w:t>
            </w:r>
            <w:r w:rsidR="006D6F32" w:rsidRPr="006D6F32">
              <w:rPr>
                <w:rFonts w:ascii="Times New Roman" w:eastAsia="宋体" w:hAnsi="Times New Roman" w:cs="Times New Roman"/>
                <w:sz w:val="18"/>
                <w:szCs w:val="18"/>
              </w:rPr>
              <w:t>value</w:t>
            </w:r>
          </w:p>
          <w:p w14:paraId="356FEB70" w14:textId="77777777" w:rsidR="00D606CB" w:rsidRDefault="00000000">
            <w:pPr>
              <w:rPr>
                <w:rFonts w:ascii="Times New Roman" w:eastAsia="宋体" w:hAnsi="Times New Roman" w:cs="Times New Roman"/>
                <w:sz w:val="18"/>
                <w:szCs w:val="18"/>
              </w:rPr>
            </w:pPr>
            <w:r>
              <w:rPr>
                <w:rFonts w:ascii="Times New Roman" w:eastAsia="宋体" w:hAnsi="Times New Roman" w:cs="Times New Roman"/>
                <w:sz w:val="18"/>
                <w:szCs w:val="18"/>
              </w:rPr>
              <w:t>(</w:t>
            </w:r>
            <w:r w:rsidRPr="00932EBB">
              <w:rPr>
                <w:rFonts w:ascii="Times New Roman" w:eastAsia="宋体" w:hAnsi="Times New Roman" w:cs="Times New Roman"/>
                <w:sz w:val="18"/>
                <w:szCs w:val="18"/>
              </w:rPr>
              <w:t>G0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2</w:t>
            </w:r>
            <w:r>
              <w:rPr>
                <w:rFonts w:ascii="Times New Roman" w:eastAsia="宋体" w:hAnsi="Times New Roman" w:cs="Times New Roman"/>
                <w:sz w:val="18"/>
                <w:szCs w:val="18"/>
              </w:rPr>
              <w:t>)</w:t>
            </w:r>
          </w:p>
        </w:tc>
        <w:tc>
          <w:tcPr>
            <w:tcW w:w="1122" w:type="dxa"/>
            <w:tcBorders>
              <w:bottom w:val="single" w:sz="6" w:space="0" w:color="auto"/>
            </w:tcBorders>
          </w:tcPr>
          <w:p w14:paraId="21A7FA30" w14:textId="48D3BB4E"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IC</w:t>
            </w:r>
          </w:p>
          <w:p w14:paraId="5BA2E195" w14:textId="0FB974FD"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G3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006D6F32">
              <w:rPr>
                <w:rFonts w:ascii="Times New Roman" w:eastAsia="宋体" w:hAnsi="Times New Roman" w:cs="Times New Roman" w:hint="eastAsia"/>
                <w:sz w:val="18"/>
                <w:szCs w:val="18"/>
              </w:rPr>
              <w:t>n</w:t>
            </w:r>
            <w:r>
              <w:rPr>
                <w:rFonts w:ascii="Times New Roman" w:eastAsia="宋体" w:hAnsi="Times New Roman" w:cs="Times New Roman"/>
                <w:sz w:val="18"/>
                <w:szCs w:val="18"/>
              </w:rPr>
              <w:t>(%)</w:t>
            </w:r>
          </w:p>
        </w:tc>
        <w:tc>
          <w:tcPr>
            <w:tcW w:w="1122" w:type="dxa"/>
            <w:tcBorders>
              <w:bottom w:val="single" w:sz="6" w:space="0" w:color="auto"/>
            </w:tcBorders>
          </w:tcPr>
          <w:p w14:paraId="12B5075E" w14:textId="7DC57FEA"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ICIT</w:t>
            </w:r>
          </w:p>
          <w:p w14:paraId="00A0E628" w14:textId="40968028"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G3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006D6F32">
              <w:rPr>
                <w:rFonts w:ascii="Times New Roman" w:eastAsia="宋体" w:hAnsi="Times New Roman" w:cs="Times New Roman" w:hint="eastAsia"/>
                <w:sz w:val="18"/>
                <w:szCs w:val="18"/>
              </w:rPr>
              <w:t>n</w:t>
            </w:r>
            <w:r>
              <w:rPr>
                <w:rFonts w:ascii="Times New Roman" w:eastAsia="宋体" w:hAnsi="Times New Roman" w:cs="Times New Roman"/>
                <w:sz w:val="18"/>
                <w:szCs w:val="18"/>
              </w:rPr>
              <w:t>(%)</w:t>
            </w:r>
          </w:p>
        </w:tc>
        <w:tc>
          <w:tcPr>
            <w:tcW w:w="1116" w:type="dxa"/>
            <w:tcBorders>
              <w:bottom w:val="single" w:sz="6" w:space="0" w:color="auto"/>
            </w:tcBorders>
          </w:tcPr>
          <w:p w14:paraId="37AA4F4B" w14:textId="41C62C51"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P</w:t>
            </w:r>
            <w:r w:rsidR="006D6F32" w:rsidRPr="006D6F32">
              <w:t xml:space="preserve"> </w:t>
            </w:r>
            <w:r w:rsidR="006D6F32" w:rsidRPr="006D6F32">
              <w:rPr>
                <w:rFonts w:ascii="Times New Roman" w:eastAsia="宋体" w:hAnsi="Times New Roman" w:cs="Times New Roman"/>
                <w:sz w:val="18"/>
                <w:szCs w:val="18"/>
              </w:rPr>
              <w:t>value</w:t>
            </w:r>
          </w:p>
          <w:p w14:paraId="1BB0C405" w14:textId="77777777" w:rsidR="00D606CB" w:rsidRDefault="00000000">
            <w:pPr>
              <w:rPr>
                <w:rFonts w:ascii="Times New Roman" w:eastAsia="宋体" w:hAnsi="Times New Roman" w:cs="Times New Roman"/>
                <w:sz w:val="18"/>
                <w:szCs w:val="18"/>
              </w:rPr>
            </w:pPr>
            <w:r>
              <w:rPr>
                <w:rFonts w:ascii="Times New Roman" w:eastAsia="宋体" w:hAnsi="Times New Roman" w:cs="Times New Roman"/>
                <w:sz w:val="18"/>
                <w:szCs w:val="18"/>
              </w:rPr>
              <w:t>(</w:t>
            </w:r>
            <w:r w:rsidRPr="00932EBB">
              <w:rPr>
                <w:rFonts w:ascii="Times New Roman" w:eastAsia="宋体" w:hAnsi="Times New Roman" w:cs="Times New Roman"/>
                <w:sz w:val="18"/>
                <w:szCs w:val="18"/>
              </w:rPr>
              <w:t>G3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4</w:t>
            </w:r>
            <w:r>
              <w:rPr>
                <w:rFonts w:ascii="Times New Roman" w:eastAsia="宋体" w:hAnsi="Times New Roman" w:cs="Times New Roman"/>
                <w:sz w:val="18"/>
                <w:szCs w:val="18"/>
              </w:rPr>
              <w:t>)</w:t>
            </w:r>
          </w:p>
        </w:tc>
      </w:tr>
      <w:tr w:rsidR="00D606CB" w14:paraId="0E7A8D5A" w14:textId="77777777" w:rsidTr="00BE0ADF">
        <w:tc>
          <w:tcPr>
            <w:tcW w:w="1586" w:type="dxa"/>
            <w:tcBorders>
              <w:top w:val="single" w:sz="6" w:space="0" w:color="auto"/>
            </w:tcBorders>
          </w:tcPr>
          <w:p w14:paraId="6AAFC137" w14:textId="762119EA"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Anemia</w:t>
            </w:r>
          </w:p>
        </w:tc>
        <w:tc>
          <w:tcPr>
            <w:tcW w:w="1122" w:type="dxa"/>
            <w:tcBorders>
              <w:top w:val="single" w:sz="6" w:space="0" w:color="auto"/>
            </w:tcBorders>
          </w:tcPr>
          <w:p w14:paraId="739446E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43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Borders>
              <w:top w:val="single" w:sz="6" w:space="0" w:color="auto"/>
            </w:tcBorders>
          </w:tcPr>
          <w:p w14:paraId="1A6FEECC"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9</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Borders>
              <w:top w:val="single" w:sz="6" w:space="0" w:color="auto"/>
            </w:tcBorders>
          </w:tcPr>
          <w:p w14:paraId="5328BF7B"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422</w:t>
            </w:r>
          </w:p>
        </w:tc>
        <w:tc>
          <w:tcPr>
            <w:tcW w:w="1122" w:type="dxa"/>
            <w:tcBorders>
              <w:top w:val="single" w:sz="6" w:space="0" w:color="auto"/>
            </w:tcBorders>
          </w:tcPr>
          <w:p w14:paraId="5D46B47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Borders>
              <w:top w:val="single" w:sz="6" w:space="0" w:color="auto"/>
            </w:tcBorders>
          </w:tcPr>
          <w:p w14:paraId="7C8515F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Borders>
              <w:top w:val="single" w:sz="6" w:space="0" w:color="auto"/>
            </w:tcBorders>
          </w:tcPr>
          <w:p w14:paraId="18A86014"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612</w:t>
            </w:r>
          </w:p>
        </w:tc>
      </w:tr>
      <w:tr w:rsidR="00D606CB" w14:paraId="7D6B9040" w14:textId="77777777" w:rsidTr="00BE0ADF">
        <w:tc>
          <w:tcPr>
            <w:tcW w:w="1586" w:type="dxa"/>
          </w:tcPr>
          <w:p w14:paraId="0E8D5E03" w14:textId="0974BE7D"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Thrombocytopenia</w:t>
            </w:r>
          </w:p>
        </w:tc>
        <w:tc>
          <w:tcPr>
            <w:tcW w:w="1122" w:type="dxa"/>
          </w:tcPr>
          <w:p w14:paraId="605C41ED"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40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4E59FAB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6CF3FB3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789</w:t>
            </w:r>
          </w:p>
        </w:tc>
        <w:tc>
          <w:tcPr>
            <w:tcW w:w="1122" w:type="dxa"/>
          </w:tcPr>
          <w:p w14:paraId="66FA85A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3E5B1D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0DE3F64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0C738CB2" w14:textId="77777777" w:rsidTr="00BE0ADF">
        <w:tc>
          <w:tcPr>
            <w:tcW w:w="1586" w:type="dxa"/>
          </w:tcPr>
          <w:p w14:paraId="2289E9A1" w14:textId="671D20E6"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Leukopenia</w:t>
            </w:r>
          </w:p>
        </w:tc>
        <w:tc>
          <w:tcPr>
            <w:tcW w:w="1122" w:type="dxa"/>
          </w:tcPr>
          <w:p w14:paraId="1FD47B1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21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70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581E9C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19</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63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53F276B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785</w:t>
            </w:r>
          </w:p>
        </w:tc>
        <w:tc>
          <w:tcPr>
            <w:tcW w:w="1122" w:type="dxa"/>
          </w:tcPr>
          <w:p w14:paraId="17C2561B"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6</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156DFFA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5</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16" w:type="dxa"/>
          </w:tcPr>
          <w:p w14:paraId="37F6A70E"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06EF98FA" w14:textId="77777777" w:rsidTr="00BE0ADF">
        <w:tc>
          <w:tcPr>
            <w:tcW w:w="1586" w:type="dxa"/>
          </w:tcPr>
          <w:p w14:paraId="47E93C84" w14:textId="4B6A5D3D"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Neutropenia</w:t>
            </w:r>
          </w:p>
        </w:tc>
        <w:tc>
          <w:tcPr>
            <w:tcW w:w="1122" w:type="dxa"/>
          </w:tcPr>
          <w:p w14:paraId="59C3621A"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15</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50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7976A9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8</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16" w:type="dxa"/>
          </w:tcPr>
          <w:p w14:paraId="46E11951"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110</w:t>
            </w:r>
          </w:p>
        </w:tc>
        <w:tc>
          <w:tcPr>
            <w:tcW w:w="1122" w:type="dxa"/>
          </w:tcPr>
          <w:p w14:paraId="449518E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8</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22" w:type="dxa"/>
          </w:tcPr>
          <w:p w14:paraId="26EA60DE"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6</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0892E88A"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761</w:t>
            </w:r>
          </w:p>
        </w:tc>
      </w:tr>
      <w:tr w:rsidR="00D606CB" w14:paraId="3FD9189E" w14:textId="77777777" w:rsidTr="00BE0ADF">
        <w:tc>
          <w:tcPr>
            <w:tcW w:w="1586" w:type="dxa"/>
          </w:tcPr>
          <w:p w14:paraId="30CC740E" w14:textId="4DBDAD14"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Hepatic</w:t>
            </w:r>
            <w:r>
              <w:rPr>
                <w:rFonts w:ascii="Times New Roman" w:eastAsia="宋体" w:hAnsi="Times New Roman" w:cs="Times New Roman" w:hint="eastAsia"/>
                <w:sz w:val="18"/>
                <w:szCs w:val="18"/>
              </w:rPr>
              <w:t xml:space="preserve"> </w:t>
            </w:r>
            <w:r w:rsidRPr="00BE0ADF">
              <w:rPr>
                <w:rFonts w:ascii="Times New Roman" w:eastAsia="宋体" w:hAnsi="Times New Roman" w:cs="Times New Roman"/>
                <w:sz w:val="18"/>
                <w:szCs w:val="18"/>
              </w:rPr>
              <w:t>dysfunction</w:t>
            </w:r>
          </w:p>
        </w:tc>
        <w:tc>
          <w:tcPr>
            <w:tcW w:w="1122" w:type="dxa"/>
          </w:tcPr>
          <w:p w14:paraId="2E8D10A2"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8</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22" w:type="dxa"/>
          </w:tcPr>
          <w:p w14:paraId="74C3DEA1"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7</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1940C72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6524854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4519961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019EB02B"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24842947" w14:textId="77777777" w:rsidTr="00BE0ADF">
        <w:tc>
          <w:tcPr>
            <w:tcW w:w="1586" w:type="dxa"/>
          </w:tcPr>
          <w:p w14:paraId="06924BAE" w14:textId="7C36414A"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Hypothyroidism</w:t>
            </w:r>
          </w:p>
        </w:tc>
        <w:tc>
          <w:tcPr>
            <w:tcW w:w="1122" w:type="dxa"/>
          </w:tcPr>
          <w:p w14:paraId="356E0ED4"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6</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5A3BB2D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7</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23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3F486AB9"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583310C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A176667"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2EC05B87"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237</w:t>
            </w:r>
          </w:p>
        </w:tc>
      </w:tr>
      <w:tr w:rsidR="00D606CB" w14:paraId="5D84E9FB" w14:textId="77777777" w:rsidTr="00BE0ADF">
        <w:tc>
          <w:tcPr>
            <w:tcW w:w="1586" w:type="dxa"/>
          </w:tcPr>
          <w:p w14:paraId="7D305D75" w14:textId="43ED0EE8"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Immune-related pneumonitis</w:t>
            </w:r>
          </w:p>
        </w:tc>
        <w:tc>
          <w:tcPr>
            <w:tcW w:w="1122" w:type="dxa"/>
          </w:tcPr>
          <w:p w14:paraId="437E5B72"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61870DB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1524FAA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46B0606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776E84A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65E356C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3746E836" w14:textId="77777777" w:rsidTr="00BE0ADF">
        <w:tc>
          <w:tcPr>
            <w:tcW w:w="1586" w:type="dxa"/>
          </w:tcPr>
          <w:p w14:paraId="4F112C48" w14:textId="7885656B"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Nausea</w:t>
            </w:r>
          </w:p>
        </w:tc>
        <w:tc>
          <w:tcPr>
            <w:tcW w:w="1122" w:type="dxa"/>
          </w:tcPr>
          <w:p w14:paraId="60DCA7C9"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40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0C1DBDDD"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6C0973B7"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789</w:t>
            </w:r>
          </w:p>
        </w:tc>
        <w:tc>
          <w:tcPr>
            <w:tcW w:w="1122" w:type="dxa"/>
          </w:tcPr>
          <w:p w14:paraId="41A928AB"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118A054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76F8865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353</w:t>
            </w:r>
          </w:p>
        </w:tc>
      </w:tr>
      <w:tr w:rsidR="00D606CB" w14:paraId="1A0D93EE" w14:textId="77777777" w:rsidTr="00BE0ADF">
        <w:tc>
          <w:tcPr>
            <w:tcW w:w="1586" w:type="dxa"/>
          </w:tcPr>
          <w:p w14:paraId="36473E67" w14:textId="5BD47BD5"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lastRenderedPageBreak/>
              <w:t>Vomiting</w:t>
            </w:r>
          </w:p>
        </w:tc>
        <w:tc>
          <w:tcPr>
            <w:tcW w:w="1122" w:type="dxa"/>
          </w:tcPr>
          <w:p w14:paraId="6631C6A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9</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1E9E578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3B90704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209</w:t>
            </w:r>
          </w:p>
        </w:tc>
        <w:tc>
          <w:tcPr>
            <w:tcW w:w="1122" w:type="dxa"/>
          </w:tcPr>
          <w:p w14:paraId="2F2FD09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5861522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28993EDE"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612</w:t>
            </w:r>
          </w:p>
        </w:tc>
      </w:tr>
      <w:tr w:rsidR="00D606CB" w14:paraId="1DAB4DB8" w14:textId="77777777" w:rsidTr="00BE0ADF">
        <w:tc>
          <w:tcPr>
            <w:tcW w:w="1586" w:type="dxa"/>
          </w:tcPr>
          <w:p w14:paraId="15F0DDAA" w14:textId="0CC8BA01"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Diarrhea</w:t>
            </w:r>
          </w:p>
        </w:tc>
        <w:tc>
          <w:tcPr>
            <w:tcW w:w="1122" w:type="dxa"/>
          </w:tcPr>
          <w:p w14:paraId="5474922E"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3</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1718DD3C"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16" w:type="dxa"/>
          </w:tcPr>
          <w:p w14:paraId="2FEBF734"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0A77466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1CD4C652"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29C8F6A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64F55D49" w14:textId="77777777" w:rsidTr="00BE0ADF">
        <w:tc>
          <w:tcPr>
            <w:tcW w:w="1586" w:type="dxa"/>
          </w:tcPr>
          <w:p w14:paraId="4FD158A5" w14:textId="50C7A800"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Constipation</w:t>
            </w:r>
          </w:p>
        </w:tc>
        <w:tc>
          <w:tcPr>
            <w:tcW w:w="1122" w:type="dxa"/>
          </w:tcPr>
          <w:p w14:paraId="2D4292C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6E049D4C"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16" w:type="dxa"/>
          </w:tcPr>
          <w:p w14:paraId="42136CBD"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7E3F598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5F59E209"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16415F6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4EC2E93D" w14:textId="77777777" w:rsidTr="00BE0ADF">
        <w:tc>
          <w:tcPr>
            <w:tcW w:w="1586" w:type="dxa"/>
          </w:tcPr>
          <w:p w14:paraId="3408B12E" w14:textId="4A8AC3D7"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Oral mucositis</w:t>
            </w:r>
          </w:p>
        </w:tc>
        <w:tc>
          <w:tcPr>
            <w:tcW w:w="1122" w:type="dxa"/>
          </w:tcPr>
          <w:p w14:paraId="4C820E9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11</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22" w:type="dxa"/>
          </w:tcPr>
          <w:p w14:paraId="3477CC9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40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72F0AD1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162D75AC"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5</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22" w:type="dxa"/>
          </w:tcPr>
          <w:p w14:paraId="6907F60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40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7175C992"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084</w:t>
            </w:r>
          </w:p>
        </w:tc>
      </w:tr>
      <w:tr w:rsidR="00D606CB" w14:paraId="100935FF" w14:textId="77777777" w:rsidTr="00BE0ADF">
        <w:tc>
          <w:tcPr>
            <w:tcW w:w="1586" w:type="dxa"/>
          </w:tcPr>
          <w:p w14:paraId="267AA519" w14:textId="0A747740"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Dermatitis</w:t>
            </w:r>
          </w:p>
        </w:tc>
        <w:tc>
          <w:tcPr>
            <w:tcW w:w="1122" w:type="dxa"/>
          </w:tcPr>
          <w:p w14:paraId="4A1C850D"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4</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13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22" w:type="dxa"/>
          </w:tcPr>
          <w:p w14:paraId="43291CD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33</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3</w:t>
            </w:r>
            <w:r>
              <w:rPr>
                <w:rFonts w:ascii="Times New Roman" w:eastAsia="宋体" w:hAnsi="Times New Roman" w:cs="Times New Roman"/>
                <w:sz w:val="18"/>
                <w:szCs w:val="18"/>
              </w:rPr>
              <w:t>)</w:t>
            </w:r>
          </w:p>
        </w:tc>
        <w:tc>
          <w:tcPr>
            <w:tcW w:w="1116" w:type="dxa"/>
          </w:tcPr>
          <w:p w14:paraId="1B433048"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125</w:t>
            </w:r>
          </w:p>
        </w:tc>
        <w:tc>
          <w:tcPr>
            <w:tcW w:w="1122" w:type="dxa"/>
          </w:tcPr>
          <w:p w14:paraId="7B9FF007"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41C82D63"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3781F7B9"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6E0FAC3C" w14:textId="77777777" w:rsidTr="00BE0ADF">
        <w:tc>
          <w:tcPr>
            <w:tcW w:w="1586" w:type="dxa"/>
          </w:tcPr>
          <w:p w14:paraId="4C693D8B" w14:textId="279F1C94"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Rash</w:t>
            </w:r>
          </w:p>
        </w:tc>
        <w:tc>
          <w:tcPr>
            <w:tcW w:w="1122" w:type="dxa"/>
          </w:tcPr>
          <w:p w14:paraId="7C6AE964"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2</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6</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7</w:t>
            </w:r>
            <w:r>
              <w:rPr>
                <w:rFonts w:ascii="Times New Roman" w:eastAsia="宋体" w:hAnsi="Times New Roman" w:cs="Times New Roman"/>
                <w:sz w:val="18"/>
                <w:szCs w:val="18"/>
              </w:rPr>
              <w:t>)</w:t>
            </w:r>
          </w:p>
        </w:tc>
        <w:tc>
          <w:tcPr>
            <w:tcW w:w="1122" w:type="dxa"/>
          </w:tcPr>
          <w:p w14:paraId="2C8890B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0E25CD2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492</w:t>
            </w:r>
          </w:p>
        </w:tc>
        <w:tc>
          <w:tcPr>
            <w:tcW w:w="1122" w:type="dxa"/>
          </w:tcPr>
          <w:p w14:paraId="5B3B0104"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01A2DFBB"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606DC446"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406EA341" w14:textId="77777777" w:rsidTr="00BE0ADF">
        <w:tc>
          <w:tcPr>
            <w:tcW w:w="1586" w:type="dxa"/>
          </w:tcPr>
          <w:p w14:paraId="6A4F7A4C" w14:textId="7BA9C115"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Hypertension</w:t>
            </w:r>
          </w:p>
        </w:tc>
        <w:tc>
          <w:tcPr>
            <w:tcW w:w="1122" w:type="dxa"/>
          </w:tcPr>
          <w:p w14:paraId="0613A33C"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A69DE4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0A82484E"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431C966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3AC1CA0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376F35C5"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r w:rsidR="00D606CB" w14:paraId="0D4DC50F" w14:textId="77777777" w:rsidTr="00BE0ADF">
        <w:tc>
          <w:tcPr>
            <w:tcW w:w="1586" w:type="dxa"/>
          </w:tcPr>
          <w:p w14:paraId="6F79C289" w14:textId="67C604F7" w:rsidR="00D606CB" w:rsidRDefault="00BE0ADF">
            <w:pPr>
              <w:rPr>
                <w:rFonts w:ascii="Times New Roman" w:eastAsia="宋体" w:hAnsi="Times New Roman" w:cs="Times New Roman"/>
                <w:sz w:val="18"/>
                <w:szCs w:val="18"/>
              </w:rPr>
            </w:pPr>
            <w:r w:rsidRPr="00BE0ADF">
              <w:rPr>
                <w:rFonts w:ascii="Times New Roman" w:eastAsia="宋体" w:hAnsi="Times New Roman" w:cs="Times New Roman"/>
                <w:sz w:val="18"/>
                <w:szCs w:val="18"/>
              </w:rPr>
              <w:t>Bleeding</w:t>
            </w:r>
          </w:p>
        </w:tc>
        <w:tc>
          <w:tcPr>
            <w:tcW w:w="1122" w:type="dxa"/>
          </w:tcPr>
          <w:p w14:paraId="2D28FE60"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18B3856A"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3A11F37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c>
          <w:tcPr>
            <w:tcW w:w="1122" w:type="dxa"/>
          </w:tcPr>
          <w:p w14:paraId="5DB72D9F"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22" w:type="dxa"/>
          </w:tcPr>
          <w:p w14:paraId="575E0879"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0</w:t>
            </w:r>
            <w:r>
              <w:rPr>
                <w:rFonts w:ascii="Times New Roman" w:eastAsia="宋体" w:hAnsi="Times New Roman" w:cs="Times New Roman"/>
                <w:sz w:val="18"/>
                <w:szCs w:val="18"/>
              </w:rPr>
              <w:t xml:space="preserve"> (</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w:t>
            </w:r>
            <w:r>
              <w:rPr>
                <w:rFonts w:ascii="Times New Roman" w:eastAsia="宋体" w:hAnsi="Times New Roman" w:cs="Times New Roman"/>
                <w:sz w:val="18"/>
                <w:szCs w:val="18"/>
              </w:rPr>
              <w:t>)</w:t>
            </w:r>
          </w:p>
        </w:tc>
        <w:tc>
          <w:tcPr>
            <w:tcW w:w="1116" w:type="dxa"/>
          </w:tcPr>
          <w:p w14:paraId="4D77F062" w14:textId="77777777" w:rsidR="00D606CB" w:rsidRDefault="00000000">
            <w:pPr>
              <w:rPr>
                <w:rFonts w:ascii="Times New Roman" w:eastAsia="宋体" w:hAnsi="Times New Roman" w:cs="Times New Roman"/>
                <w:sz w:val="18"/>
                <w:szCs w:val="18"/>
              </w:rPr>
            </w:pPr>
            <w:r w:rsidRPr="00932EBB">
              <w:rPr>
                <w:rFonts w:ascii="Times New Roman" w:eastAsia="宋体" w:hAnsi="Times New Roman" w:cs="Times New Roman"/>
                <w:sz w:val="18"/>
                <w:szCs w:val="18"/>
              </w:rPr>
              <w:t>1</w:t>
            </w:r>
            <w:r>
              <w:rPr>
                <w:rFonts w:ascii="Times New Roman" w:eastAsia="宋体" w:hAnsi="Times New Roman" w:cs="Times New Roman"/>
                <w:sz w:val="18"/>
                <w:szCs w:val="18"/>
              </w:rPr>
              <w:t>.</w:t>
            </w:r>
            <w:r w:rsidRPr="00932EBB">
              <w:rPr>
                <w:rFonts w:ascii="Times New Roman" w:eastAsia="宋体" w:hAnsi="Times New Roman" w:cs="Times New Roman"/>
                <w:sz w:val="18"/>
                <w:szCs w:val="18"/>
              </w:rPr>
              <w:t>000</w:t>
            </w:r>
          </w:p>
        </w:tc>
      </w:tr>
    </w:tbl>
    <w:p w14:paraId="7B8D81AC" w14:textId="5BD2B4F9" w:rsidR="00D606CB" w:rsidRPr="00BE0ADF" w:rsidRDefault="00BE0ADF">
      <w:pPr>
        <w:pStyle w:val="a9"/>
        <w:adjustRightInd w:val="0"/>
        <w:snapToGrid w:val="0"/>
        <w:spacing w:before="0" w:beforeAutospacing="0" w:after="0" w:afterAutospacing="0" w:line="360" w:lineRule="auto"/>
        <w:rPr>
          <w:rFonts w:ascii="Times New Roman" w:hAnsi="Times New Roman" w:cs="Times New Roman"/>
          <w:sz w:val="18"/>
          <w:szCs w:val="18"/>
        </w:rPr>
      </w:pPr>
      <w:r w:rsidRPr="00BE0ADF">
        <w:rPr>
          <w:rFonts w:ascii="Times New Roman" w:hAnsi="Times New Roman" w:cs="Times New Roman"/>
          <w:sz w:val="18"/>
          <w:szCs w:val="18"/>
        </w:rPr>
        <w:t>Note: Adverse events were graded according to CTCAE version 4.0. P values were calculated using Fisher’s exact test.</w:t>
      </w:r>
    </w:p>
    <w:p w14:paraId="7EB4B0A5"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sidRPr="00932EBB">
        <w:rPr>
          <w:rFonts w:ascii="Times New Roman" w:hAnsi="Times New Roman" w:hint="eastAsia"/>
          <w:b/>
          <w:bCs/>
        </w:rPr>
        <w:t>3</w:t>
      </w:r>
      <w:r>
        <w:rPr>
          <w:rFonts w:ascii="Times New Roman" w:hAnsi="Times New Roman" w:hint="eastAsia"/>
          <w:b/>
          <w:bCs/>
        </w:rPr>
        <w:t>.</w:t>
      </w:r>
      <w:r>
        <w:rPr>
          <w:rFonts w:ascii="Times New Roman" w:hAnsi="Times New Roman" w:hint="eastAsia"/>
          <w:b/>
          <w:bCs/>
        </w:rPr>
        <w:t>讨论</w:t>
      </w:r>
    </w:p>
    <w:p w14:paraId="74E9B23C"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本研究证实，在诱导化疗的基础上联合</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抑制剂及尼妥珠单抗，能够显著提高局晚期鼻咽癌患者的近期疗效。</w:t>
      </w:r>
      <w:r w:rsidRPr="00932EBB">
        <w:rPr>
          <w:rFonts w:ascii="Times New Roman" w:hAnsi="Times New Roman"/>
        </w:rPr>
        <w:t>ICIT</w:t>
      </w:r>
      <w:r>
        <w:rPr>
          <w:rFonts w:ascii="Times New Roman" w:hAnsi="Times New Roman"/>
        </w:rPr>
        <w:t>组在诱导治疗阶段即可获得更高的</w:t>
      </w:r>
      <w:r w:rsidRPr="00932EBB">
        <w:rPr>
          <w:rFonts w:ascii="Times New Roman" w:hAnsi="Times New Roman"/>
        </w:rPr>
        <w:t>ORR</w:t>
      </w:r>
      <w:r>
        <w:rPr>
          <w:rFonts w:ascii="Times New Roman" w:hAnsi="Times New Roman"/>
        </w:rPr>
        <w:t>（</w:t>
      </w:r>
      <w:r w:rsidRPr="00932EBB">
        <w:rPr>
          <w:rFonts w:ascii="Times New Roman" w:hAnsi="Times New Roman"/>
        </w:rPr>
        <w:t>100</w:t>
      </w:r>
      <w:r>
        <w:rPr>
          <w:rFonts w:ascii="Times New Roman" w:hAnsi="Times New Roman"/>
        </w:rPr>
        <w:t>%</w:t>
      </w:r>
      <w:r>
        <w:rPr>
          <w:rFonts w:ascii="Times New Roman" w:hAnsi="Times New Roman"/>
        </w:rPr>
        <w:t>），并在</w:t>
      </w:r>
      <w:r w:rsidRPr="00932EBB">
        <w:rPr>
          <w:rFonts w:ascii="Times New Roman" w:hAnsi="Times New Roman"/>
        </w:rPr>
        <w:t>CCRT</w:t>
      </w:r>
      <w:r>
        <w:rPr>
          <w:rFonts w:ascii="Times New Roman" w:hAnsi="Times New Roman"/>
        </w:rPr>
        <w:t>完成后</w:t>
      </w:r>
      <w:r w:rsidRPr="00932EBB">
        <w:rPr>
          <w:rFonts w:ascii="Times New Roman" w:hAnsi="Times New Roman"/>
        </w:rPr>
        <w:t>3</w:t>
      </w:r>
      <w:r>
        <w:rPr>
          <w:rFonts w:ascii="Times New Roman" w:hAnsi="Times New Roman"/>
        </w:rPr>
        <w:t>个月进一步转化为更高的</w:t>
      </w:r>
      <w:r w:rsidRPr="00932EBB">
        <w:rPr>
          <w:rFonts w:ascii="Times New Roman" w:hAnsi="Times New Roman"/>
        </w:rPr>
        <w:t>CR</w:t>
      </w:r>
      <w:r>
        <w:rPr>
          <w:rFonts w:ascii="Times New Roman" w:hAnsi="Times New Roman"/>
        </w:rPr>
        <w:t>比例（</w:t>
      </w:r>
      <w:r w:rsidRPr="00932EBB">
        <w:rPr>
          <w:rFonts w:ascii="Times New Roman" w:hAnsi="Times New Roman"/>
        </w:rPr>
        <w:t>93</w:t>
      </w:r>
      <w:r>
        <w:rPr>
          <w:rFonts w:ascii="Times New Roman" w:hAnsi="Times New Roman"/>
        </w:rPr>
        <w:t>.</w:t>
      </w:r>
      <w:r w:rsidRPr="00932EBB">
        <w:rPr>
          <w:rFonts w:ascii="Times New Roman" w:hAnsi="Times New Roman"/>
        </w:rPr>
        <w:t>3</w:t>
      </w:r>
      <w:r>
        <w:rPr>
          <w:rFonts w:ascii="Times New Roman" w:hAnsi="Times New Roman"/>
        </w:rPr>
        <w:t>%</w:t>
      </w:r>
      <w:r>
        <w:rPr>
          <w:rFonts w:ascii="Times New Roman" w:hAnsi="Times New Roman"/>
        </w:rPr>
        <w:t>）。通过倾向性评分匹配降低基线差异后，我们发现</w:t>
      </w:r>
      <w:r w:rsidRPr="00932EBB">
        <w:rPr>
          <w:rFonts w:ascii="Times New Roman" w:hAnsi="Times New Roman"/>
        </w:rPr>
        <w:t>ICIT</w:t>
      </w:r>
      <w:r>
        <w:rPr>
          <w:rFonts w:ascii="Times New Roman" w:hAnsi="Times New Roman"/>
        </w:rPr>
        <w:t>方案的优势主要体现在显著减少了诱导期</w:t>
      </w:r>
      <w:r w:rsidRPr="00932EBB">
        <w:rPr>
          <w:rFonts w:ascii="Times New Roman" w:hAnsi="Times New Roman"/>
        </w:rPr>
        <w:t>SD</w:t>
      </w:r>
      <w:r>
        <w:rPr>
          <w:rFonts w:ascii="Times New Roman" w:hAnsi="Times New Roman"/>
        </w:rPr>
        <w:t>的患者比例，提示该</w:t>
      </w:r>
      <w:r>
        <w:rPr>
          <w:rFonts w:ascii="Times New Roman" w:hAnsi="Times New Roman"/>
        </w:rPr>
        <w:t>“</w:t>
      </w:r>
      <w:r>
        <w:rPr>
          <w:rFonts w:ascii="Times New Roman" w:hAnsi="Times New Roman"/>
        </w:rPr>
        <w:t>免疫</w:t>
      </w:r>
      <w:r>
        <w:rPr>
          <w:rFonts w:ascii="Times New Roman" w:hAnsi="Times New Roman"/>
        </w:rPr>
        <w:t>+</w:t>
      </w:r>
      <w:r>
        <w:rPr>
          <w:rFonts w:ascii="Times New Roman" w:hAnsi="Times New Roman"/>
        </w:rPr>
        <w:t>靶向</w:t>
      </w:r>
      <w:r>
        <w:rPr>
          <w:rFonts w:ascii="Times New Roman" w:hAnsi="Times New Roman"/>
        </w:rPr>
        <w:t>+</w:t>
      </w:r>
      <w:r>
        <w:rPr>
          <w:rFonts w:ascii="Times New Roman" w:hAnsi="Times New Roman"/>
        </w:rPr>
        <w:t>化疗</w:t>
      </w:r>
      <w:r>
        <w:rPr>
          <w:rFonts w:ascii="Times New Roman" w:hAnsi="Times New Roman"/>
        </w:rPr>
        <w:t>”</w:t>
      </w:r>
      <w:r>
        <w:rPr>
          <w:rFonts w:ascii="Times New Roman" w:hAnsi="Times New Roman"/>
        </w:rPr>
        <w:t>的三联诱导模式能更早、更充分地缩小肿瘤负荷，为后续放疗创造了优化的起点。</w:t>
      </w:r>
    </w:p>
    <w:p w14:paraId="44679139" w14:textId="52ABB3CB"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本研究创新性地针对目前诱导阶段最佳强化策略尚无定论这一点，提供了</w:t>
      </w:r>
      <w:r>
        <w:rPr>
          <w:rFonts w:ascii="Times New Roman" w:hAnsi="Times New Roman"/>
        </w:rPr>
        <w:t>“</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w:t>
      </w:r>
      <w:r>
        <w:rPr>
          <w:rFonts w:ascii="Times New Roman" w:hAnsi="Times New Roman"/>
        </w:rPr>
        <w:t>+</w:t>
      </w:r>
      <w:r>
        <w:rPr>
          <w:rFonts w:ascii="Times New Roman" w:hAnsi="Times New Roman"/>
        </w:rPr>
        <w:t>尼妥珠单抗</w:t>
      </w:r>
      <w:r>
        <w:rPr>
          <w:rFonts w:ascii="Times New Roman" w:hAnsi="Times New Roman"/>
        </w:rPr>
        <w:t>”</w:t>
      </w:r>
      <w:r>
        <w:rPr>
          <w:rFonts w:ascii="Times New Roman" w:hAnsi="Times New Roman"/>
        </w:rPr>
        <w:t>双重强化模式的真实世界证据。</w:t>
      </w:r>
      <w:r w:rsidRPr="00932EBB">
        <w:rPr>
          <w:rFonts w:ascii="Times New Roman" w:hAnsi="Times New Roman"/>
        </w:rPr>
        <w:t>ICIT</w:t>
      </w:r>
      <w:r>
        <w:rPr>
          <w:rFonts w:ascii="Times New Roman" w:hAnsi="Times New Roman"/>
        </w:rPr>
        <w:t>方案精准靶向鼻咽癌</w:t>
      </w:r>
      <w:r>
        <w:rPr>
          <w:rFonts w:ascii="Times New Roman" w:hAnsi="Times New Roman"/>
        </w:rPr>
        <w:t>“</w:t>
      </w:r>
      <w:r w:rsidRPr="00932EBB">
        <w:rPr>
          <w:rFonts w:ascii="Times New Roman" w:hAnsi="Times New Roman"/>
        </w:rPr>
        <w:t>EBV</w:t>
      </w:r>
      <w:r>
        <w:rPr>
          <w:rFonts w:ascii="Times New Roman" w:hAnsi="Times New Roman"/>
        </w:rPr>
        <w:t>感染</w:t>
      </w:r>
      <w:r>
        <w:rPr>
          <w:rFonts w:ascii="Times New Roman" w:hAnsi="Times New Roman"/>
        </w:rPr>
        <w:t>”</w:t>
      </w:r>
      <w:r>
        <w:rPr>
          <w:rFonts w:ascii="Times New Roman" w:hAnsi="Times New Roman"/>
        </w:rPr>
        <w:t>与</w:t>
      </w:r>
      <w:r>
        <w:rPr>
          <w:rFonts w:ascii="Times New Roman" w:hAnsi="Times New Roman"/>
        </w:rPr>
        <w:t>“</w:t>
      </w:r>
      <w:r w:rsidRPr="00932EBB">
        <w:rPr>
          <w:rFonts w:ascii="Times New Roman" w:hAnsi="Times New Roman"/>
        </w:rPr>
        <w:t>EGFR</w:t>
      </w:r>
      <w:r>
        <w:rPr>
          <w:rFonts w:ascii="Times New Roman" w:hAnsi="Times New Roman"/>
        </w:rPr>
        <w:t>高表达</w:t>
      </w:r>
      <w:r>
        <w:rPr>
          <w:rFonts w:ascii="Times New Roman" w:hAnsi="Times New Roman"/>
        </w:rPr>
        <w:t>”</w:t>
      </w:r>
      <w:r>
        <w:rPr>
          <w:rFonts w:ascii="Times New Roman" w:hAnsi="Times New Roman"/>
        </w:rPr>
        <w:t>的双重特征</w:t>
      </w:r>
      <w:r>
        <w:rPr>
          <w:rFonts w:ascii="Times New Roman" w:hAnsi="Times New Roman"/>
          <w:vertAlign w:val="superscript"/>
        </w:rPr>
        <w:t>[</w:t>
      </w:r>
      <w:r w:rsidRPr="00932EBB">
        <w:rPr>
          <w:rFonts w:ascii="Times New Roman" w:hAnsi="Times New Roman"/>
          <w:vertAlign w:val="superscript"/>
        </w:rPr>
        <w:t>19</w:t>
      </w:r>
      <w:r>
        <w:rPr>
          <w:rFonts w:ascii="Times New Roman" w:hAnsi="Times New Roman"/>
          <w:vertAlign w:val="superscript"/>
        </w:rPr>
        <w:t>,</w:t>
      </w:r>
      <w:r w:rsidRPr="00932EBB">
        <w:rPr>
          <w:rFonts w:ascii="Times New Roman" w:hAnsi="Times New Roman"/>
          <w:vertAlign w:val="superscript"/>
        </w:rPr>
        <w:t>20</w:t>
      </w:r>
      <w:r>
        <w:rPr>
          <w:rFonts w:ascii="Times New Roman" w:hAnsi="Times New Roman"/>
          <w:vertAlign w:val="superscript"/>
        </w:rPr>
        <w:t>]</w:t>
      </w:r>
      <w:r>
        <w:rPr>
          <w:rFonts w:ascii="Times New Roman" w:hAnsi="Times New Roman"/>
        </w:rPr>
        <w:t>。尼妥珠单抗除增敏化疗外，更通过上调</w:t>
      </w:r>
      <w:r w:rsidRPr="00932EBB">
        <w:rPr>
          <w:rFonts w:ascii="Times New Roman" w:hAnsi="Times New Roman"/>
        </w:rPr>
        <w:t>MHC</w:t>
      </w:r>
      <w:r>
        <w:rPr>
          <w:rFonts w:ascii="Times New Roman" w:hAnsi="Times New Roman"/>
        </w:rPr>
        <w:t>-</w:t>
      </w:r>
      <w:r w:rsidRPr="00932EBB">
        <w:rPr>
          <w:rFonts w:ascii="Times New Roman" w:hAnsi="Times New Roman"/>
        </w:rPr>
        <w:t>I</w:t>
      </w:r>
      <w:r>
        <w:rPr>
          <w:rFonts w:ascii="Times New Roman" w:hAnsi="Times New Roman"/>
        </w:rPr>
        <w:t>及活化</w:t>
      </w:r>
      <w:r w:rsidRPr="00932EBB">
        <w:rPr>
          <w:rFonts w:ascii="Times New Roman" w:hAnsi="Times New Roman"/>
        </w:rPr>
        <w:t>NK</w:t>
      </w:r>
      <w:r>
        <w:rPr>
          <w:rFonts w:ascii="Times New Roman" w:hAnsi="Times New Roman"/>
        </w:rPr>
        <w:t>细胞逆转免疫抑制</w:t>
      </w:r>
      <w:r>
        <w:rPr>
          <w:rFonts w:ascii="Times New Roman" w:hAnsi="Times New Roman"/>
          <w:vertAlign w:val="superscript"/>
        </w:rPr>
        <w:t>[</w:t>
      </w:r>
      <w:r w:rsidRPr="00932EBB">
        <w:rPr>
          <w:rFonts w:ascii="Times New Roman" w:hAnsi="Times New Roman"/>
          <w:vertAlign w:val="superscript"/>
        </w:rPr>
        <w:t>14</w:t>
      </w:r>
      <w:r>
        <w:rPr>
          <w:rFonts w:ascii="Times New Roman" w:hAnsi="Times New Roman"/>
          <w:vertAlign w:val="superscript"/>
        </w:rPr>
        <w:t>-</w:t>
      </w:r>
      <w:r w:rsidRPr="00932EBB">
        <w:rPr>
          <w:rFonts w:ascii="Times New Roman" w:hAnsi="Times New Roman"/>
          <w:vertAlign w:val="superscript"/>
        </w:rPr>
        <w:t>16</w:t>
      </w:r>
      <w:r>
        <w:rPr>
          <w:rFonts w:ascii="Times New Roman" w:hAnsi="Times New Roman"/>
          <w:vertAlign w:val="superscript"/>
        </w:rPr>
        <w:t>,</w:t>
      </w:r>
      <w:r w:rsidRPr="00932EBB">
        <w:rPr>
          <w:rFonts w:ascii="Times New Roman" w:hAnsi="Times New Roman"/>
          <w:vertAlign w:val="superscript"/>
        </w:rPr>
        <w:t>21</w:t>
      </w:r>
      <w:r>
        <w:rPr>
          <w:rFonts w:ascii="Times New Roman" w:hAnsi="Times New Roman"/>
          <w:vertAlign w:val="superscript"/>
        </w:rPr>
        <w:t>]</w:t>
      </w:r>
      <w:r>
        <w:rPr>
          <w:rFonts w:ascii="Times New Roman" w:hAnsi="Times New Roman"/>
        </w:rPr>
        <w:t>，与</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抑制剂形成机制互补，产生</w:t>
      </w:r>
      <w:r>
        <w:rPr>
          <w:rFonts w:ascii="Times New Roman" w:hAnsi="Times New Roman"/>
        </w:rPr>
        <w:t>“</w:t>
      </w:r>
      <w:r w:rsidRPr="00932EBB">
        <w:rPr>
          <w:rFonts w:ascii="Times New Roman" w:hAnsi="Times New Roman"/>
        </w:rPr>
        <w:t>1</w:t>
      </w:r>
      <w:r>
        <w:rPr>
          <w:rFonts w:ascii="Times New Roman" w:hAnsi="Times New Roman"/>
        </w:rPr>
        <w:t>+</w:t>
      </w:r>
      <w:r w:rsidRPr="00932EBB">
        <w:rPr>
          <w:rFonts w:ascii="Times New Roman" w:hAnsi="Times New Roman"/>
        </w:rPr>
        <w:t>1</w:t>
      </w:r>
      <w:r>
        <w:rPr>
          <w:rFonts w:ascii="Times New Roman" w:hAnsi="Times New Roman"/>
        </w:rPr>
        <w:t>&gt;</w:t>
      </w:r>
      <w:r w:rsidRPr="00932EBB">
        <w:rPr>
          <w:rFonts w:ascii="Times New Roman" w:hAnsi="Times New Roman"/>
        </w:rPr>
        <w:t>2</w:t>
      </w:r>
      <w:r>
        <w:rPr>
          <w:rFonts w:ascii="Times New Roman" w:hAnsi="Times New Roman"/>
        </w:rPr>
        <w:t>”</w:t>
      </w:r>
      <w:r>
        <w:rPr>
          <w:rFonts w:ascii="Times New Roman" w:hAnsi="Times New Roman"/>
        </w:rPr>
        <w:t>协同增效，本组</w:t>
      </w:r>
      <w:r w:rsidRPr="00932EBB">
        <w:rPr>
          <w:rFonts w:ascii="Times New Roman" w:hAnsi="Times New Roman"/>
        </w:rPr>
        <w:t>100</w:t>
      </w:r>
      <w:r>
        <w:rPr>
          <w:rFonts w:ascii="Times New Roman" w:hAnsi="Times New Roman"/>
        </w:rPr>
        <w:t>%</w:t>
      </w:r>
      <w:r>
        <w:rPr>
          <w:rFonts w:ascii="Times New Roman" w:hAnsi="Times New Roman"/>
        </w:rPr>
        <w:t>的诱导期缓解率即为有力佐证</w:t>
      </w:r>
      <w:r w:rsidRPr="009E3844">
        <w:rPr>
          <w:rFonts w:ascii="Times New Roman" w:hAnsi="Times New Roman"/>
        </w:rPr>
        <w:t>。更为关键的是，这种深度解剖学退缩完整保留了尼妥珠单抗的缩瘤优势，不仅通过缩减靶区降低危及器官受量</w:t>
      </w:r>
      <w:r w:rsidRPr="009E3844">
        <w:rPr>
          <w:rFonts w:ascii="Times New Roman" w:hAnsi="Times New Roman"/>
          <w:vertAlign w:val="superscript"/>
        </w:rPr>
        <w:t>[</w:t>
      </w:r>
      <w:r w:rsidRPr="00932EBB">
        <w:rPr>
          <w:rFonts w:ascii="Times New Roman" w:hAnsi="Times New Roman"/>
          <w:vertAlign w:val="superscript"/>
        </w:rPr>
        <w:t>18</w:t>
      </w:r>
      <w:r w:rsidRPr="009E3844">
        <w:rPr>
          <w:rFonts w:ascii="Times New Roman" w:hAnsi="Times New Roman"/>
          <w:vertAlign w:val="superscript"/>
        </w:rPr>
        <w:t>]</w:t>
      </w:r>
      <w:r w:rsidRPr="009E3844">
        <w:rPr>
          <w:rFonts w:ascii="Times New Roman" w:hAnsi="Times New Roman"/>
        </w:rPr>
        <w:t>，更为</w:t>
      </w:r>
      <w:r w:rsidRPr="00932EBB">
        <w:rPr>
          <w:rFonts w:ascii="Times New Roman" w:hAnsi="Times New Roman"/>
        </w:rPr>
        <w:t>PD</w:t>
      </w:r>
      <w:r w:rsidRPr="009E3844">
        <w:rPr>
          <w:rFonts w:ascii="Times New Roman" w:hAnsi="Times New Roman"/>
        </w:rPr>
        <w:t>-</w:t>
      </w:r>
      <w:r w:rsidRPr="00932EBB">
        <w:rPr>
          <w:rFonts w:ascii="Times New Roman" w:hAnsi="Times New Roman"/>
        </w:rPr>
        <w:t>1</w:t>
      </w:r>
      <w:r w:rsidRPr="009E3844">
        <w:rPr>
          <w:rFonts w:ascii="Times New Roman" w:hAnsi="Times New Roman"/>
        </w:rPr>
        <w:t>抑制剂在低负荷状态下发挥持久免疫监视奠定了基础。</w:t>
      </w:r>
    </w:p>
    <w:p w14:paraId="543B0110"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在生存结局方面，尽管受限于随访时间（中位</w:t>
      </w:r>
      <w:r w:rsidRPr="00932EBB">
        <w:rPr>
          <w:rFonts w:ascii="Times New Roman" w:hAnsi="Times New Roman"/>
        </w:rPr>
        <w:t>18</w:t>
      </w:r>
      <w:r>
        <w:rPr>
          <w:rFonts w:ascii="Times New Roman" w:hAnsi="Times New Roman"/>
        </w:rPr>
        <w:t>.</w:t>
      </w:r>
      <w:r w:rsidRPr="00932EBB">
        <w:rPr>
          <w:rFonts w:ascii="Times New Roman" w:hAnsi="Times New Roman"/>
        </w:rPr>
        <w:t>3</w:t>
      </w:r>
      <w:r>
        <w:rPr>
          <w:rFonts w:ascii="Times New Roman" w:hAnsi="Times New Roman"/>
        </w:rPr>
        <w:t>个月）及事件数，</w:t>
      </w:r>
      <w:r w:rsidRPr="00932EBB">
        <w:rPr>
          <w:rFonts w:ascii="Times New Roman" w:hAnsi="Times New Roman"/>
        </w:rPr>
        <w:t>ICIT</w:t>
      </w:r>
      <w:r>
        <w:rPr>
          <w:rFonts w:ascii="Times New Roman" w:hAnsi="Times New Roman"/>
        </w:rPr>
        <w:t>组在各项生存指标上尚未表现出统计学显著差异，但均呈现一致的风险降低趋势（</w:t>
      </w:r>
      <w:r w:rsidRPr="00932EBB">
        <w:rPr>
          <w:rFonts w:ascii="Times New Roman" w:hAnsi="Times New Roman"/>
        </w:rPr>
        <w:t>HR</w:t>
      </w:r>
      <w:r>
        <w:rPr>
          <w:rFonts w:ascii="Times New Roman" w:hAnsi="Times New Roman"/>
        </w:rPr>
        <w:t>&lt;</w:t>
      </w:r>
      <w:r w:rsidRPr="00932EBB">
        <w:rPr>
          <w:rFonts w:ascii="Times New Roman" w:hAnsi="Times New Roman"/>
        </w:rPr>
        <w:t>1</w:t>
      </w:r>
      <w:r>
        <w:rPr>
          <w:rFonts w:ascii="Times New Roman" w:hAnsi="Times New Roman"/>
        </w:rPr>
        <w:t>）。这与诱导期深度缓解带来的潜在长期获益逻辑相符。本研究观察</w:t>
      </w:r>
      <w:r>
        <w:rPr>
          <w:rFonts w:ascii="Times New Roman" w:hAnsi="Times New Roman"/>
        </w:rPr>
        <w:lastRenderedPageBreak/>
        <w:t>到的生存获益趋势与</w:t>
      </w:r>
      <w:r w:rsidRPr="00932EBB">
        <w:rPr>
          <w:rFonts w:ascii="Times New Roman" w:hAnsi="Times New Roman"/>
        </w:rPr>
        <w:t>Zhang</w:t>
      </w:r>
      <w:r>
        <w:rPr>
          <w:rFonts w:ascii="Times New Roman" w:hAnsi="Times New Roman"/>
        </w:rPr>
        <w:t>等近期关于高危人群中免疫联合靶向诱导治疗的研究结果方向一致</w:t>
      </w:r>
      <w:r>
        <w:rPr>
          <w:rFonts w:ascii="Times New Roman" w:hAnsi="Times New Roman"/>
          <w:vertAlign w:val="superscript"/>
        </w:rPr>
        <w:t>[</w:t>
      </w:r>
      <w:r w:rsidRPr="00932EBB">
        <w:rPr>
          <w:rFonts w:ascii="Times New Roman" w:hAnsi="Times New Roman"/>
          <w:vertAlign w:val="superscript"/>
        </w:rPr>
        <w:t>22</w:t>
      </w:r>
      <w:r>
        <w:rPr>
          <w:rFonts w:ascii="Times New Roman" w:hAnsi="Times New Roman"/>
          <w:vertAlign w:val="superscript"/>
        </w:rPr>
        <w:t>]</w:t>
      </w:r>
      <w:r>
        <w:rPr>
          <w:rFonts w:ascii="Times New Roman" w:hAnsi="Times New Roman" w:hint="eastAsia"/>
        </w:rPr>
        <w:t>，</w:t>
      </w:r>
      <w:r>
        <w:rPr>
          <w:rFonts w:ascii="Times New Roman" w:hAnsi="Times New Roman"/>
        </w:rPr>
        <w:t>进一步支持了在诱导期进行高强度干预的潜在价值。</w:t>
      </w:r>
    </w:p>
    <w:p w14:paraId="76A495FB"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安全性方面，</w:t>
      </w:r>
      <w:r w:rsidRPr="00932EBB">
        <w:rPr>
          <w:rFonts w:ascii="Times New Roman" w:hAnsi="Times New Roman"/>
        </w:rPr>
        <w:t>ICIT</w:t>
      </w:r>
      <w:r>
        <w:rPr>
          <w:rFonts w:ascii="Times New Roman" w:hAnsi="Times New Roman"/>
        </w:rPr>
        <w:t>方案并未引入不可控的严重毒性。虽然</w:t>
      </w:r>
      <w:r w:rsidRPr="00932EBB">
        <w:rPr>
          <w:rFonts w:ascii="Times New Roman" w:hAnsi="Times New Roman"/>
        </w:rPr>
        <w:t>3</w:t>
      </w:r>
      <w:r>
        <w:rPr>
          <w:rFonts w:ascii="Times New Roman" w:hAnsi="Times New Roman"/>
        </w:rPr>
        <w:t>–</w:t>
      </w:r>
      <w:r w:rsidRPr="00932EBB">
        <w:rPr>
          <w:rFonts w:ascii="Times New Roman" w:hAnsi="Times New Roman"/>
        </w:rPr>
        <w:t>4</w:t>
      </w:r>
      <w:r>
        <w:rPr>
          <w:rFonts w:ascii="Times New Roman" w:hAnsi="Times New Roman"/>
        </w:rPr>
        <w:t>级口腔黏膜炎发生率有所升高（</w:t>
      </w:r>
      <w:r w:rsidRPr="00932EBB">
        <w:rPr>
          <w:rFonts w:ascii="Times New Roman" w:hAnsi="Times New Roman"/>
        </w:rPr>
        <w:t>40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），这可能与免疫增强了放化疗对黏膜的炎症反应及尼妥珠单抗对上皮修复的影响有关，但经对症处理均可恢复，未见因毒性导致的治疗中断</w:t>
      </w:r>
      <w:r>
        <w:rPr>
          <w:rFonts w:ascii="Times New Roman" w:hAnsi="Times New Roman" w:hint="eastAsia"/>
        </w:rPr>
        <w:t>，整体未显著增加严重不良反应，安全性总体可控。</w:t>
      </w:r>
    </w:p>
    <w:p w14:paraId="231AAFDA"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本研究仍存在若干局限。首先，作为单中心回顾性研究，即便经</w:t>
      </w:r>
      <w:r w:rsidRPr="00932EBB">
        <w:rPr>
          <w:rFonts w:ascii="Times New Roman" w:hAnsi="Times New Roman"/>
        </w:rPr>
        <w:t>PSM</w:t>
      </w:r>
      <w:r>
        <w:rPr>
          <w:rFonts w:ascii="Times New Roman" w:hAnsi="Times New Roman"/>
        </w:rPr>
        <w:t>匹配，仍难免存在选择偏倚。其次，整体样本量相对有限，匹配后生存事件数较少，且随访时间尚不足以全面评估</w:t>
      </w:r>
      <w:r w:rsidRPr="00932EBB">
        <w:rPr>
          <w:rFonts w:ascii="Times New Roman" w:hAnsi="Times New Roman"/>
        </w:rPr>
        <w:t>OS</w:t>
      </w:r>
      <w:r>
        <w:rPr>
          <w:rFonts w:ascii="Times New Roman" w:hAnsi="Times New Roman"/>
        </w:rPr>
        <w:t>及远期生存获益，导致生存终点的统计效能受限。第三，部分亚组因</w:t>
      </w:r>
      <w:r w:rsidRPr="00932EBB">
        <w:rPr>
          <w:rFonts w:ascii="Times New Roman" w:hAnsi="Times New Roman"/>
        </w:rPr>
        <w:t>ICIT</w:t>
      </w:r>
      <w:r>
        <w:rPr>
          <w:rFonts w:ascii="Times New Roman" w:hAnsi="Times New Roman"/>
        </w:rPr>
        <w:t>组</w:t>
      </w:r>
      <w:r w:rsidRPr="00932EBB">
        <w:rPr>
          <w:rFonts w:ascii="Times New Roman" w:hAnsi="Times New Roman"/>
        </w:rPr>
        <w:t>ORR</w:t>
      </w:r>
      <w:r>
        <w:rPr>
          <w:rFonts w:ascii="Times New Roman" w:hAnsi="Times New Roman"/>
        </w:rPr>
        <w:t>达到</w:t>
      </w:r>
      <w:r w:rsidRPr="00932EBB">
        <w:rPr>
          <w:rFonts w:ascii="Times New Roman" w:hAnsi="Times New Roman"/>
        </w:rPr>
        <w:t>100</w:t>
      </w:r>
      <w:r>
        <w:rPr>
          <w:rFonts w:ascii="Times New Roman" w:hAnsi="Times New Roman"/>
        </w:rPr>
        <w:t>.</w:t>
      </w:r>
      <w:r w:rsidRPr="00932EBB">
        <w:rPr>
          <w:rFonts w:ascii="Times New Roman" w:hAnsi="Times New Roman"/>
        </w:rPr>
        <w:t>0</w:t>
      </w:r>
      <w:r>
        <w:rPr>
          <w:rFonts w:ascii="Times New Roman" w:hAnsi="Times New Roman"/>
        </w:rPr>
        <w:t>%</w:t>
      </w:r>
      <w:r>
        <w:rPr>
          <w:rFonts w:ascii="Times New Roman" w:hAnsi="Times New Roman"/>
        </w:rPr>
        <w:t>，导致置信区间较宽，相关结果更适合作为提示潜在获益人群的探索性发现。第四，</w:t>
      </w:r>
      <w:r w:rsidRPr="00932EBB">
        <w:rPr>
          <w:rFonts w:ascii="Times New Roman" w:hAnsi="Times New Roman"/>
        </w:rPr>
        <w:t>ICIT</w:t>
      </w:r>
      <w:r>
        <w:rPr>
          <w:rFonts w:ascii="Times New Roman" w:hAnsi="Times New Roman"/>
        </w:rPr>
        <w:t>组中所用</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抑制剂存在异质性，但鉴于各亚组近期疗效高度一致，本研究未对此进行进一步统计学比较。</w:t>
      </w:r>
      <w:r w:rsidRPr="009E3844">
        <w:rPr>
          <w:rFonts w:ascii="Times New Roman" w:hAnsi="Times New Roman"/>
        </w:rPr>
        <w:t>第五，受限于回顾性研究性质及临床实践偏好，本研究未能设立单独的</w:t>
      </w:r>
      <w:r w:rsidRPr="009E3844">
        <w:rPr>
          <w:rFonts w:ascii="Times New Roman" w:hAnsi="Times New Roman"/>
        </w:rPr>
        <w:t>“</w:t>
      </w:r>
      <w:r w:rsidRPr="009E3844">
        <w:rPr>
          <w:rFonts w:ascii="Times New Roman" w:hAnsi="Times New Roman"/>
        </w:rPr>
        <w:t>双药</w:t>
      </w:r>
      <w:r w:rsidRPr="009E3844">
        <w:rPr>
          <w:rFonts w:ascii="Times New Roman" w:hAnsi="Times New Roman"/>
        </w:rPr>
        <w:t>”</w:t>
      </w:r>
      <w:r w:rsidRPr="009E3844">
        <w:rPr>
          <w:rFonts w:ascii="Times New Roman" w:hAnsi="Times New Roman"/>
        </w:rPr>
        <w:t>对照组，无法在统计学层面严格拆解各治疗组分的独立贡献。然而，通过与既往里程碑式研究及最新发表数据的横向比对，本研究三药联合模式的获益优势仍具有明确的临床指向性：既往</w:t>
      </w:r>
      <w:r w:rsidRPr="00932EBB">
        <w:rPr>
          <w:rFonts w:ascii="Times New Roman" w:hAnsi="Times New Roman"/>
        </w:rPr>
        <w:t>CONTINUUM</w:t>
      </w:r>
      <w:r w:rsidRPr="009E3844">
        <w:rPr>
          <w:rFonts w:ascii="Times New Roman" w:hAnsi="Times New Roman"/>
        </w:rPr>
        <w:t>研究</w:t>
      </w:r>
      <w:r w:rsidRPr="009E3844">
        <w:rPr>
          <w:rFonts w:ascii="Times New Roman" w:hAnsi="Times New Roman"/>
          <w:vertAlign w:val="superscript"/>
        </w:rPr>
        <w:t>[</w:t>
      </w:r>
      <w:r w:rsidRPr="00932EBB">
        <w:rPr>
          <w:rFonts w:ascii="Times New Roman" w:hAnsi="Times New Roman"/>
          <w:vertAlign w:val="superscript"/>
        </w:rPr>
        <w:t>17</w:t>
      </w:r>
      <w:r w:rsidRPr="009E3844">
        <w:rPr>
          <w:rFonts w:ascii="Times New Roman" w:hAnsi="Times New Roman"/>
          <w:vertAlign w:val="superscript"/>
        </w:rPr>
        <w:t>]</w:t>
      </w:r>
      <w:r w:rsidRPr="009E3844">
        <w:rPr>
          <w:rFonts w:ascii="Times New Roman" w:hAnsi="Times New Roman"/>
        </w:rPr>
        <w:t>及多项近期同类研究</w:t>
      </w:r>
      <w:r w:rsidRPr="009E3844">
        <w:rPr>
          <w:rFonts w:ascii="Times New Roman" w:hAnsi="Times New Roman"/>
          <w:vertAlign w:val="superscript"/>
        </w:rPr>
        <w:t>[</w:t>
      </w:r>
      <w:r w:rsidRPr="00932EBB">
        <w:rPr>
          <w:rFonts w:ascii="Times New Roman" w:hAnsi="Times New Roman"/>
          <w:vertAlign w:val="superscript"/>
        </w:rPr>
        <w:t>23</w:t>
      </w:r>
      <w:r w:rsidRPr="009E3844">
        <w:rPr>
          <w:rFonts w:ascii="Times New Roman" w:hAnsi="Times New Roman"/>
          <w:vertAlign w:val="superscript"/>
        </w:rPr>
        <w:t>,</w:t>
      </w:r>
      <w:r w:rsidRPr="00932EBB">
        <w:rPr>
          <w:rFonts w:ascii="Times New Roman" w:hAnsi="Times New Roman"/>
          <w:vertAlign w:val="superscript"/>
        </w:rPr>
        <w:t>24</w:t>
      </w:r>
      <w:r w:rsidRPr="009E3844">
        <w:rPr>
          <w:rFonts w:ascii="Times New Roman" w:hAnsi="Times New Roman"/>
          <w:vertAlign w:val="superscript"/>
        </w:rPr>
        <w:t>]</w:t>
      </w:r>
      <w:r w:rsidRPr="009E3844">
        <w:rPr>
          <w:rFonts w:ascii="Times New Roman" w:hAnsi="Times New Roman"/>
        </w:rPr>
        <w:t>显示，</w:t>
      </w:r>
      <w:r w:rsidRPr="009E3844">
        <w:rPr>
          <w:rFonts w:ascii="Times New Roman" w:hAnsi="Times New Roman"/>
        </w:rPr>
        <w:t>“</w:t>
      </w:r>
      <w:r w:rsidRPr="009E3844">
        <w:rPr>
          <w:rFonts w:ascii="Times New Roman" w:hAnsi="Times New Roman"/>
        </w:rPr>
        <w:t>诱导化疗</w:t>
      </w:r>
      <w:r w:rsidRPr="009E3844">
        <w:rPr>
          <w:rFonts w:ascii="Times New Roman" w:hAnsi="Times New Roman"/>
        </w:rPr>
        <w:t>+</w:t>
      </w:r>
      <w:r w:rsidRPr="00932EBB">
        <w:rPr>
          <w:rFonts w:ascii="Times New Roman" w:hAnsi="Times New Roman"/>
        </w:rPr>
        <w:t>PD</w:t>
      </w:r>
      <w:r w:rsidRPr="009E3844">
        <w:rPr>
          <w:rFonts w:ascii="Times New Roman" w:hAnsi="Times New Roman"/>
        </w:rPr>
        <w:t>-</w:t>
      </w:r>
      <w:r w:rsidRPr="00932EBB">
        <w:rPr>
          <w:rFonts w:ascii="Times New Roman" w:hAnsi="Times New Roman"/>
        </w:rPr>
        <w:t>1</w:t>
      </w:r>
      <w:r w:rsidRPr="009E3844">
        <w:rPr>
          <w:rFonts w:ascii="Times New Roman" w:hAnsi="Times New Roman"/>
        </w:rPr>
        <w:t>抑制剂</w:t>
      </w:r>
      <w:r w:rsidRPr="009E3844">
        <w:rPr>
          <w:rFonts w:ascii="Times New Roman" w:hAnsi="Times New Roman"/>
        </w:rPr>
        <w:t>”</w:t>
      </w:r>
      <w:r w:rsidRPr="009E3844">
        <w:rPr>
          <w:rFonts w:ascii="Times New Roman" w:hAnsi="Times New Roman"/>
        </w:rPr>
        <w:t>模式的诱导期</w:t>
      </w:r>
      <w:r w:rsidRPr="00932EBB">
        <w:rPr>
          <w:rFonts w:ascii="Times New Roman" w:hAnsi="Times New Roman"/>
        </w:rPr>
        <w:t>ORR</w:t>
      </w:r>
      <w:r w:rsidRPr="009E3844">
        <w:rPr>
          <w:rFonts w:ascii="Times New Roman" w:hAnsi="Times New Roman"/>
        </w:rPr>
        <w:t>通常在</w:t>
      </w:r>
      <w:r w:rsidRPr="00932EBB">
        <w:rPr>
          <w:rFonts w:ascii="Times New Roman" w:hAnsi="Times New Roman"/>
        </w:rPr>
        <w:t>88</w:t>
      </w:r>
      <w:r w:rsidRPr="009E3844">
        <w:rPr>
          <w:rFonts w:ascii="Times New Roman" w:hAnsi="Times New Roman"/>
        </w:rPr>
        <w:t>%</w:t>
      </w:r>
      <w:r w:rsidRPr="009E3844">
        <w:rPr>
          <w:rFonts w:ascii="Times New Roman" w:hAnsi="Times New Roman"/>
        </w:rPr>
        <w:t>～</w:t>
      </w:r>
      <w:r w:rsidRPr="00932EBB">
        <w:rPr>
          <w:rFonts w:ascii="Times New Roman" w:hAnsi="Times New Roman"/>
        </w:rPr>
        <w:t>93</w:t>
      </w:r>
      <w:r w:rsidRPr="009E3844">
        <w:rPr>
          <w:rFonts w:ascii="Times New Roman" w:hAnsi="Times New Roman"/>
        </w:rPr>
        <w:t>%</w:t>
      </w:r>
      <w:r w:rsidRPr="009E3844">
        <w:rPr>
          <w:rFonts w:ascii="Times New Roman" w:hAnsi="Times New Roman"/>
        </w:rPr>
        <w:t>之间，而本研究</w:t>
      </w:r>
      <w:r w:rsidRPr="00932EBB">
        <w:rPr>
          <w:rFonts w:ascii="Times New Roman" w:hAnsi="Times New Roman"/>
        </w:rPr>
        <w:t>ICIT</w:t>
      </w:r>
      <w:r w:rsidRPr="009E3844">
        <w:rPr>
          <w:rFonts w:ascii="Times New Roman" w:hAnsi="Times New Roman"/>
        </w:rPr>
        <w:t>组实现了</w:t>
      </w:r>
      <w:r w:rsidRPr="00932EBB">
        <w:rPr>
          <w:rFonts w:ascii="Times New Roman" w:hAnsi="Times New Roman"/>
        </w:rPr>
        <w:t>100</w:t>
      </w:r>
      <w:r w:rsidRPr="009E3844">
        <w:rPr>
          <w:rFonts w:ascii="Times New Roman" w:hAnsi="Times New Roman"/>
        </w:rPr>
        <w:t>%</w:t>
      </w:r>
      <w:r w:rsidRPr="009E3844">
        <w:rPr>
          <w:rFonts w:ascii="Times New Roman" w:hAnsi="Times New Roman"/>
        </w:rPr>
        <w:t>的诱导期缓解率。尤为值得关注的是，</w:t>
      </w:r>
      <w:r w:rsidRPr="00932EBB">
        <w:rPr>
          <w:rFonts w:ascii="Times New Roman" w:hAnsi="Times New Roman"/>
        </w:rPr>
        <w:t>Z</w:t>
      </w:r>
      <w:r w:rsidRPr="00932EBB">
        <w:rPr>
          <w:rFonts w:ascii="Times New Roman" w:hAnsi="Times New Roman" w:hint="eastAsia"/>
        </w:rPr>
        <w:t>ha</w:t>
      </w:r>
      <w:r w:rsidRPr="00932EBB">
        <w:rPr>
          <w:rFonts w:ascii="Times New Roman" w:hAnsi="Times New Roman"/>
        </w:rPr>
        <w:t>ng</w:t>
      </w:r>
      <w:r w:rsidRPr="009E3844">
        <w:rPr>
          <w:rFonts w:ascii="Times New Roman" w:hAnsi="Times New Roman"/>
        </w:rPr>
        <w:t>等</w:t>
      </w:r>
      <w:r w:rsidRPr="009E3844">
        <w:rPr>
          <w:rFonts w:ascii="Times New Roman" w:hAnsi="Times New Roman"/>
          <w:vertAlign w:val="superscript"/>
        </w:rPr>
        <w:t>[</w:t>
      </w:r>
      <w:r w:rsidRPr="00932EBB">
        <w:rPr>
          <w:rFonts w:ascii="Times New Roman" w:hAnsi="Times New Roman"/>
          <w:vertAlign w:val="superscript"/>
        </w:rPr>
        <w:t>22</w:t>
      </w:r>
      <w:r w:rsidRPr="009E3844">
        <w:rPr>
          <w:rFonts w:ascii="Times New Roman" w:hAnsi="Times New Roman"/>
          <w:vertAlign w:val="superscript"/>
        </w:rPr>
        <w:t>]</w:t>
      </w:r>
      <w:r w:rsidRPr="009E3844">
        <w:rPr>
          <w:rFonts w:ascii="Times New Roman" w:hAnsi="Times New Roman"/>
        </w:rPr>
        <w:t>在</w:t>
      </w:r>
      <w:r w:rsidRPr="00932EBB">
        <w:rPr>
          <w:rFonts w:ascii="Times New Roman" w:hAnsi="Times New Roman"/>
        </w:rPr>
        <w:t>2025</w:t>
      </w:r>
      <w:r w:rsidRPr="009E3844">
        <w:rPr>
          <w:rFonts w:ascii="Times New Roman" w:hAnsi="Times New Roman"/>
        </w:rPr>
        <w:t>年的研究中指出，另一种</w:t>
      </w:r>
      <w:r w:rsidRPr="009E3844">
        <w:rPr>
          <w:rFonts w:ascii="Times New Roman" w:hAnsi="Times New Roman"/>
        </w:rPr>
        <w:t>“</w:t>
      </w:r>
      <w:r w:rsidRPr="009E3844">
        <w:rPr>
          <w:rFonts w:ascii="Times New Roman" w:hAnsi="Times New Roman"/>
        </w:rPr>
        <w:t>诱导化疗</w:t>
      </w:r>
      <w:r w:rsidRPr="009E3844">
        <w:rPr>
          <w:rFonts w:ascii="Times New Roman" w:hAnsi="Times New Roman"/>
        </w:rPr>
        <w:t>+</w:t>
      </w:r>
      <w:r w:rsidRPr="009E3844">
        <w:rPr>
          <w:rFonts w:ascii="Times New Roman" w:hAnsi="Times New Roman"/>
        </w:rPr>
        <w:t>尼妥珠单抗</w:t>
      </w:r>
      <w:r w:rsidRPr="009E3844">
        <w:rPr>
          <w:rFonts w:ascii="Times New Roman" w:hAnsi="Times New Roman"/>
        </w:rPr>
        <w:t>”</w:t>
      </w:r>
      <w:r w:rsidRPr="009E3844">
        <w:rPr>
          <w:rFonts w:ascii="Times New Roman" w:hAnsi="Times New Roman"/>
        </w:rPr>
        <w:t>双药模式虽能达到</w:t>
      </w:r>
      <w:r w:rsidRPr="00932EBB">
        <w:rPr>
          <w:rFonts w:ascii="Times New Roman" w:hAnsi="Times New Roman"/>
        </w:rPr>
        <w:t>99</w:t>
      </w:r>
      <w:r w:rsidRPr="009E3844">
        <w:rPr>
          <w:rFonts w:ascii="Times New Roman" w:hAnsi="Times New Roman"/>
        </w:rPr>
        <w:t>%</w:t>
      </w:r>
      <w:r w:rsidRPr="009E3844">
        <w:rPr>
          <w:rFonts w:ascii="Times New Roman" w:hAnsi="Times New Roman"/>
        </w:rPr>
        <w:t>的诱导期</w:t>
      </w:r>
      <w:r w:rsidRPr="00932EBB">
        <w:rPr>
          <w:rFonts w:ascii="Times New Roman" w:hAnsi="Times New Roman"/>
        </w:rPr>
        <w:t>ORR</w:t>
      </w:r>
      <w:r w:rsidRPr="009E3844">
        <w:rPr>
          <w:rFonts w:ascii="Times New Roman" w:hAnsi="Times New Roman"/>
        </w:rPr>
        <w:t>，但其</w:t>
      </w:r>
      <w:r w:rsidRPr="00932EBB">
        <w:rPr>
          <w:rFonts w:ascii="Times New Roman" w:hAnsi="Times New Roman"/>
        </w:rPr>
        <w:t>3</w:t>
      </w:r>
      <w:r w:rsidRPr="009E3844">
        <w:rPr>
          <w:rFonts w:ascii="Times New Roman" w:hAnsi="Times New Roman"/>
        </w:rPr>
        <w:t>年</w:t>
      </w:r>
      <w:r w:rsidRPr="00932EBB">
        <w:rPr>
          <w:rFonts w:ascii="Times New Roman" w:hAnsi="Times New Roman"/>
        </w:rPr>
        <w:t>PFS</w:t>
      </w:r>
      <w:r w:rsidRPr="009E3844">
        <w:rPr>
          <w:rFonts w:ascii="Times New Roman" w:hAnsi="Times New Roman"/>
        </w:rPr>
        <w:t>率仅为</w:t>
      </w:r>
      <w:r w:rsidRPr="00932EBB">
        <w:rPr>
          <w:rFonts w:ascii="Times New Roman" w:hAnsi="Times New Roman"/>
        </w:rPr>
        <w:t>79</w:t>
      </w:r>
      <w:r w:rsidRPr="009E3844">
        <w:rPr>
          <w:rFonts w:ascii="Times New Roman" w:hAnsi="Times New Roman"/>
        </w:rPr>
        <w:t>.</w:t>
      </w:r>
      <w:r w:rsidRPr="00932EBB">
        <w:rPr>
          <w:rFonts w:ascii="Times New Roman" w:hAnsi="Times New Roman"/>
        </w:rPr>
        <w:t>8</w:t>
      </w:r>
      <w:r w:rsidRPr="009E3844">
        <w:rPr>
          <w:rFonts w:ascii="Times New Roman" w:hAnsi="Times New Roman"/>
        </w:rPr>
        <w:t>%</w:t>
      </w:r>
      <w:r w:rsidRPr="009E3844">
        <w:rPr>
          <w:rFonts w:ascii="Times New Roman" w:hAnsi="Times New Roman"/>
        </w:rPr>
        <w:t>；相比之下，本研究</w:t>
      </w:r>
      <w:r w:rsidRPr="00932EBB">
        <w:rPr>
          <w:rFonts w:ascii="Times New Roman" w:hAnsi="Times New Roman"/>
        </w:rPr>
        <w:t>ICIT</w:t>
      </w:r>
      <w:r w:rsidRPr="009E3844">
        <w:rPr>
          <w:rFonts w:ascii="Times New Roman" w:hAnsi="Times New Roman"/>
        </w:rPr>
        <w:t>组在实现</w:t>
      </w:r>
      <w:r w:rsidRPr="00932EBB">
        <w:rPr>
          <w:rFonts w:ascii="Times New Roman" w:hAnsi="Times New Roman"/>
        </w:rPr>
        <w:t>100</w:t>
      </w:r>
      <w:r w:rsidRPr="009E3844">
        <w:rPr>
          <w:rFonts w:ascii="Times New Roman" w:hAnsi="Times New Roman"/>
        </w:rPr>
        <w:t xml:space="preserve">% </w:t>
      </w:r>
      <w:r w:rsidRPr="00932EBB">
        <w:rPr>
          <w:rFonts w:ascii="Times New Roman" w:hAnsi="Times New Roman"/>
        </w:rPr>
        <w:t>ORR</w:t>
      </w:r>
      <w:r w:rsidRPr="009E3844">
        <w:rPr>
          <w:rFonts w:ascii="Times New Roman" w:hAnsi="Times New Roman"/>
        </w:rPr>
        <w:t>的基础上，展现出与</w:t>
      </w:r>
      <w:r w:rsidRPr="00932EBB">
        <w:rPr>
          <w:rFonts w:ascii="Times New Roman" w:hAnsi="Times New Roman"/>
        </w:rPr>
        <w:t>Z</w:t>
      </w:r>
      <w:r w:rsidRPr="00932EBB">
        <w:rPr>
          <w:rFonts w:ascii="Times New Roman" w:hAnsi="Times New Roman" w:hint="eastAsia"/>
        </w:rPr>
        <w:t>ha</w:t>
      </w:r>
      <w:r w:rsidRPr="00932EBB">
        <w:rPr>
          <w:rFonts w:ascii="Times New Roman" w:hAnsi="Times New Roman"/>
        </w:rPr>
        <w:t>ng</w:t>
      </w:r>
      <w:r w:rsidRPr="009E3844">
        <w:rPr>
          <w:rFonts w:ascii="Times New Roman" w:hAnsi="Times New Roman"/>
        </w:rPr>
        <w:t>等报道的三药队列相呼应的长期生存获益趋势。这一数据模式提示，在诱导化疗基础上联合引入尼妥珠单抗与</w:t>
      </w:r>
      <w:r w:rsidRPr="00932EBB">
        <w:rPr>
          <w:rFonts w:ascii="Times New Roman" w:hAnsi="Times New Roman"/>
        </w:rPr>
        <w:t>PD</w:t>
      </w:r>
      <w:r w:rsidRPr="009E3844">
        <w:rPr>
          <w:rFonts w:ascii="Times New Roman" w:hAnsi="Times New Roman"/>
        </w:rPr>
        <w:t>-</w:t>
      </w:r>
      <w:r w:rsidRPr="00932EBB">
        <w:rPr>
          <w:rFonts w:ascii="Times New Roman" w:hAnsi="Times New Roman"/>
        </w:rPr>
        <w:t>1</w:t>
      </w:r>
      <w:r w:rsidRPr="009E3844">
        <w:rPr>
          <w:rFonts w:ascii="Times New Roman" w:hAnsi="Times New Roman"/>
        </w:rPr>
        <w:t>抑制剂，不仅能突破常规</w:t>
      </w:r>
      <w:r w:rsidRPr="009E3844">
        <w:rPr>
          <w:rFonts w:ascii="Times New Roman" w:hAnsi="Times New Roman"/>
        </w:rPr>
        <w:t>“</w:t>
      </w:r>
      <w:r w:rsidRPr="009E3844">
        <w:rPr>
          <w:rFonts w:ascii="Times New Roman" w:hAnsi="Times New Roman"/>
        </w:rPr>
        <w:t>免疫</w:t>
      </w:r>
      <w:r w:rsidRPr="009E3844">
        <w:rPr>
          <w:rFonts w:ascii="Times New Roman" w:hAnsi="Times New Roman"/>
        </w:rPr>
        <w:t>+</w:t>
      </w:r>
      <w:r w:rsidRPr="009E3844">
        <w:rPr>
          <w:rFonts w:ascii="Times New Roman" w:hAnsi="Times New Roman"/>
        </w:rPr>
        <w:t>化疗</w:t>
      </w:r>
      <w:r w:rsidRPr="009E3844">
        <w:rPr>
          <w:rFonts w:ascii="Times New Roman" w:hAnsi="Times New Roman"/>
        </w:rPr>
        <w:t>”</w:t>
      </w:r>
      <w:r w:rsidRPr="009E3844">
        <w:rPr>
          <w:rFonts w:ascii="Times New Roman" w:hAnsi="Times New Roman"/>
        </w:rPr>
        <w:t>模式的近期疗效瓶颈，更能通过诱导高质量的深度缓解，克服传统</w:t>
      </w:r>
      <w:r w:rsidRPr="009E3844">
        <w:rPr>
          <w:rFonts w:ascii="Times New Roman" w:hAnsi="Times New Roman"/>
        </w:rPr>
        <w:t>“</w:t>
      </w:r>
      <w:r w:rsidRPr="009E3844">
        <w:rPr>
          <w:rFonts w:ascii="Times New Roman" w:hAnsi="Times New Roman"/>
        </w:rPr>
        <w:t>靶向</w:t>
      </w:r>
      <w:r w:rsidRPr="009E3844">
        <w:rPr>
          <w:rFonts w:ascii="Times New Roman" w:hAnsi="Times New Roman"/>
        </w:rPr>
        <w:t>+</w:t>
      </w:r>
      <w:r w:rsidRPr="009E3844">
        <w:rPr>
          <w:rFonts w:ascii="Times New Roman" w:hAnsi="Times New Roman"/>
        </w:rPr>
        <w:t>化疗</w:t>
      </w:r>
      <w:r w:rsidRPr="009E3844">
        <w:rPr>
          <w:rFonts w:ascii="Times New Roman" w:hAnsi="Times New Roman"/>
        </w:rPr>
        <w:t>”</w:t>
      </w:r>
      <w:r w:rsidRPr="009E3844">
        <w:rPr>
          <w:rFonts w:ascii="Times New Roman" w:hAnsi="Times New Roman"/>
        </w:rPr>
        <w:t>模式在长期生存转化上的局限。尽管受限于样本量，本研究生存数据的统计学显著性（</w:t>
      </w:r>
      <w:r w:rsidRPr="00932EBB">
        <w:rPr>
          <w:rFonts w:ascii="Times New Roman" w:hAnsi="Times New Roman"/>
        </w:rPr>
        <w:t>P</w:t>
      </w:r>
      <w:r w:rsidRPr="009E3844">
        <w:rPr>
          <w:rFonts w:ascii="Times New Roman" w:hAnsi="Times New Roman"/>
        </w:rPr>
        <w:t>=</w:t>
      </w:r>
      <w:r w:rsidRPr="00932EBB">
        <w:rPr>
          <w:rFonts w:ascii="Times New Roman" w:hAnsi="Times New Roman"/>
        </w:rPr>
        <w:t>0</w:t>
      </w:r>
      <w:r w:rsidRPr="009E3844">
        <w:rPr>
          <w:rFonts w:ascii="Times New Roman" w:hAnsi="Times New Roman"/>
        </w:rPr>
        <w:t>.</w:t>
      </w:r>
      <w:r w:rsidRPr="00932EBB">
        <w:rPr>
          <w:rFonts w:ascii="Times New Roman" w:hAnsi="Times New Roman"/>
        </w:rPr>
        <w:t>075</w:t>
      </w:r>
      <w:r w:rsidRPr="009E3844">
        <w:rPr>
          <w:rFonts w:ascii="Times New Roman" w:hAnsi="Times New Roman"/>
        </w:rPr>
        <w:t>）尚待提升，但上述综合比较分析已有力佐证了该强化策略的临床合理性。</w:t>
      </w:r>
    </w:p>
    <w:p w14:paraId="51D906CD" w14:textId="77777777" w:rsidR="00D606CB" w:rsidRDefault="00000000">
      <w:pPr>
        <w:pStyle w:val="a9"/>
        <w:adjustRightInd w:val="0"/>
        <w:snapToGrid w:val="0"/>
        <w:spacing w:before="0" w:beforeAutospacing="0" w:after="0" w:afterAutospacing="0" w:line="360" w:lineRule="auto"/>
        <w:ind w:firstLineChars="200" w:firstLine="480"/>
        <w:rPr>
          <w:rFonts w:ascii="Times New Roman" w:hAnsi="Times New Roman"/>
        </w:rPr>
      </w:pPr>
      <w:r>
        <w:rPr>
          <w:rFonts w:ascii="Times New Roman" w:hAnsi="Times New Roman"/>
        </w:rPr>
        <w:t>综上所述，诱导化疗联合</w:t>
      </w:r>
      <w:r w:rsidRPr="00932EBB">
        <w:rPr>
          <w:rFonts w:ascii="Times New Roman" w:hAnsi="Times New Roman"/>
        </w:rPr>
        <w:t>PD</w:t>
      </w:r>
      <w:r>
        <w:rPr>
          <w:rFonts w:ascii="Times New Roman" w:hAnsi="Times New Roman"/>
        </w:rPr>
        <w:t>-</w:t>
      </w:r>
      <w:r w:rsidRPr="00932EBB">
        <w:rPr>
          <w:rFonts w:ascii="Times New Roman" w:hAnsi="Times New Roman"/>
        </w:rPr>
        <w:t>1</w:t>
      </w:r>
      <w:r>
        <w:rPr>
          <w:rFonts w:ascii="Times New Roman" w:hAnsi="Times New Roman"/>
        </w:rPr>
        <w:t>抑制剂及尼妥珠单抗的三联方案在局晚期鼻咽癌中展现出卓越的近期疗效和可控的安全性。该策略能显著提高诱导期缓</w:t>
      </w:r>
      <w:r>
        <w:rPr>
          <w:rFonts w:ascii="Times New Roman" w:hAnsi="Times New Roman"/>
        </w:rPr>
        <w:lastRenderedPageBreak/>
        <w:t>解率，并呈现出改善生存的良好趋势，值得在进一步的临床实践中探索与优化。</w:t>
      </w:r>
    </w:p>
    <w:p w14:paraId="0DE6C0B1" w14:textId="77777777" w:rsidR="00D606CB" w:rsidRDefault="00D606CB">
      <w:pPr>
        <w:pStyle w:val="a9"/>
        <w:adjustRightInd w:val="0"/>
        <w:snapToGrid w:val="0"/>
        <w:spacing w:before="0" w:beforeAutospacing="0" w:after="0" w:afterAutospacing="0" w:line="360" w:lineRule="auto"/>
        <w:ind w:firstLineChars="200" w:firstLine="480"/>
        <w:rPr>
          <w:rFonts w:ascii="Times New Roman" w:hAnsi="Times New Roman"/>
        </w:rPr>
      </w:pPr>
    </w:p>
    <w:p w14:paraId="687AEE16" w14:textId="77777777" w:rsidR="00D606CB" w:rsidRDefault="00000000">
      <w:pPr>
        <w:pStyle w:val="a9"/>
        <w:adjustRightInd w:val="0"/>
        <w:snapToGrid w:val="0"/>
        <w:spacing w:before="0" w:beforeAutospacing="0" w:after="0" w:afterAutospacing="0" w:line="360" w:lineRule="auto"/>
        <w:ind w:firstLineChars="200" w:firstLine="480"/>
        <w:rPr>
          <w:rFonts w:hint="eastAsia"/>
        </w:rPr>
      </w:pPr>
      <w:bookmarkStart w:id="0" w:name="OLE_LINK14"/>
      <w:r>
        <w:t>【</w:t>
      </w:r>
      <w:r w:rsidRPr="00932EBB">
        <w:rPr>
          <w:rFonts w:ascii="Times New Roman" w:hAnsi="Times New Roman"/>
        </w:rPr>
        <w:t>Author</w:t>
      </w:r>
      <w:r>
        <w:t xml:space="preserve"> </w:t>
      </w:r>
      <w:r w:rsidRPr="00932EBB">
        <w:rPr>
          <w:rFonts w:ascii="Times New Roman" w:hAnsi="Times New Roman"/>
        </w:rPr>
        <w:t>contributions</w:t>
      </w:r>
      <w:r>
        <w:t xml:space="preserve">】 </w:t>
      </w:r>
      <w:r w:rsidRPr="00932EBB">
        <w:rPr>
          <w:rFonts w:ascii="Times New Roman" w:hAnsi="Times New Roman"/>
        </w:rPr>
        <w:t>HE</w:t>
      </w:r>
      <w:r>
        <w:t xml:space="preserve"> </w:t>
      </w:r>
      <w:r w:rsidRPr="00932EBB">
        <w:rPr>
          <w:rFonts w:ascii="Times New Roman" w:hAnsi="Times New Roman"/>
        </w:rPr>
        <w:t>Yiyue</w:t>
      </w:r>
      <w:r>
        <w:t xml:space="preserve"> </w:t>
      </w:r>
      <w:r w:rsidRPr="00932EBB">
        <w:rPr>
          <w:rFonts w:ascii="Times New Roman" w:hAnsi="Times New Roman"/>
        </w:rPr>
        <w:t>collected</w:t>
      </w:r>
      <w:r>
        <w:t xml:space="preserve"> </w:t>
      </w:r>
      <w:r w:rsidRPr="00932EBB">
        <w:rPr>
          <w:rFonts w:ascii="Times New Roman" w:hAnsi="Times New Roman"/>
        </w:rPr>
        <w:t>the</w:t>
      </w:r>
      <w:r>
        <w:t xml:space="preserve"> </w:t>
      </w:r>
      <w:r w:rsidRPr="00932EBB">
        <w:rPr>
          <w:rFonts w:ascii="Times New Roman" w:hAnsi="Times New Roman"/>
        </w:rPr>
        <w:t>data</w:t>
      </w:r>
      <w:r>
        <w:t xml:space="preserve"> </w:t>
      </w:r>
      <w:r w:rsidRPr="00932EBB">
        <w:rPr>
          <w:rFonts w:ascii="Times New Roman" w:hAnsi="Times New Roman"/>
        </w:rPr>
        <w:t>and</w:t>
      </w:r>
      <w:r>
        <w:t xml:space="preserve"> </w:t>
      </w:r>
      <w:r w:rsidRPr="00932EBB">
        <w:rPr>
          <w:rFonts w:ascii="Times New Roman" w:hAnsi="Times New Roman"/>
        </w:rPr>
        <w:t>wrote</w:t>
      </w:r>
      <w:r>
        <w:t xml:space="preserve"> </w:t>
      </w:r>
      <w:r w:rsidRPr="00932EBB">
        <w:rPr>
          <w:rFonts w:ascii="Times New Roman" w:hAnsi="Times New Roman"/>
        </w:rPr>
        <w:t>the</w:t>
      </w:r>
      <w:r>
        <w:t xml:space="preserve"> </w:t>
      </w:r>
      <w:r w:rsidRPr="00932EBB">
        <w:rPr>
          <w:rFonts w:ascii="Times New Roman" w:hAnsi="Times New Roman"/>
        </w:rPr>
        <w:t>article</w:t>
      </w:r>
      <w:r>
        <w:t xml:space="preserve">. </w:t>
      </w:r>
      <w:r w:rsidRPr="00932EBB">
        <w:rPr>
          <w:rFonts w:ascii="Times New Roman" w:hAnsi="Times New Roman"/>
        </w:rPr>
        <w:t>XU</w:t>
      </w:r>
      <w:r>
        <w:t xml:space="preserve"> </w:t>
      </w:r>
      <w:r w:rsidRPr="00932EBB">
        <w:rPr>
          <w:rFonts w:ascii="Times New Roman" w:hAnsi="Times New Roman"/>
        </w:rPr>
        <w:t>Jingshu</w:t>
      </w:r>
      <w:r>
        <w:t xml:space="preserve"> </w:t>
      </w:r>
      <w:r w:rsidRPr="00932EBB">
        <w:rPr>
          <w:rFonts w:ascii="Times New Roman" w:hAnsi="Times New Roman"/>
        </w:rPr>
        <w:t>collected</w:t>
      </w:r>
      <w:r>
        <w:t xml:space="preserve"> </w:t>
      </w:r>
      <w:r w:rsidRPr="00932EBB">
        <w:rPr>
          <w:rFonts w:ascii="Times New Roman" w:hAnsi="Times New Roman"/>
        </w:rPr>
        <w:t>the</w:t>
      </w:r>
      <w:r>
        <w:t xml:space="preserve"> </w:t>
      </w:r>
      <w:r w:rsidRPr="00932EBB">
        <w:rPr>
          <w:rFonts w:ascii="Times New Roman" w:hAnsi="Times New Roman"/>
        </w:rPr>
        <w:t>data</w:t>
      </w:r>
      <w:r>
        <w:t xml:space="preserve">. </w:t>
      </w:r>
      <w:r w:rsidRPr="00932EBB">
        <w:rPr>
          <w:rFonts w:ascii="Times New Roman" w:hAnsi="Times New Roman"/>
        </w:rPr>
        <w:t>MAO</w:t>
      </w:r>
      <w:r>
        <w:t xml:space="preserve"> </w:t>
      </w:r>
      <w:r w:rsidRPr="00932EBB">
        <w:rPr>
          <w:rFonts w:ascii="Times New Roman" w:hAnsi="Times New Roman"/>
        </w:rPr>
        <w:t>Yichen</w:t>
      </w:r>
      <w:r>
        <w:t xml:space="preserve"> </w:t>
      </w:r>
      <w:r w:rsidRPr="00932EBB">
        <w:rPr>
          <w:rFonts w:ascii="Times New Roman" w:hAnsi="Times New Roman"/>
        </w:rPr>
        <w:t>and</w:t>
      </w:r>
      <w:r>
        <w:t xml:space="preserve"> </w:t>
      </w:r>
      <w:r w:rsidRPr="00932EBB">
        <w:rPr>
          <w:rFonts w:ascii="Times New Roman" w:hAnsi="Times New Roman"/>
        </w:rPr>
        <w:t>ZONG</w:t>
      </w:r>
      <w:r>
        <w:t xml:space="preserve"> </w:t>
      </w:r>
      <w:r w:rsidRPr="00932EBB">
        <w:rPr>
          <w:rFonts w:ascii="Times New Roman" w:hAnsi="Times New Roman"/>
        </w:rPr>
        <w:t>Dan</w:t>
      </w:r>
      <w:r>
        <w:t xml:space="preserve"> </w:t>
      </w:r>
      <w:r w:rsidRPr="00932EBB">
        <w:rPr>
          <w:rFonts w:ascii="Times New Roman" w:hAnsi="Times New Roman"/>
        </w:rPr>
        <w:t>revised</w:t>
      </w:r>
      <w:r>
        <w:t xml:space="preserve"> </w:t>
      </w:r>
      <w:r w:rsidRPr="00932EBB">
        <w:rPr>
          <w:rFonts w:ascii="Times New Roman" w:hAnsi="Times New Roman"/>
        </w:rPr>
        <w:t>the</w:t>
      </w:r>
      <w:r>
        <w:t xml:space="preserve"> </w:t>
      </w:r>
      <w:r w:rsidRPr="00932EBB">
        <w:rPr>
          <w:rFonts w:ascii="Times New Roman" w:hAnsi="Times New Roman"/>
        </w:rPr>
        <w:t>article</w:t>
      </w:r>
      <w:r>
        <w:t xml:space="preserve">. </w:t>
      </w:r>
      <w:r w:rsidRPr="00932EBB">
        <w:rPr>
          <w:rFonts w:ascii="Times New Roman" w:hAnsi="Times New Roman"/>
        </w:rPr>
        <w:t>HE</w:t>
      </w:r>
      <w:r>
        <w:t xml:space="preserve"> </w:t>
      </w:r>
      <w:r w:rsidRPr="00932EBB">
        <w:rPr>
          <w:rFonts w:ascii="Times New Roman" w:hAnsi="Times New Roman"/>
        </w:rPr>
        <w:t>Xia</w:t>
      </w:r>
      <w:r>
        <w:t xml:space="preserve"> </w:t>
      </w:r>
      <w:r w:rsidRPr="00932EBB">
        <w:rPr>
          <w:rFonts w:ascii="Times New Roman" w:hAnsi="Times New Roman"/>
        </w:rPr>
        <w:t>designed</w:t>
      </w:r>
      <w:r>
        <w:t xml:space="preserve"> </w:t>
      </w:r>
      <w:r w:rsidRPr="00932EBB">
        <w:rPr>
          <w:rFonts w:ascii="Times New Roman" w:hAnsi="Times New Roman"/>
        </w:rPr>
        <w:t>the</w:t>
      </w:r>
      <w:r>
        <w:t xml:space="preserve"> </w:t>
      </w:r>
      <w:r w:rsidRPr="00932EBB">
        <w:rPr>
          <w:rFonts w:ascii="Times New Roman" w:hAnsi="Times New Roman"/>
        </w:rPr>
        <w:t>study</w:t>
      </w:r>
      <w:r>
        <w:t xml:space="preserve"> </w:t>
      </w:r>
      <w:r w:rsidRPr="00932EBB">
        <w:rPr>
          <w:rFonts w:ascii="Times New Roman" w:hAnsi="Times New Roman"/>
        </w:rPr>
        <w:t>and</w:t>
      </w:r>
      <w:r>
        <w:t xml:space="preserve"> </w:t>
      </w:r>
      <w:r w:rsidRPr="00932EBB">
        <w:rPr>
          <w:rFonts w:ascii="Times New Roman" w:hAnsi="Times New Roman"/>
        </w:rPr>
        <w:t>reviewed</w:t>
      </w:r>
      <w:r>
        <w:t xml:space="preserve"> </w:t>
      </w:r>
      <w:r w:rsidRPr="00932EBB">
        <w:rPr>
          <w:rFonts w:ascii="Times New Roman" w:hAnsi="Times New Roman"/>
        </w:rPr>
        <w:t>the</w:t>
      </w:r>
      <w:r>
        <w:t xml:space="preserve"> </w:t>
      </w:r>
      <w:r w:rsidRPr="00932EBB">
        <w:rPr>
          <w:rFonts w:ascii="Times New Roman" w:hAnsi="Times New Roman"/>
        </w:rPr>
        <w:t>article</w:t>
      </w:r>
      <w:r>
        <w:t xml:space="preserve">. </w:t>
      </w:r>
      <w:r w:rsidRPr="00932EBB">
        <w:rPr>
          <w:rFonts w:ascii="Times New Roman" w:hAnsi="Times New Roman"/>
        </w:rPr>
        <w:t>All</w:t>
      </w:r>
      <w:r>
        <w:t xml:space="preserve"> </w:t>
      </w:r>
      <w:r w:rsidRPr="00932EBB">
        <w:rPr>
          <w:rFonts w:ascii="Times New Roman" w:hAnsi="Times New Roman"/>
        </w:rPr>
        <w:t>authors</w:t>
      </w:r>
      <w:r>
        <w:t xml:space="preserve"> </w:t>
      </w:r>
      <w:r w:rsidRPr="00932EBB">
        <w:rPr>
          <w:rFonts w:ascii="Times New Roman" w:hAnsi="Times New Roman"/>
        </w:rPr>
        <w:t>read</w:t>
      </w:r>
      <w:r>
        <w:t xml:space="preserve"> </w:t>
      </w:r>
      <w:r w:rsidRPr="00932EBB">
        <w:rPr>
          <w:rFonts w:ascii="Times New Roman" w:hAnsi="Times New Roman"/>
        </w:rPr>
        <w:t>and</w:t>
      </w:r>
      <w:r>
        <w:t xml:space="preserve"> </w:t>
      </w:r>
      <w:r w:rsidRPr="00932EBB">
        <w:rPr>
          <w:rFonts w:ascii="Times New Roman" w:hAnsi="Times New Roman"/>
        </w:rPr>
        <w:t>approved</w:t>
      </w:r>
      <w:r>
        <w:t xml:space="preserve"> </w:t>
      </w:r>
      <w:r w:rsidRPr="00932EBB">
        <w:rPr>
          <w:rFonts w:ascii="Times New Roman" w:hAnsi="Times New Roman"/>
        </w:rPr>
        <w:t>the</w:t>
      </w:r>
      <w:r>
        <w:t xml:space="preserve"> </w:t>
      </w:r>
      <w:r w:rsidRPr="00932EBB">
        <w:rPr>
          <w:rFonts w:ascii="Times New Roman" w:hAnsi="Times New Roman"/>
        </w:rPr>
        <w:t>final</w:t>
      </w:r>
      <w:r>
        <w:t xml:space="preserve"> </w:t>
      </w:r>
      <w:r w:rsidRPr="00932EBB">
        <w:rPr>
          <w:rFonts w:ascii="Times New Roman" w:hAnsi="Times New Roman"/>
        </w:rPr>
        <w:t>manuscript</w:t>
      </w:r>
      <w:r>
        <w:t xml:space="preserve"> </w:t>
      </w:r>
      <w:r w:rsidRPr="00932EBB">
        <w:rPr>
          <w:rFonts w:ascii="Times New Roman" w:hAnsi="Times New Roman"/>
        </w:rPr>
        <w:t>as</w:t>
      </w:r>
      <w:r>
        <w:t xml:space="preserve"> </w:t>
      </w:r>
      <w:r w:rsidRPr="00932EBB">
        <w:rPr>
          <w:rFonts w:ascii="Times New Roman" w:hAnsi="Times New Roman"/>
        </w:rPr>
        <w:t>submitted</w:t>
      </w:r>
      <w:r>
        <w:t>.</w:t>
      </w:r>
    </w:p>
    <w:p w14:paraId="4F0CAD24" w14:textId="77777777" w:rsidR="00D606CB" w:rsidRDefault="00000000">
      <w:pPr>
        <w:pStyle w:val="a9"/>
        <w:adjustRightInd w:val="0"/>
        <w:snapToGrid w:val="0"/>
        <w:spacing w:before="0" w:beforeAutospacing="0" w:after="0" w:afterAutospacing="0" w:line="360" w:lineRule="auto"/>
        <w:ind w:firstLineChars="200" w:firstLine="480"/>
        <w:rPr>
          <w:rFonts w:hint="eastAsia"/>
        </w:rPr>
      </w:pPr>
      <w:r>
        <w:t>【</w:t>
      </w:r>
      <w:r w:rsidRPr="00932EBB">
        <w:rPr>
          <w:rFonts w:ascii="Times New Roman" w:hAnsi="Times New Roman"/>
        </w:rPr>
        <w:t>Conflict</w:t>
      </w:r>
      <w:r>
        <w:t xml:space="preserve"> </w:t>
      </w:r>
      <w:r w:rsidRPr="00932EBB">
        <w:rPr>
          <w:rFonts w:ascii="Times New Roman" w:hAnsi="Times New Roman"/>
        </w:rPr>
        <w:t>of</w:t>
      </w:r>
      <w:r>
        <w:t xml:space="preserve"> </w:t>
      </w:r>
      <w:r w:rsidRPr="00932EBB">
        <w:rPr>
          <w:rFonts w:ascii="Times New Roman" w:hAnsi="Times New Roman"/>
        </w:rPr>
        <w:t>interest</w:t>
      </w:r>
      <w:r>
        <w:t xml:space="preserve">】 </w:t>
      </w:r>
      <w:r w:rsidRPr="00932EBB">
        <w:rPr>
          <w:rFonts w:ascii="Times New Roman" w:hAnsi="Times New Roman"/>
        </w:rPr>
        <w:t>The</w:t>
      </w:r>
      <w:r>
        <w:t xml:space="preserve"> </w:t>
      </w:r>
      <w:r w:rsidRPr="00932EBB">
        <w:rPr>
          <w:rFonts w:ascii="Times New Roman" w:hAnsi="Times New Roman"/>
        </w:rPr>
        <w:t>authors</w:t>
      </w:r>
      <w:r>
        <w:t xml:space="preserve"> </w:t>
      </w:r>
      <w:r w:rsidRPr="00932EBB">
        <w:rPr>
          <w:rFonts w:ascii="Times New Roman" w:hAnsi="Times New Roman"/>
        </w:rPr>
        <w:t>declare</w:t>
      </w:r>
      <w:r>
        <w:t xml:space="preserve"> </w:t>
      </w:r>
      <w:r w:rsidRPr="00932EBB">
        <w:rPr>
          <w:rFonts w:ascii="Times New Roman" w:hAnsi="Times New Roman"/>
        </w:rPr>
        <w:t>no</w:t>
      </w:r>
      <w:r>
        <w:t xml:space="preserve"> </w:t>
      </w:r>
      <w:r w:rsidRPr="00932EBB">
        <w:rPr>
          <w:rFonts w:ascii="Times New Roman" w:hAnsi="Times New Roman"/>
        </w:rPr>
        <w:t>conflict</w:t>
      </w:r>
      <w:r>
        <w:t xml:space="preserve"> </w:t>
      </w:r>
      <w:r w:rsidRPr="00932EBB">
        <w:rPr>
          <w:rFonts w:ascii="Times New Roman" w:hAnsi="Times New Roman"/>
        </w:rPr>
        <w:t>of</w:t>
      </w:r>
      <w:r>
        <w:t xml:space="preserve"> </w:t>
      </w:r>
      <w:r w:rsidRPr="00932EBB">
        <w:rPr>
          <w:rFonts w:ascii="Times New Roman" w:hAnsi="Times New Roman"/>
        </w:rPr>
        <w:t>interest</w:t>
      </w:r>
      <w:r>
        <w:t>.</w:t>
      </w:r>
    </w:p>
    <w:p w14:paraId="345B0E2D" w14:textId="77777777" w:rsidR="00D606CB" w:rsidRDefault="00D606CB">
      <w:pPr>
        <w:pStyle w:val="a9"/>
        <w:adjustRightInd w:val="0"/>
        <w:snapToGrid w:val="0"/>
        <w:spacing w:before="0" w:beforeAutospacing="0" w:after="0" w:afterAutospacing="0" w:line="360" w:lineRule="auto"/>
        <w:ind w:firstLineChars="200" w:firstLine="480"/>
        <w:rPr>
          <w:rFonts w:hint="eastAsia"/>
          <w:highlight w:val="yellow"/>
        </w:rPr>
      </w:pPr>
    </w:p>
    <w:bookmarkEnd w:id="0"/>
    <w:p w14:paraId="243BB4DB" w14:textId="77777777" w:rsidR="00D606CB" w:rsidRDefault="00000000">
      <w:pPr>
        <w:pStyle w:val="a9"/>
        <w:adjustRightInd w:val="0"/>
        <w:snapToGrid w:val="0"/>
        <w:spacing w:before="0" w:beforeAutospacing="0" w:after="0" w:afterAutospacing="0" w:line="360" w:lineRule="auto"/>
        <w:rPr>
          <w:rFonts w:ascii="Times New Roman" w:hAnsi="Times New Roman"/>
          <w:b/>
          <w:bCs/>
        </w:rPr>
      </w:pPr>
      <w:r>
        <w:rPr>
          <w:rFonts w:ascii="Times New Roman" w:hAnsi="Times New Roman" w:hint="eastAsia"/>
          <w:b/>
          <w:bCs/>
        </w:rPr>
        <w:t>参考文献</w:t>
      </w:r>
    </w:p>
    <w:p w14:paraId="527F4153"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w:t>
      </w:r>
      <w:r w:rsidRPr="00587DC7">
        <w:rPr>
          <w:rFonts w:ascii="Times New Roman" w:eastAsia="宋体" w:hAnsi="Times New Roman" w:cs="Times New Roman"/>
          <w:sz w:val="21"/>
          <w:szCs w:val="21"/>
        </w:rPr>
        <w:t xml:space="preserve"> CHEN Y P, CHAN A T C, LE Q T, et al. Nasopharyngeal carcinoma [J]. Lancet, 2019, 394(10192): 64-80.</w:t>
      </w:r>
    </w:p>
    <w:p w14:paraId="76F9ED22"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w:t>
      </w:r>
      <w:r w:rsidRPr="00587DC7">
        <w:rPr>
          <w:rFonts w:ascii="Times New Roman" w:eastAsia="宋体" w:hAnsi="Times New Roman" w:cs="Times New Roman"/>
          <w:sz w:val="21"/>
          <w:szCs w:val="21"/>
        </w:rPr>
        <w:t xml:space="preserve"> TSAO S W, TSANG C M, LO K W. Epstein-Barr virus infection and nasopharyngeal carcinoma [J]. Philos Trans R Soc Lond B Biol Sci, 2017, 372(1732): 20160270.</w:t>
      </w:r>
    </w:p>
    <w:p w14:paraId="6D0B2557" w14:textId="77777777" w:rsidR="00587DC7" w:rsidRPr="00587DC7" w:rsidRDefault="00587DC7" w:rsidP="002B73F0">
      <w:pPr>
        <w:adjustRightInd w:val="0"/>
        <w:snapToGrid w:val="0"/>
        <w:spacing w:after="0" w:line="360" w:lineRule="auto"/>
        <w:ind w:left="316" w:hangingChars="150" w:hanging="316"/>
        <w:rPr>
          <w:rFonts w:ascii="Times New Roman" w:eastAsia="宋体" w:hAnsi="Times New Roman" w:cs="Times New Roman"/>
          <w:sz w:val="21"/>
          <w:szCs w:val="21"/>
        </w:rPr>
      </w:pPr>
      <w:r w:rsidRPr="00587DC7">
        <w:rPr>
          <w:rFonts w:ascii="Times New Roman" w:eastAsia="宋体" w:hAnsi="Times New Roman" w:cs="Times New Roman"/>
          <w:b/>
          <w:bCs/>
          <w:sz w:val="21"/>
          <w:szCs w:val="21"/>
        </w:rPr>
        <w:t>[3]</w:t>
      </w:r>
      <w:r w:rsidRPr="00587DC7">
        <w:rPr>
          <w:rFonts w:ascii="Times New Roman" w:eastAsia="宋体" w:hAnsi="Times New Roman" w:cs="Times New Roman"/>
          <w:sz w:val="21"/>
          <w:szCs w:val="21"/>
        </w:rPr>
        <w:t xml:space="preserve"> </w:t>
      </w:r>
      <w:r w:rsidRPr="00587DC7">
        <w:rPr>
          <w:rFonts w:ascii="Times New Roman" w:eastAsia="宋体" w:hAnsi="Times New Roman" w:cs="Times New Roman"/>
          <w:sz w:val="21"/>
          <w:szCs w:val="21"/>
        </w:rPr>
        <w:t>吴俚蓉，顾佳佳，宗丹</w:t>
      </w:r>
      <w:r w:rsidRPr="00587DC7">
        <w:rPr>
          <w:rFonts w:ascii="Times New Roman" w:eastAsia="宋体" w:hAnsi="Times New Roman" w:cs="Times New Roman"/>
          <w:sz w:val="21"/>
          <w:szCs w:val="21"/>
        </w:rPr>
        <w:t xml:space="preserve">. </w:t>
      </w:r>
      <w:r w:rsidRPr="00587DC7">
        <w:rPr>
          <w:rFonts w:ascii="Times New Roman" w:eastAsia="宋体" w:hAnsi="Times New Roman" w:cs="Times New Roman"/>
          <w:sz w:val="21"/>
          <w:szCs w:val="21"/>
        </w:rPr>
        <w:t>鼻咽癌诊疗总览分析</w:t>
      </w:r>
      <w:r w:rsidRPr="00587DC7">
        <w:rPr>
          <w:rFonts w:ascii="Times New Roman" w:eastAsia="宋体" w:hAnsi="Times New Roman" w:cs="Times New Roman"/>
          <w:sz w:val="21"/>
          <w:szCs w:val="21"/>
        </w:rPr>
        <w:t xml:space="preserve"> [J]. </w:t>
      </w:r>
      <w:r w:rsidRPr="00587DC7">
        <w:rPr>
          <w:rFonts w:ascii="Times New Roman" w:eastAsia="宋体" w:hAnsi="Times New Roman" w:cs="Times New Roman"/>
          <w:sz w:val="21"/>
          <w:szCs w:val="21"/>
        </w:rPr>
        <w:t>肿瘤学杂志</w:t>
      </w:r>
      <w:r w:rsidRPr="00587DC7">
        <w:rPr>
          <w:rFonts w:ascii="Times New Roman" w:eastAsia="宋体" w:hAnsi="Times New Roman" w:cs="Times New Roman"/>
          <w:sz w:val="21"/>
          <w:szCs w:val="21"/>
        </w:rPr>
        <w:t>, 2021, 27(11): 889-899.</w:t>
      </w:r>
      <w:r w:rsidRPr="00587DC7">
        <w:rPr>
          <w:rFonts w:ascii="Times New Roman" w:eastAsia="宋体" w:hAnsi="Times New Roman" w:cs="Times New Roman"/>
          <w:sz w:val="21"/>
          <w:szCs w:val="21"/>
        </w:rPr>
        <w:br/>
        <w:t>WU L R, GU J J, ZONG D. Overview analysis of diagnosis and treatment of nasopharyngeal carcinoma [J]. Journal of Chinese Oncology, 2021, 27(11): 889-899.</w:t>
      </w:r>
    </w:p>
    <w:p w14:paraId="5FA45B56"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[4]</w:t>
      </w:r>
      <w:r w:rsidRPr="00587DC7">
        <w:rPr>
          <w:rFonts w:ascii="Times New Roman" w:eastAsia="宋体" w:hAnsi="Times New Roman" w:cs="Times New Roman"/>
          <w:sz w:val="21"/>
          <w:szCs w:val="21"/>
        </w:rPr>
        <w:t xml:space="preserve"> ZHANG Y, CHEN L, HU G Q, et al. Gemcitabine and cisplatin induction chemotherapy in nasopharyngeal carcinoma [J]. N Engl J Med, 2019, 381(12): 1124-1135.</w:t>
      </w:r>
    </w:p>
    <w:p w14:paraId="3F50DF43"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[5]</w:t>
      </w:r>
      <w:r w:rsidRPr="00587DC7">
        <w:rPr>
          <w:rFonts w:ascii="Times New Roman" w:eastAsia="宋体" w:hAnsi="Times New Roman" w:cs="Times New Roman"/>
          <w:sz w:val="21"/>
          <w:szCs w:val="21"/>
        </w:rPr>
        <w:t xml:space="preserve"> SUN Y, LI W F, CHEN N Y, et al. Induction chemotherapy plus concurrent chemoradiotherapy versus concurrent chemoradiotherapy alone in locoregionally advanced nasopharyngeal carcinoma: a phase 3, multicentre, randomised controlled trial [J]. Lancet Oncol, 2016, 17(11): 1509-1520.</w:t>
      </w:r>
    </w:p>
    <w:p w14:paraId="1C91F232"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[6]</w:t>
      </w:r>
      <w:r w:rsidRPr="00587DC7">
        <w:rPr>
          <w:rFonts w:ascii="Times New Roman" w:eastAsia="宋体" w:hAnsi="Times New Roman" w:cs="Times New Roman"/>
          <w:sz w:val="21"/>
          <w:szCs w:val="21"/>
        </w:rPr>
        <w:t xml:space="preserve"> PETIT C, LEE A, MA J, et al. Role of chemotherapy in patients with nasopharynx carcinoma treated with radiotherapy (MAC-NPC): an updated individual patient data network meta-analysis [J]. Lancet Oncol, 2023, 24(6): 611-623.</w:t>
      </w:r>
    </w:p>
    <w:p w14:paraId="26052E60"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[7]</w:t>
      </w:r>
      <w:r w:rsidRPr="00587DC7">
        <w:rPr>
          <w:rFonts w:ascii="Times New Roman" w:eastAsia="宋体" w:hAnsi="Times New Roman" w:cs="Times New Roman"/>
          <w:sz w:val="21"/>
          <w:szCs w:val="21"/>
        </w:rPr>
        <w:t xml:space="preserve"> XU J Y, WEI X L, WANG Y Q, et al. Current status and advances of immunotherapy in nasopharyngeal carcinoma [J]. Ther Adv Med Oncol, 2022, 14: 17588359221096214.</w:t>
      </w:r>
    </w:p>
    <w:p w14:paraId="2FD0D3EB"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[8]</w:t>
      </w:r>
      <w:r w:rsidRPr="00587DC7">
        <w:rPr>
          <w:rFonts w:ascii="Times New Roman" w:eastAsia="宋体" w:hAnsi="Times New Roman" w:cs="Times New Roman"/>
          <w:sz w:val="21"/>
          <w:szCs w:val="21"/>
        </w:rPr>
        <w:t xml:space="preserve"> LIAN C L, ZHOU R, ZHOU Y, et al. Assessment of response to different induction chemotherapy regimens in locally advanced nasopharyngeal carcinoma [J]. Drug Des Devel Ther, 2023, 17: 551-562.</w:t>
      </w:r>
    </w:p>
    <w:p w14:paraId="795EBD4D"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[9]</w:t>
      </w:r>
      <w:r w:rsidRPr="00587DC7">
        <w:rPr>
          <w:rFonts w:ascii="Times New Roman" w:eastAsia="宋体" w:hAnsi="Times New Roman" w:cs="Times New Roman"/>
          <w:sz w:val="21"/>
          <w:szCs w:val="21"/>
        </w:rPr>
        <w:t xml:space="preserve"> WANG B C, KUANG B H, LIU X X, et al. Induction chemotherapy in locoregionally advanced nasopharyngeal carcinoma: a systematic review and meta-analysis [J]. Front Oncol, 2022, 12: 927510.</w:t>
      </w:r>
    </w:p>
    <w:p w14:paraId="4291387F"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[10]</w:t>
      </w:r>
      <w:r w:rsidRPr="00587DC7">
        <w:rPr>
          <w:rFonts w:ascii="Times New Roman" w:eastAsia="宋体" w:hAnsi="Times New Roman" w:cs="Times New Roman"/>
          <w:sz w:val="21"/>
          <w:szCs w:val="21"/>
        </w:rPr>
        <w:t xml:space="preserve"> JIANG Y, CHEN C, LIU G, et al. Combination strategy exploration for prior treated recurrent </w:t>
      </w:r>
      <w:r w:rsidRPr="00587DC7">
        <w:rPr>
          <w:rFonts w:ascii="Times New Roman" w:eastAsia="宋体" w:hAnsi="Times New Roman" w:cs="Times New Roman"/>
          <w:sz w:val="21"/>
          <w:szCs w:val="21"/>
        </w:rPr>
        <w:lastRenderedPageBreak/>
        <w:t>or metastatic nasopharyngeal carcinoma in the era of immunotherapy [J]. Sci Rep, 2024, 14(1): 1768.</w:t>
      </w:r>
    </w:p>
    <w:p w14:paraId="58312DFC"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[11]</w:t>
      </w:r>
      <w:r w:rsidRPr="00587DC7">
        <w:rPr>
          <w:rFonts w:ascii="Times New Roman" w:eastAsia="宋体" w:hAnsi="Times New Roman" w:cs="Times New Roman"/>
          <w:sz w:val="21"/>
          <w:szCs w:val="21"/>
        </w:rPr>
        <w:t xml:space="preserve"> XIANG X, CHEN P, LAN F, et al. The short-term efficacy and safety of induction chemotherapy combined with PD-1 inhibitor or anti-EGFR in locoregionally advanced nasopharyngeal carcinoma [J]. Front Oncol, 2023, 13: 1110281.</w:t>
      </w:r>
    </w:p>
    <w:p w14:paraId="71BE122E"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[12]</w:t>
      </w:r>
      <w:r w:rsidRPr="00587DC7">
        <w:rPr>
          <w:rFonts w:ascii="Times New Roman" w:eastAsia="宋体" w:hAnsi="Times New Roman" w:cs="Times New Roman"/>
          <w:sz w:val="21"/>
          <w:szCs w:val="21"/>
        </w:rPr>
        <w:t xml:space="preserve"> GUO L F, RAO M Y, YU Y F, et al. The addition of nimotuzumab during concurrent chemoradiotherapy improved survival outcomes in locally advanced nasopharyngeal carcinoma patients with optimal response to induction chemotherapy [J]. BMC Cancer, 2024, 24(1): 950.</w:t>
      </w:r>
    </w:p>
    <w:p w14:paraId="23CC75A9"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[13]</w:t>
      </w:r>
      <w:r w:rsidRPr="00587DC7">
        <w:rPr>
          <w:rFonts w:ascii="Times New Roman" w:eastAsia="宋体" w:hAnsi="Times New Roman" w:cs="Times New Roman"/>
          <w:sz w:val="21"/>
          <w:szCs w:val="21"/>
        </w:rPr>
        <w:t xml:space="preserve"> WANG L, ZHUANG H, XU X, et al. Efficacy and survival analysis of nimotuzumab combined with concurrent chemoradiotherapy in the treatment of locally advanced nasopharyngeal carcinoma [J]. Front Oncol, 2023, 13: 1129649.</w:t>
      </w:r>
    </w:p>
    <w:p w14:paraId="75CA8D1D"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[14]</w:t>
      </w:r>
      <w:r w:rsidRPr="00587DC7">
        <w:rPr>
          <w:rFonts w:ascii="Times New Roman" w:eastAsia="宋体" w:hAnsi="Times New Roman" w:cs="Times New Roman"/>
          <w:sz w:val="21"/>
          <w:szCs w:val="21"/>
        </w:rPr>
        <w:t xml:space="preserve"> MAZORRA Z, LAVASTIDA A, CONCHA-BENAVENTE F, et al. Nimotuzumab induces NK cell activation, cytotoxicity, dendritic cell maturation and expansion of EGFR-specific T cells in head and neck cancer patients [J]. Front Pharmacol, 2017, 8: 382.</w:t>
      </w:r>
    </w:p>
    <w:p w14:paraId="76947EA1"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[15]</w:t>
      </w:r>
      <w:r w:rsidRPr="00587DC7">
        <w:rPr>
          <w:rFonts w:ascii="Times New Roman" w:eastAsia="宋体" w:hAnsi="Times New Roman" w:cs="Times New Roman"/>
          <w:sz w:val="21"/>
          <w:szCs w:val="21"/>
        </w:rPr>
        <w:t xml:space="preserve"> ABDELHAMED S, OGURA K, YOKOYAMA S, et al. AKT-STAT3 pathway as a downstream target of EGFR signaling to regulate PD-L1 expression on NSCLC cells [J]. J Cancer, 2016, 7(12): 1579-1586.</w:t>
      </w:r>
    </w:p>
    <w:p w14:paraId="39CAD250"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[16]</w:t>
      </w:r>
      <w:r w:rsidRPr="00587DC7">
        <w:rPr>
          <w:rFonts w:ascii="Times New Roman" w:eastAsia="宋体" w:hAnsi="Times New Roman" w:cs="Times New Roman"/>
          <w:sz w:val="21"/>
          <w:szCs w:val="21"/>
        </w:rPr>
        <w:t xml:space="preserve"> YI M, ZHENG X, NIU M, et al. Combination strategies with PD-1/PD-L1 blockade: current advances and future directions [J]. Mol Cancer, 2022, 21(1): 28.</w:t>
      </w:r>
    </w:p>
    <w:p w14:paraId="34F3093A"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[17]</w:t>
      </w:r>
      <w:r w:rsidRPr="00587DC7">
        <w:rPr>
          <w:rFonts w:ascii="Times New Roman" w:eastAsia="宋体" w:hAnsi="Times New Roman" w:cs="Times New Roman"/>
          <w:sz w:val="21"/>
          <w:szCs w:val="21"/>
        </w:rPr>
        <w:t xml:space="preserve"> LIU X, ZHANG Y, YANG K Y, et al. Induction-concurrent chemoradiotherapy with or without sintilimab in patients with locoregionally advanced nasopharyngeal carcinoma in China (CONTINUUM): a multicentre, open-label, parallel-group, randomised, controlled, phase 3 trial [J]. Lancet, 2024, 403(10445): 2720-2731.</w:t>
      </w:r>
    </w:p>
    <w:p w14:paraId="6AB5B874"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[18]</w:t>
      </w:r>
      <w:r w:rsidRPr="00587DC7">
        <w:rPr>
          <w:rFonts w:ascii="Times New Roman" w:eastAsia="宋体" w:hAnsi="Times New Roman" w:cs="Times New Roman"/>
          <w:sz w:val="21"/>
          <w:szCs w:val="21"/>
        </w:rPr>
        <w:t xml:space="preserve"> TANG L L, HUANG C, CHEN L, et al. Reduced-volume radiotherapy versus conventional-volume radiotherapy after induction chemotherapy in nasopharyngeal carcinoma: an open-label, noninferiority, multicenter, randomized phase 3 trial [J]. CA Cancer J Clin, 2025, 75(1): 203-215.</w:t>
      </w:r>
    </w:p>
    <w:p w14:paraId="587237CB"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[19]</w:t>
      </w:r>
      <w:r w:rsidRPr="00587DC7">
        <w:rPr>
          <w:rFonts w:ascii="Times New Roman" w:eastAsia="宋体" w:hAnsi="Times New Roman" w:cs="Times New Roman"/>
          <w:sz w:val="21"/>
          <w:szCs w:val="21"/>
        </w:rPr>
        <w:t xml:space="preserve"> RUAN L, LI X H, WAN X X, et al. Analysis of EGFR signaling pathway in nasopharyngeal carcinoma cells by quantitative phosphoproteomics [J]. Proteome Sci, 2011, 9(1): 35.</w:t>
      </w:r>
    </w:p>
    <w:p w14:paraId="30D3580A"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[20]</w:t>
      </w:r>
      <w:r w:rsidRPr="00587DC7">
        <w:rPr>
          <w:rFonts w:ascii="Times New Roman" w:eastAsia="宋体" w:hAnsi="Times New Roman" w:cs="Times New Roman"/>
          <w:sz w:val="21"/>
          <w:szCs w:val="21"/>
        </w:rPr>
        <w:t xml:space="preserve"> ZHENG X, HUANG Y, LI K, et al. Immunosuppressive tumor microenvironment and immunotherapy of Epstein-Barr virus-associated malignancies [J]. Viruses, 2022, 14(5): 1017.</w:t>
      </w:r>
    </w:p>
    <w:p w14:paraId="36E543B0"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[21]</w:t>
      </w:r>
      <w:r w:rsidRPr="00587DC7">
        <w:rPr>
          <w:rFonts w:ascii="Times New Roman" w:eastAsia="宋体" w:hAnsi="Times New Roman" w:cs="Times New Roman"/>
          <w:sz w:val="21"/>
          <w:szCs w:val="21"/>
        </w:rPr>
        <w:t xml:space="preserve"> WANG H, FAN S, ZHAN Y, et al. Targeting EGFR-binding protein SLC7A11 enhancing antitumor immunity of T cells via inducing MHC-I antigen presentation in nasopharyngeal carcinoma [J]. Cell Death Dis, 2025, 16(1): 21.</w:t>
      </w:r>
    </w:p>
    <w:p w14:paraId="1462786E"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[22]</w:t>
      </w:r>
      <w:r w:rsidRPr="00587DC7">
        <w:rPr>
          <w:rFonts w:ascii="Times New Roman" w:eastAsia="宋体" w:hAnsi="Times New Roman" w:cs="Times New Roman"/>
          <w:sz w:val="21"/>
          <w:szCs w:val="21"/>
        </w:rPr>
        <w:t xml:space="preserve"> ZHANG Y N, CHEN Y P, OUYANG P Y, et al. Anti-programmed death-1 inhibitors and nimotuzumab in combination with induction chemotherapy for locoregionally advanced nasopharyngeal carcinoma: a propensity score-matched analysis [J]. Ther Adv Med Oncol, 2025, 17: 17588359251316094.</w:t>
      </w:r>
    </w:p>
    <w:p w14:paraId="20B2BDFF"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[23]</w:t>
      </w:r>
      <w:r w:rsidRPr="00587DC7">
        <w:rPr>
          <w:rFonts w:ascii="Times New Roman" w:eastAsia="宋体" w:hAnsi="Times New Roman" w:cs="Times New Roman"/>
          <w:sz w:val="21"/>
          <w:szCs w:val="21"/>
        </w:rPr>
        <w:t xml:space="preserve"> ZHANG W, MENG Y, ZHANG P, et al. PD-1 inhibitor combined with TPF induction </w:t>
      </w:r>
      <w:r w:rsidRPr="00587DC7">
        <w:rPr>
          <w:rFonts w:ascii="Times New Roman" w:eastAsia="宋体" w:hAnsi="Times New Roman" w:cs="Times New Roman"/>
          <w:sz w:val="21"/>
          <w:szCs w:val="21"/>
        </w:rPr>
        <w:lastRenderedPageBreak/>
        <w:t>chemotherapy in locally advanced nasopharyngeal carcinoma: a retrospective study of efficacy and safety [J]. Front Immunol, 2025, 16: 1654616.</w:t>
      </w:r>
    </w:p>
    <w:p w14:paraId="042FB5A9" w14:textId="77777777" w:rsidR="00587DC7" w:rsidRPr="00587DC7" w:rsidRDefault="00587DC7" w:rsidP="00587DC7">
      <w:pPr>
        <w:adjustRightInd w:val="0"/>
        <w:snapToGrid w:val="0"/>
        <w:spacing w:after="0" w:line="360" w:lineRule="auto"/>
        <w:rPr>
          <w:rFonts w:ascii="Times New Roman" w:eastAsia="宋体" w:hAnsi="Times New Roman" w:cs="Times New Roman"/>
          <w:sz w:val="21"/>
          <w:szCs w:val="21"/>
        </w:rPr>
      </w:pPr>
      <w:r w:rsidRPr="00587DC7">
        <w:rPr>
          <w:rFonts w:ascii="Times New Roman" w:eastAsia="宋体" w:hAnsi="Times New Roman" w:cs="Times New Roman"/>
          <w:b/>
          <w:bCs/>
          <w:sz w:val="21"/>
          <w:szCs w:val="21"/>
        </w:rPr>
        <w:t>[24]</w:t>
      </w:r>
      <w:r w:rsidRPr="00587DC7">
        <w:rPr>
          <w:rFonts w:ascii="Times New Roman" w:eastAsia="宋体" w:hAnsi="Times New Roman" w:cs="Times New Roman"/>
          <w:sz w:val="21"/>
          <w:szCs w:val="21"/>
        </w:rPr>
        <w:t xml:space="preserve"> WANG Z, SUN Y, WANG Q, et al. Induction chemotherapy plus camrelizumab combined with concurrent chemoradiotherapy in locoregionally advanced nasopharyngeal carcinoma in non-endemic areas: a phase 2 clinical trial in North China [J]. Front Oncol, 2025, 15: 1366853.</w:t>
      </w:r>
    </w:p>
    <w:p w14:paraId="474FF63D" w14:textId="77777777" w:rsidR="00D606CB" w:rsidRPr="00587DC7" w:rsidRDefault="00D606CB">
      <w:pPr>
        <w:adjustRightInd w:val="0"/>
        <w:snapToGrid w:val="0"/>
        <w:spacing w:after="0" w:line="360" w:lineRule="auto"/>
        <w:rPr>
          <w:rFonts w:ascii="宋体" w:eastAsia="宋体" w:hAnsi="宋体" w:cs="Arial" w:hint="eastAsia"/>
          <w:sz w:val="21"/>
          <w:szCs w:val="21"/>
        </w:rPr>
      </w:pPr>
    </w:p>
    <w:sectPr w:rsidR="00D606CB" w:rsidRPr="00587D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84823" w14:textId="77777777" w:rsidR="004D7F67" w:rsidRDefault="004D7F67">
      <w:pPr>
        <w:spacing w:line="240" w:lineRule="auto"/>
        <w:rPr>
          <w:rFonts w:hint="eastAsia"/>
        </w:rPr>
      </w:pPr>
      <w:r>
        <w:separator/>
      </w:r>
    </w:p>
  </w:endnote>
  <w:endnote w:type="continuationSeparator" w:id="0">
    <w:p w14:paraId="2EBE17DA" w14:textId="77777777" w:rsidR="004D7F67" w:rsidRDefault="004D7F67">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BE85" w14:textId="77777777" w:rsidR="004D7F67" w:rsidRDefault="004D7F67">
      <w:pPr>
        <w:spacing w:after="0"/>
        <w:rPr>
          <w:rFonts w:hint="eastAsia"/>
        </w:rPr>
      </w:pPr>
      <w:r>
        <w:separator/>
      </w:r>
    </w:p>
  </w:footnote>
  <w:footnote w:type="continuationSeparator" w:id="0">
    <w:p w14:paraId="693279B6" w14:textId="77777777" w:rsidR="004D7F67" w:rsidRDefault="004D7F67">
      <w:pPr>
        <w:spacing w:after="0"/>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7AD"/>
    <w:rsid w:val="000014CB"/>
    <w:rsid w:val="000209FC"/>
    <w:rsid w:val="000230AF"/>
    <w:rsid w:val="0002726E"/>
    <w:rsid w:val="00031401"/>
    <w:rsid w:val="00031D9B"/>
    <w:rsid w:val="00053281"/>
    <w:rsid w:val="00067E2B"/>
    <w:rsid w:val="0007280D"/>
    <w:rsid w:val="000747CC"/>
    <w:rsid w:val="0008320B"/>
    <w:rsid w:val="00093860"/>
    <w:rsid w:val="000A0D24"/>
    <w:rsid w:val="000A1A32"/>
    <w:rsid w:val="000A490E"/>
    <w:rsid w:val="000A4F9E"/>
    <w:rsid w:val="000B3A82"/>
    <w:rsid w:val="000B41BD"/>
    <w:rsid w:val="000C04F2"/>
    <w:rsid w:val="000C0EE3"/>
    <w:rsid w:val="000C2DC8"/>
    <w:rsid w:val="000C3699"/>
    <w:rsid w:val="000C3935"/>
    <w:rsid w:val="000C3E56"/>
    <w:rsid w:val="000E08EA"/>
    <w:rsid w:val="000E49F6"/>
    <w:rsid w:val="000E5A82"/>
    <w:rsid w:val="000F3B9C"/>
    <w:rsid w:val="000F5484"/>
    <w:rsid w:val="00100855"/>
    <w:rsid w:val="00102587"/>
    <w:rsid w:val="00104570"/>
    <w:rsid w:val="0011031B"/>
    <w:rsid w:val="00114BB0"/>
    <w:rsid w:val="00116692"/>
    <w:rsid w:val="00121952"/>
    <w:rsid w:val="00126C84"/>
    <w:rsid w:val="001306B9"/>
    <w:rsid w:val="001409FA"/>
    <w:rsid w:val="00140F57"/>
    <w:rsid w:val="00145B36"/>
    <w:rsid w:val="00150FD3"/>
    <w:rsid w:val="001535DB"/>
    <w:rsid w:val="001658C3"/>
    <w:rsid w:val="00171737"/>
    <w:rsid w:val="0017334A"/>
    <w:rsid w:val="00175338"/>
    <w:rsid w:val="00177CDA"/>
    <w:rsid w:val="0018105C"/>
    <w:rsid w:val="001817DE"/>
    <w:rsid w:val="001956F4"/>
    <w:rsid w:val="001A5953"/>
    <w:rsid w:val="001A7BD9"/>
    <w:rsid w:val="001B5E2D"/>
    <w:rsid w:val="001B7724"/>
    <w:rsid w:val="001C2028"/>
    <w:rsid w:val="001C40FB"/>
    <w:rsid w:val="001C5BAA"/>
    <w:rsid w:val="001D0F54"/>
    <w:rsid w:val="001D3AD4"/>
    <w:rsid w:val="001D3F5E"/>
    <w:rsid w:val="001D5FE1"/>
    <w:rsid w:val="001F0481"/>
    <w:rsid w:val="001F0AA0"/>
    <w:rsid w:val="001F484F"/>
    <w:rsid w:val="001F51F0"/>
    <w:rsid w:val="001F7642"/>
    <w:rsid w:val="00202235"/>
    <w:rsid w:val="0020416E"/>
    <w:rsid w:val="00205217"/>
    <w:rsid w:val="00207B31"/>
    <w:rsid w:val="002131AD"/>
    <w:rsid w:val="00216CE8"/>
    <w:rsid w:val="00220D17"/>
    <w:rsid w:val="002211F0"/>
    <w:rsid w:val="002214B5"/>
    <w:rsid w:val="00223760"/>
    <w:rsid w:val="00226783"/>
    <w:rsid w:val="0023232B"/>
    <w:rsid w:val="002328DB"/>
    <w:rsid w:val="00235AC2"/>
    <w:rsid w:val="00236352"/>
    <w:rsid w:val="00236F04"/>
    <w:rsid w:val="00247937"/>
    <w:rsid w:val="00247BF2"/>
    <w:rsid w:val="00255627"/>
    <w:rsid w:val="0026278B"/>
    <w:rsid w:val="00264E72"/>
    <w:rsid w:val="00266264"/>
    <w:rsid w:val="002677C4"/>
    <w:rsid w:val="00273CC6"/>
    <w:rsid w:val="0027436F"/>
    <w:rsid w:val="00276EC4"/>
    <w:rsid w:val="00277B7C"/>
    <w:rsid w:val="002845CE"/>
    <w:rsid w:val="00285209"/>
    <w:rsid w:val="00296328"/>
    <w:rsid w:val="002A48A8"/>
    <w:rsid w:val="002B3234"/>
    <w:rsid w:val="002B5295"/>
    <w:rsid w:val="002B73F0"/>
    <w:rsid w:val="002C0D5B"/>
    <w:rsid w:val="002C3026"/>
    <w:rsid w:val="002C44A9"/>
    <w:rsid w:val="002C66B1"/>
    <w:rsid w:val="002D1CC0"/>
    <w:rsid w:val="002D3A21"/>
    <w:rsid w:val="002E3B0C"/>
    <w:rsid w:val="002E5659"/>
    <w:rsid w:val="002E6587"/>
    <w:rsid w:val="002F2992"/>
    <w:rsid w:val="00300144"/>
    <w:rsid w:val="00302C7C"/>
    <w:rsid w:val="00306595"/>
    <w:rsid w:val="00316964"/>
    <w:rsid w:val="00324167"/>
    <w:rsid w:val="003248FA"/>
    <w:rsid w:val="00340FDE"/>
    <w:rsid w:val="00344D87"/>
    <w:rsid w:val="00346FB3"/>
    <w:rsid w:val="00347F14"/>
    <w:rsid w:val="00347FDF"/>
    <w:rsid w:val="00362C34"/>
    <w:rsid w:val="0036446A"/>
    <w:rsid w:val="00367412"/>
    <w:rsid w:val="00367F5A"/>
    <w:rsid w:val="00372D3C"/>
    <w:rsid w:val="00377268"/>
    <w:rsid w:val="0038070A"/>
    <w:rsid w:val="00382733"/>
    <w:rsid w:val="00384832"/>
    <w:rsid w:val="003871C4"/>
    <w:rsid w:val="00391645"/>
    <w:rsid w:val="00393C69"/>
    <w:rsid w:val="003961DE"/>
    <w:rsid w:val="003A2496"/>
    <w:rsid w:val="003A2CBF"/>
    <w:rsid w:val="003A4C4C"/>
    <w:rsid w:val="003B045B"/>
    <w:rsid w:val="003B2F80"/>
    <w:rsid w:val="003D0AD0"/>
    <w:rsid w:val="003D1F22"/>
    <w:rsid w:val="003D639E"/>
    <w:rsid w:val="003D68BA"/>
    <w:rsid w:val="003E18D1"/>
    <w:rsid w:val="003F30BE"/>
    <w:rsid w:val="003F46A5"/>
    <w:rsid w:val="003F6030"/>
    <w:rsid w:val="004021BE"/>
    <w:rsid w:val="00406A52"/>
    <w:rsid w:val="00451F7B"/>
    <w:rsid w:val="00470C6F"/>
    <w:rsid w:val="00473C1D"/>
    <w:rsid w:val="0047746C"/>
    <w:rsid w:val="0048309D"/>
    <w:rsid w:val="0049607F"/>
    <w:rsid w:val="004A4FA2"/>
    <w:rsid w:val="004B3992"/>
    <w:rsid w:val="004B3D1D"/>
    <w:rsid w:val="004B7E85"/>
    <w:rsid w:val="004C271C"/>
    <w:rsid w:val="004D201B"/>
    <w:rsid w:val="004D6FB4"/>
    <w:rsid w:val="004D7F67"/>
    <w:rsid w:val="004E2B73"/>
    <w:rsid w:val="004E4756"/>
    <w:rsid w:val="004E554B"/>
    <w:rsid w:val="00500FEB"/>
    <w:rsid w:val="00501F41"/>
    <w:rsid w:val="005024B8"/>
    <w:rsid w:val="005063EF"/>
    <w:rsid w:val="005078A7"/>
    <w:rsid w:val="005149B2"/>
    <w:rsid w:val="00514CC2"/>
    <w:rsid w:val="00514D79"/>
    <w:rsid w:val="00521703"/>
    <w:rsid w:val="0052244A"/>
    <w:rsid w:val="00531E72"/>
    <w:rsid w:val="005400A1"/>
    <w:rsid w:val="0054660F"/>
    <w:rsid w:val="00551AAB"/>
    <w:rsid w:val="005572EE"/>
    <w:rsid w:val="00565AFA"/>
    <w:rsid w:val="0057174B"/>
    <w:rsid w:val="005806E3"/>
    <w:rsid w:val="00587DC7"/>
    <w:rsid w:val="005A7215"/>
    <w:rsid w:val="005B10CA"/>
    <w:rsid w:val="005D6C95"/>
    <w:rsid w:val="005E2396"/>
    <w:rsid w:val="005E30F6"/>
    <w:rsid w:val="005F2C1B"/>
    <w:rsid w:val="005F4145"/>
    <w:rsid w:val="005F5439"/>
    <w:rsid w:val="005F5E4C"/>
    <w:rsid w:val="00610583"/>
    <w:rsid w:val="0061397C"/>
    <w:rsid w:val="00620670"/>
    <w:rsid w:val="006217A9"/>
    <w:rsid w:val="00637FCA"/>
    <w:rsid w:val="00661F89"/>
    <w:rsid w:val="0066689F"/>
    <w:rsid w:val="00681465"/>
    <w:rsid w:val="006973CE"/>
    <w:rsid w:val="006B2937"/>
    <w:rsid w:val="006B5389"/>
    <w:rsid w:val="006B6EB4"/>
    <w:rsid w:val="006C3239"/>
    <w:rsid w:val="006C4D14"/>
    <w:rsid w:val="006C759C"/>
    <w:rsid w:val="006D6F32"/>
    <w:rsid w:val="006E36EE"/>
    <w:rsid w:val="006E600E"/>
    <w:rsid w:val="006F2842"/>
    <w:rsid w:val="00700F50"/>
    <w:rsid w:val="007165EC"/>
    <w:rsid w:val="00727F82"/>
    <w:rsid w:val="00734B9A"/>
    <w:rsid w:val="00747B25"/>
    <w:rsid w:val="00760B0E"/>
    <w:rsid w:val="00761735"/>
    <w:rsid w:val="007657A1"/>
    <w:rsid w:val="00775D26"/>
    <w:rsid w:val="00780E14"/>
    <w:rsid w:val="00783000"/>
    <w:rsid w:val="00787793"/>
    <w:rsid w:val="007932DC"/>
    <w:rsid w:val="0079376D"/>
    <w:rsid w:val="00793B30"/>
    <w:rsid w:val="00793DA0"/>
    <w:rsid w:val="007A092C"/>
    <w:rsid w:val="007A1FDF"/>
    <w:rsid w:val="007A6A58"/>
    <w:rsid w:val="007B7617"/>
    <w:rsid w:val="007C4709"/>
    <w:rsid w:val="007C55F3"/>
    <w:rsid w:val="007C655A"/>
    <w:rsid w:val="007D3D4F"/>
    <w:rsid w:val="007E78B6"/>
    <w:rsid w:val="007F6C93"/>
    <w:rsid w:val="007F73B3"/>
    <w:rsid w:val="0081293F"/>
    <w:rsid w:val="00820A6B"/>
    <w:rsid w:val="00833ED6"/>
    <w:rsid w:val="00835366"/>
    <w:rsid w:val="00837044"/>
    <w:rsid w:val="0084117E"/>
    <w:rsid w:val="0085650A"/>
    <w:rsid w:val="00857C55"/>
    <w:rsid w:val="00861AE9"/>
    <w:rsid w:val="00864698"/>
    <w:rsid w:val="00867EA5"/>
    <w:rsid w:val="00876083"/>
    <w:rsid w:val="00880B1E"/>
    <w:rsid w:val="00883A23"/>
    <w:rsid w:val="00894A55"/>
    <w:rsid w:val="008A0BC5"/>
    <w:rsid w:val="008B1547"/>
    <w:rsid w:val="008B5BA5"/>
    <w:rsid w:val="008C4E51"/>
    <w:rsid w:val="008C6289"/>
    <w:rsid w:val="008C74DF"/>
    <w:rsid w:val="008C78D1"/>
    <w:rsid w:val="008D31D4"/>
    <w:rsid w:val="008F7E20"/>
    <w:rsid w:val="00903230"/>
    <w:rsid w:val="00904F72"/>
    <w:rsid w:val="009062B2"/>
    <w:rsid w:val="00910E1F"/>
    <w:rsid w:val="00911A54"/>
    <w:rsid w:val="00913E70"/>
    <w:rsid w:val="0092261A"/>
    <w:rsid w:val="0092271A"/>
    <w:rsid w:val="00926961"/>
    <w:rsid w:val="00932EBB"/>
    <w:rsid w:val="00935F3D"/>
    <w:rsid w:val="0094065F"/>
    <w:rsid w:val="00942C17"/>
    <w:rsid w:val="0095365B"/>
    <w:rsid w:val="009831CA"/>
    <w:rsid w:val="009963AE"/>
    <w:rsid w:val="009A12F5"/>
    <w:rsid w:val="009A15B1"/>
    <w:rsid w:val="009A3B9B"/>
    <w:rsid w:val="009A54A7"/>
    <w:rsid w:val="009A6B66"/>
    <w:rsid w:val="009B4C9E"/>
    <w:rsid w:val="009C5926"/>
    <w:rsid w:val="009D0ADD"/>
    <w:rsid w:val="009D2359"/>
    <w:rsid w:val="009D24F5"/>
    <w:rsid w:val="009E0331"/>
    <w:rsid w:val="009E0AFB"/>
    <w:rsid w:val="009E29CD"/>
    <w:rsid w:val="009E3051"/>
    <w:rsid w:val="009E357D"/>
    <w:rsid w:val="009E3844"/>
    <w:rsid w:val="009E3D36"/>
    <w:rsid w:val="009F45E9"/>
    <w:rsid w:val="009F7289"/>
    <w:rsid w:val="00A0509C"/>
    <w:rsid w:val="00A15EA9"/>
    <w:rsid w:val="00A225D8"/>
    <w:rsid w:val="00A246D1"/>
    <w:rsid w:val="00A36DFD"/>
    <w:rsid w:val="00A37EAC"/>
    <w:rsid w:val="00A47C42"/>
    <w:rsid w:val="00A53FE0"/>
    <w:rsid w:val="00A54AC1"/>
    <w:rsid w:val="00A54F55"/>
    <w:rsid w:val="00A60E03"/>
    <w:rsid w:val="00A61077"/>
    <w:rsid w:val="00A72E0D"/>
    <w:rsid w:val="00A8299E"/>
    <w:rsid w:val="00A90D28"/>
    <w:rsid w:val="00A91D88"/>
    <w:rsid w:val="00AA0E05"/>
    <w:rsid w:val="00AA2B44"/>
    <w:rsid w:val="00AA4C7A"/>
    <w:rsid w:val="00AB72A3"/>
    <w:rsid w:val="00AD7D1C"/>
    <w:rsid w:val="00B01312"/>
    <w:rsid w:val="00B04C01"/>
    <w:rsid w:val="00B05A0F"/>
    <w:rsid w:val="00B068A5"/>
    <w:rsid w:val="00B10199"/>
    <w:rsid w:val="00B22405"/>
    <w:rsid w:val="00B33DF2"/>
    <w:rsid w:val="00B36787"/>
    <w:rsid w:val="00B57BC7"/>
    <w:rsid w:val="00B61312"/>
    <w:rsid w:val="00B61F14"/>
    <w:rsid w:val="00B6565E"/>
    <w:rsid w:val="00B76126"/>
    <w:rsid w:val="00B831AA"/>
    <w:rsid w:val="00BA6343"/>
    <w:rsid w:val="00BA6571"/>
    <w:rsid w:val="00BB31FE"/>
    <w:rsid w:val="00BB59C9"/>
    <w:rsid w:val="00BC2195"/>
    <w:rsid w:val="00BC3CA0"/>
    <w:rsid w:val="00BC6290"/>
    <w:rsid w:val="00BD0BFC"/>
    <w:rsid w:val="00BD37EB"/>
    <w:rsid w:val="00BD58F9"/>
    <w:rsid w:val="00BD7935"/>
    <w:rsid w:val="00BE0ADF"/>
    <w:rsid w:val="00BE4106"/>
    <w:rsid w:val="00BF50CD"/>
    <w:rsid w:val="00BF67AD"/>
    <w:rsid w:val="00BF6C2B"/>
    <w:rsid w:val="00C02CF3"/>
    <w:rsid w:val="00C113F6"/>
    <w:rsid w:val="00C12DAE"/>
    <w:rsid w:val="00C269BA"/>
    <w:rsid w:val="00C364D2"/>
    <w:rsid w:val="00C37947"/>
    <w:rsid w:val="00C466E1"/>
    <w:rsid w:val="00C46A1D"/>
    <w:rsid w:val="00C66B68"/>
    <w:rsid w:val="00C75AE9"/>
    <w:rsid w:val="00C76C2E"/>
    <w:rsid w:val="00C840B1"/>
    <w:rsid w:val="00C8418A"/>
    <w:rsid w:val="00C844D5"/>
    <w:rsid w:val="00C866B8"/>
    <w:rsid w:val="00C92343"/>
    <w:rsid w:val="00C974E5"/>
    <w:rsid w:val="00CA4C0E"/>
    <w:rsid w:val="00CA7154"/>
    <w:rsid w:val="00CB7265"/>
    <w:rsid w:val="00CC2583"/>
    <w:rsid w:val="00CC3C7A"/>
    <w:rsid w:val="00CD2B62"/>
    <w:rsid w:val="00CD3A0D"/>
    <w:rsid w:val="00CD7364"/>
    <w:rsid w:val="00CE697E"/>
    <w:rsid w:val="00CE7CAB"/>
    <w:rsid w:val="00D00765"/>
    <w:rsid w:val="00D0236B"/>
    <w:rsid w:val="00D042D9"/>
    <w:rsid w:val="00D11448"/>
    <w:rsid w:val="00D200DA"/>
    <w:rsid w:val="00D23CB9"/>
    <w:rsid w:val="00D23EFE"/>
    <w:rsid w:val="00D24C98"/>
    <w:rsid w:val="00D31F7E"/>
    <w:rsid w:val="00D42639"/>
    <w:rsid w:val="00D45329"/>
    <w:rsid w:val="00D50FFC"/>
    <w:rsid w:val="00D51E84"/>
    <w:rsid w:val="00D52B88"/>
    <w:rsid w:val="00D55286"/>
    <w:rsid w:val="00D606CB"/>
    <w:rsid w:val="00D62475"/>
    <w:rsid w:val="00D771CB"/>
    <w:rsid w:val="00D8161D"/>
    <w:rsid w:val="00D8554D"/>
    <w:rsid w:val="00D8585E"/>
    <w:rsid w:val="00D86985"/>
    <w:rsid w:val="00D90E97"/>
    <w:rsid w:val="00D91DE8"/>
    <w:rsid w:val="00D923EE"/>
    <w:rsid w:val="00DA0A3C"/>
    <w:rsid w:val="00DA2DA2"/>
    <w:rsid w:val="00DA4628"/>
    <w:rsid w:val="00DB10F3"/>
    <w:rsid w:val="00DB1D48"/>
    <w:rsid w:val="00DC0EA2"/>
    <w:rsid w:val="00DC6EC7"/>
    <w:rsid w:val="00DD1A84"/>
    <w:rsid w:val="00DD6768"/>
    <w:rsid w:val="00DD749A"/>
    <w:rsid w:val="00DE4AAC"/>
    <w:rsid w:val="00DE4C15"/>
    <w:rsid w:val="00DE4E5F"/>
    <w:rsid w:val="00DF3647"/>
    <w:rsid w:val="00E03E9E"/>
    <w:rsid w:val="00E204D0"/>
    <w:rsid w:val="00E234E1"/>
    <w:rsid w:val="00E25AB0"/>
    <w:rsid w:val="00E301B9"/>
    <w:rsid w:val="00E41F24"/>
    <w:rsid w:val="00E41F66"/>
    <w:rsid w:val="00E506D2"/>
    <w:rsid w:val="00E62172"/>
    <w:rsid w:val="00E634DC"/>
    <w:rsid w:val="00E6599F"/>
    <w:rsid w:val="00E66C35"/>
    <w:rsid w:val="00E82782"/>
    <w:rsid w:val="00ED2007"/>
    <w:rsid w:val="00ED64A6"/>
    <w:rsid w:val="00ED6F0B"/>
    <w:rsid w:val="00ED7BB6"/>
    <w:rsid w:val="00EE003E"/>
    <w:rsid w:val="00EE21F0"/>
    <w:rsid w:val="00EF3F78"/>
    <w:rsid w:val="00EF62ED"/>
    <w:rsid w:val="00F044A2"/>
    <w:rsid w:val="00F10EE9"/>
    <w:rsid w:val="00F11F90"/>
    <w:rsid w:val="00F2248F"/>
    <w:rsid w:val="00F22517"/>
    <w:rsid w:val="00F23BB9"/>
    <w:rsid w:val="00F35005"/>
    <w:rsid w:val="00F476D8"/>
    <w:rsid w:val="00F50DA2"/>
    <w:rsid w:val="00F54406"/>
    <w:rsid w:val="00F6028D"/>
    <w:rsid w:val="00F63C88"/>
    <w:rsid w:val="00F6573B"/>
    <w:rsid w:val="00F75484"/>
    <w:rsid w:val="00F90FF0"/>
    <w:rsid w:val="00F9269E"/>
    <w:rsid w:val="00F92DE0"/>
    <w:rsid w:val="00FA1CE9"/>
    <w:rsid w:val="00FA5CAD"/>
    <w:rsid w:val="00FC3B54"/>
    <w:rsid w:val="00FC534A"/>
    <w:rsid w:val="00FD0E06"/>
    <w:rsid w:val="00FD271F"/>
    <w:rsid w:val="00FD4617"/>
    <w:rsid w:val="00FE3E06"/>
    <w:rsid w:val="00FF06E8"/>
    <w:rsid w:val="00FF6007"/>
    <w:rsid w:val="00FF6F09"/>
    <w:rsid w:val="05ED5D5B"/>
    <w:rsid w:val="09D62DCB"/>
    <w:rsid w:val="5AF52771"/>
    <w:rsid w:val="627C4C22"/>
    <w:rsid w:val="6B68426A"/>
    <w:rsid w:val="6FAB2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E760D1"/>
  <w14:defaultImageDpi w14:val="32767"/>
  <w15:docId w15:val="{9BC1D668-5888-4863-925C-659CCAB8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a6"/>
    <w:uiPriority w:val="99"/>
    <w:unhideWhenUsed/>
    <w:qFormat/>
    <w:pPr>
      <w:tabs>
        <w:tab w:val="center" w:pos="4153"/>
        <w:tab w:val="right" w:pos="8306"/>
      </w:tabs>
      <w:snapToGrid w:val="0"/>
      <w:spacing w:line="240" w:lineRule="auto"/>
      <w:jc w:val="center"/>
    </w:pPr>
    <w:rPr>
      <w:sz w:val="18"/>
      <w:szCs w:val="18"/>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Normal (Web)"/>
    <w:basedOn w:val="a"/>
    <w:uiPriority w:val="99"/>
    <w:unhideWhenUsed/>
    <w:qFormat/>
    <w:pPr>
      <w:widowControl/>
      <w:spacing w:before="100" w:beforeAutospacing="1" w:after="100" w:afterAutospacing="1" w:line="240" w:lineRule="auto"/>
    </w:pPr>
    <w:rPr>
      <w:rFonts w:ascii="宋体" w:eastAsia="宋体" w:hAnsi="宋体" w:cs="宋体"/>
      <w:kern w:val="0"/>
      <w:sz w:val="24"/>
      <w14:ligatures w14:val="none"/>
    </w:rPr>
  </w:style>
  <w:style w:type="paragraph" w:styleId="aa">
    <w:name w:val="Title"/>
    <w:basedOn w:val="a"/>
    <w:next w:val="a"/>
    <w:link w:val="ab"/>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ac">
    <w:name w:val="Table Grid"/>
    <w:basedOn w:val="a1"/>
    <w:uiPriority w:val="59"/>
    <w:qFormat/>
    <w:rPr>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qFormat/>
    <w:rPr>
      <w:color w:val="467886"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uiPriority w:val="29"/>
    <w:qFormat/>
    <w:pPr>
      <w:spacing w:before="160"/>
      <w:jc w:val="center"/>
    </w:pPr>
    <w:rPr>
      <w:i/>
      <w:iCs/>
      <w:color w:val="404040" w:themeColor="text1" w:themeTint="BF"/>
    </w:rPr>
  </w:style>
  <w:style w:type="character" w:customStyle="1" w:styleId="af">
    <w:name w:val="引用 字符"/>
    <w:basedOn w:val="a0"/>
    <w:link w:val="ae"/>
    <w:uiPriority w:val="29"/>
    <w:qFormat/>
    <w:rPr>
      <w:i/>
      <w:iCs/>
      <w:color w:val="404040" w:themeColor="text1" w:themeTint="BF"/>
    </w:rPr>
  </w:style>
  <w:style w:type="paragraph" w:styleId="af0">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1">
    <w:name w:val="Intense Quote"/>
    <w:basedOn w:val="a"/>
    <w:next w:val="a"/>
    <w:link w:val="af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0"/>
    <w:link w:val="af1"/>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13">
    <w:name w:val="书目1"/>
    <w:basedOn w:val="a"/>
    <w:next w:val="a"/>
    <w:uiPriority w:val="37"/>
    <w:unhideWhenUsed/>
    <w:qFormat/>
    <w:pPr>
      <w:tabs>
        <w:tab w:val="left" w:pos="504"/>
      </w:tabs>
      <w:spacing w:after="0" w:line="240" w:lineRule="auto"/>
      <w:ind w:left="504" w:hanging="504"/>
    </w:pPr>
  </w:style>
  <w:style w:type="character" w:customStyle="1" w:styleId="14">
    <w:name w:val="未处理的提及1"/>
    <w:basedOn w:val="a0"/>
    <w:uiPriority w:val="99"/>
    <w:semiHidden/>
    <w:unhideWhenUsed/>
    <w:qFormat/>
    <w:rPr>
      <w:color w:val="605E5C"/>
      <w:shd w:val="clear" w:color="auto" w:fill="E1DFDD"/>
    </w:rPr>
  </w:style>
  <w:style w:type="paragraph" w:customStyle="1" w:styleId="TableCaption">
    <w:name w:val="Table Caption"/>
    <w:basedOn w:val="a"/>
    <w:qFormat/>
    <w:pPr>
      <w:widowControl/>
      <w:spacing w:after="0" w:line="240" w:lineRule="auto"/>
      <w:jc w:val="center"/>
    </w:pPr>
    <w:rPr>
      <w:b/>
      <w:i/>
      <w:kern w:val="0"/>
      <w:sz w:val="24"/>
      <w:lang w:eastAsia="en-US"/>
      <w14:ligatures w14:val="none"/>
    </w:rPr>
  </w:style>
  <w:style w:type="paragraph" w:customStyle="1" w:styleId="21">
    <w:name w:val="书目2"/>
    <w:basedOn w:val="a"/>
    <w:next w:val="a"/>
    <w:uiPriority w:val="37"/>
    <w:unhideWhenUsed/>
    <w:qFormat/>
    <w:pPr>
      <w:tabs>
        <w:tab w:val="left" w:pos="504"/>
      </w:tabs>
      <w:spacing w:after="0" w:line="240" w:lineRule="auto"/>
      <w:ind w:left="504" w:hanging="504"/>
    </w:pPr>
  </w:style>
  <w:style w:type="paragraph" w:customStyle="1" w:styleId="31">
    <w:name w:val="书目3"/>
    <w:basedOn w:val="a"/>
    <w:next w:val="a"/>
    <w:uiPriority w:val="37"/>
    <w:unhideWhenUsed/>
    <w:qFormat/>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51621-CAE7-472D-BEBC-C1D5A6851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18</Pages>
  <Words>6800</Words>
  <Characters>16663</Characters>
  <Application>Microsoft Office Word</Application>
  <DocSecurity>0</DocSecurity>
  <Lines>757</Lines>
  <Paragraphs>634</Paragraphs>
  <ScaleCrop>false</ScaleCrop>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 H</dc:creator>
  <cp:lastModifiedBy>yy H</cp:lastModifiedBy>
  <cp:revision>61</cp:revision>
  <dcterms:created xsi:type="dcterms:W3CDTF">2026-01-07T16:04:00Z</dcterms:created>
  <dcterms:modified xsi:type="dcterms:W3CDTF">2026-03-12T14:15:00Z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id="O1D1jWxO"/&gt;&lt;style id="https://www.zotero-chinese.com/styles/GB-T-7714—2015（顺序编码，双语，姓名不大写，无URL、DOI）" hasBibliography="1" bibliographyStyleHasBeenSet="1"/&gt;&lt;prefs&gt;&lt;pref name="fieldType" value="Field</vt:lpwstr>
  </property>
  <property fmtid="{D5CDD505-2E9C-101B-9397-08002B2CF9AE}" pid="3" name="KSOProductBuildVer">
    <vt:lpwstr>2052-12.1.0.22529</vt:lpwstr>
  </property>
  <property fmtid="{D5CDD505-2E9C-101B-9397-08002B2CF9AE}" pid="4" name="ICV">
    <vt:lpwstr>74FCB301A8E54B3C88E18442241D4C3A_13</vt:lpwstr>
  </property>
  <property fmtid="{D5CDD505-2E9C-101B-9397-08002B2CF9AE}" pid="5" name="KSOTemplateDocerSaveRecord">
    <vt:lpwstr>eyJoZGlkIjoiMWU1YjBjMzUyNDg4OTczZjkxN2E5YmU5NjJlMTgxOTkiLCJ1c2VySWQiOiIxNzU2MTM1MjkwIn0=</vt:lpwstr>
  </property>
  <property fmtid="{D5CDD505-2E9C-101B-9397-08002B2CF9AE}" pid="6" name="ZOTERO_PREF_2">
    <vt:lpwstr>"/&gt;&lt;/prefs&gt;&lt;/data&gt;</vt:lpwstr>
  </property>
</Properties>
</file>