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C1204A">
      <w:pPr>
        <w:numPr>
          <w:ilvl w:val="0"/>
          <w:numId w:val="0"/>
        </w:numPr>
        <w:rPr>
          <w:rFonts w:hint="default" w:ascii="Times New Roman" w:hAnsi="Times New Roman" w:eastAsia="宋体" w:cs="宋体"/>
          <w:b w:val="0"/>
          <w:bCs/>
          <w:sz w:val="21"/>
          <w:szCs w:val="21"/>
          <w:lang w:val="en-US" w:eastAsia="zh-CN"/>
        </w:rPr>
      </w:pPr>
      <w:r>
        <w:rPr>
          <w:rFonts w:hint="eastAsia" w:ascii="Times New Roman" w:hAnsi="Times New Roman" w:eastAsia="宋体" w:cs="宋体"/>
          <w:b w:val="0"/>
          <w:bCs/>
          <w:color w:val="000000" w:themeColor="text1"/>
          <w:kern w:val="2"/>
          <w:sz w:val="21"/>
          <w:szCs w:val="21"/>
          <w:lang w:val="en-US" w:eastAsia="zh-CN" w:bidi="ar-SA"/>
          <w14:textFill>
            <w14:solidFill>
              <w14:schemeClr w14:val="tx1"/>
            </w14:solidFill>
          </w14:textFill>
        </w:rPr>
        <w:t>一、</w:t>
      </w:r>
      <w:r>
        <w:rPr>
          <w:rFonts w:hint="eastAsia" w:ascii="Times New Roman" w:hAnsi="Times New Roman" w:eastAsia="宋体" w:cs="宋体"/>
          <w:b w:val="0"/>
          <w:bCs/>
          <w:sz w:val="21"/>
          <w:szCs w:val="21"/>
        </w:rPr>
        <w:t>文题</w:t>
      </w:r>
    </w:p>
    <w:p w14:paraId="3AB06F37">
      <w:pPr>
        <w:widowControl w:val="0"/>
        <w:numPr>
          <w:ilvl w:val="0"/>
          <w:numId w:val="0"/>
        </w:numPr>
        <w:jc w:val="both"/>
        <w:rPr>
          <w:rFonts w:hint="default" w:ascii="Times New Roman" w:hAnsi="Times New Roman" w:eastAsia="宋体" w:cs="宋体"/>
          <w:b w:val="0"/>
          <w:bCs/>
          <w:sz w:val="21"/>
          <w:szCs w:val="21"/>
          <w:lang w:val="en-US" w:eastAsia="zh-CN"/>
        </w:rPr>
      </w:pPr>
      <w:r>
        <w:rPr>
          <w:rFonts w:hint="default" w:ascii="Times New Roman" w:hAnsi="Times New Roman" w:eastAsia="宋体" w:cs="宋体"/>
          <w:b w:val="0"/>
          <w:bCs/>
          <w:sz w:val="21"/>
          <w:szCs w:val="21"/>
          <w:lang w:val="en-US" w:eastAsia="zh-CN"/>
        </w:rPr>
        <w:t>局部晚期食管癌新辅助免疫联合化疗的研究进展与关键临床问题</w:t>
      </w:r>
    </w:p>
    <w:p w14:paraId="4F393605">
      <w:pPr>
        <w:widowControl w:val="0"/>
        <w:numPr>
          <w:ilvl w:val="0"/>
          <w:numId w:val="0"/>
        </w:numPr>
        <w:jc w:val="both"/>
        <w:rPr>
          <w:rFonts w:hint="default" w:ascii="Times New Roman" w:hAnsi="Times New Roman" w:eastAsia="宋体" w:cs="宋体"/>
          <w:b w:val="0"/>
          <w:bCs/>
          <w:sz w:val="21"/>
          <w:szCs w:val="21"/>
          <w:lang w:val="en-US" w:eastAsia="zh-CN"/>
        </w:rPr>
      </w:pPr>
      <w:r>
        <w:rPr>
          <w:rFonts w:hint="default" w:ascii="Times New Roman" w:hAnsi="Times New Roman" w:eastAsia="宋体" w:cs="宋体"/>
          <w:b w:val="0"/>
          <w:bCs/>
          <w:sz w:val="21"/>
          <w:szCs w:val="21"/>
          <w:lang w:val="en-US" w:eastAsia="zh-CN"/>
        </w:rPr>
        <w:t>Advances and Key Clinical Issues in Neoadjuvant Immunotherapy Combined with Chemotherapy for Locally Advanced Esophageal Cancer</w:t>
      </w:r>
    </w:p>
    <w:p w14:paraId="4D800DA2">
      <w:pPr>
        <w:widowControl w:val="0"/>
        <w:numPr>
          <w:ilvl w:val="0"/>
          <w:numId w:val="0"/>
        </w:numPr>
        <w:jc w:val="both"/>
        <w:rPr>
          <w:rFonts w:hint="default" w:ascii="Times New Roman" w:hAnsi="Times New Roman" w:eastAsia="宋体" w:cs="宋体"/>
          <w:b w:val="0"/>
          <w:bCs/>
          <w:sz w:val="21"/>
          <w:szCs w:val="21"/>
          <w:lang w:val="en-US" w:eastAsia="zh-CN"/>
        </w:rPr>
      </w:pPr>
    </w:p>
    <w:p w14:paraId="2F7FD485">
      <w:pPr>
        <w:widowControl w:val="0"/>
        <w:numPr>
          <w:ilvl w:val="0"/>
          <w:numId w:val="1"/>
        </w:numPr>
        <w:jc w:val="both"/>
        <w:rPr>
          <w:rFonts w:hint="default" w:ascii="Times New Roman" w:hAnsi="Times New Roman" w:eastAsia="宋体" w:cs="宋体"/>
          <w:b w:val="0"/>
          <w:bCs/>
          <w:sz w:val="21"/>
          <w:szCs w:val="21"/>
          <w:lang w:val="en-US" w:eastAsia="zh-CN"/>
        </w:rPr>
      </w:pPr>
      <w:r>
        <w:rPr>
          <w:rFonts w:hint="default" w:ascii="Times New Roman" w:hAnsi="Times New Roman" w:eastAsia="宋体" w:cs="宋体"/>
          <w:b w:val="0"/>
          <w:bCs/>
          <w:sz w:val="21"/>
          <w:szCs w:val="21"/>
          <w:lang w:val="en-US" w:eastAsia="zh-CN"/>
        </w:rPr>
        <w:t>作者及单位信息</w:t>
      </w:r>
    </w:p>
    <w:p w14:paraId="5C9A5655">
      <w:pPr>
        <w:widowControl w:val="0"/>
        <w:numPr>
          <w:ilvl w:val="0"/>
          <w:numId w:val="0"/>
        </w:numPr>
        <w:jc w:val="both"/>
        <w:rPr>
          <w:rFonts w:hint="default" w:ascii="Times New Roman" w:hAnsi="Times New Roman" w:eastAsia="宋体" w:cs="宋体"/>
          <w:b w:val="0"/>
          <w:bCs/>
          <w:sz w:val="21"/>
          <w:szCs w:val="21"/>
          <w:lang w:val="en-US" w:eastAsia="zh-CN"/>
        </w:rPr>
      </w:pPr>
      <w:r>
        <w:rPr>
          <w:rFonts w:hint="default" w:ascii="Times New Roman" w:hAnsi="Times New Roman" w:eastAsia="宋体" w:cs="宋体"/>
          <w:b w:val="0"/>
          <w:bCs/>
          <w:sz w:val="21"/>
          <w:szCs w:val="21"/>
          <w:lang w:val="en-US" w:eastAsia="zh-CN"/>
        </w:rPr>
        <w:t>依尔班江·艾赛提¹，曲颜丽</w:t>
      </w:r>
      <w:r>
        <w:rPr>
          <w:rFonts w:hint="default" w:ascii="Times New Roman" w:hAnsi="Times New Roman" w:eastAsia="宋体" w:cs="宋体"/>
          <w:b w:val="0"/>
          <w:bCs/>
          <w:sz w:val="21"/>
          <w:szCs w:val="21"/>
          <w:vertAlign w:val="superscript"/>
          <w:lang w:val="en-US" w:eastAsia="zh-CN"/>
        </w:rPr>
        <w:t>2</w:t>
      </w:r>
      <w:r>
        <w:rPr>
          <w:rFonts w:hint="default" w:ascii="Times New Roman" w:hAnsi="Times New Roman" w:eastAsia="宋体" w:cs="宋体"/>
          <w:b w:val="0"/>
          <w:bCs/>
          <w:sz w:val="21"/>
          <w:szCs w:val="21"/>
          <w:lang w:val="en-US" w:eastAsia="zh-CN"/>
        </w:rPr>
        <w:t>*</w:t>
      </w:r>
    </w:p>
    <w:p w14:paraId="5AE81A71">
      <w:pPr>
        <w:widowControl w:val="0"/>
        <w:numPr>
          <w:ilvl w:val="0"/>
          <w:numId w:val="0"/>
        </w:numPr>
        <w:jc w:val="both"/>
        <w:rPr>
          <w:rFonts w:hint="default" w:ascii="Times New Roman" w:hAnsi="Times New Roman" w:eastAsia="宋体" w:cs="宋体"/>
          <w:b w:val="0"/>
          <w:bCs/>
          <w:sz w:val="21"/>
          <w:szCs w:val="21"/>
          <w:lang w:val="en-US" w:eastAsia="zh-CN"/>
        </w:rPr>
      </w:pPr>
      <w:r>
        <w:rPr>
          <w:rFonts w:hint="default" w:ascii="Times New Roman" w:hAnsi="Times New Roman" w:eastAsia="宋体" w:cs="宋体"/>
          <w:b w:val="0"/>
          <w:bCs/>
          <w:sz w:val="21"/>
          <w:szCs w:val="21"/>
          <w:lang w:val="en-US" w:eastAsia="zh-CN"/>
        </w:rPr>
        <w:t>Yierbanjiang</w:t>
      </w:r>
      <w:r>
        <w:rPr>
          <w:rFonts w:hint="eastAsia" w:ascii="Times New Roman" w:hAnsi="Times New Roman" w:eastAsia="宋体" w:cs="宋体"/>
          <w:b w:val="0"/>
          <w:bCs/>
          <w:sz w:val="21"/>
          <w:szCs w:val="21"/>
          <w:lang w:val="en-US" w:eastAsia="zh-CN"/>
        </w:rPr>
        <w:t xml:space="preserve"> AISAITI</w:t>
      </w:r>
      <w:r>
        <w:rPr>
          <w:rFonts w:hint="default" w:ascii="Times New Roman" w:hAnsi="Times New Roman" w:eastAsia="宋体" w:cs="宋体"/>
          <w:b w:val="0"/>
          <w:bCs/>
          <w:sz w:val="21"/>
          <w:szCs w:val="21"/>
          <w:lang w:val="en-US" w:eastAsia="zh-CN"/>
        </w:rPr>
        <w:t>¹, QU Yanl</w:t>
      </w:r>
      <w:r>
        <w:rPr>
          <w:rFonts w:hint="eastAsia" w:ascii="Times New Roman" w:hAnsi="Times New Roman" w:eastAsia="宋体" w:cs="宋体"/>
          <w:b w:val="0"/>
          <w:bCs/>
          <w:sz w:val="21"/>
          <w:szCs w:val="21"/>
          <w:lang w:val="en-US" w:eastAsia="zh-CN"/>
        </w:rPr>
        <w:t>i</w:t>
      </w:r>
      <w:r>
        <w:rPr>
          <w:rFonts w:hint="eastAsia" w:ascii="Times New Roman" w:hAnsi="Times New Roman" w:eastAsia="宋体" w:cs="宋体"/>
          <w:b w:val="0"/>
          <w:bCs/>
          <w:sz w:val="21"/>
          <w:szCs w:val="21"/>
          <w:vertAlign w:val="superscript"/>
          <w:lang w:val="en-US" w:eastAsia="zh-CN"/>
        </w:rPr>
        <w:t>2</w:t>
      </w:r>
      <w:r>
        <w:rPr>
          <w:rFonts w:hint="default" w:ascii="Times New Roman" w:hAnsi="Times New Roman" w:eastAsia="宋体" w:cs="宋体"/>
          <w:b w:val="0"/>
          <w:bCs/>
          <w:sz w:val="21"/>
          <w:szCs w:val="21"/>
          <w:lang w:val="en-US" w:eastAsia="zh-CN"/>
        </w:rPr>
        <w:t>*</w:t>
      </w:r>
    </w:p>
    <w:p w14:paraId="03D4A79E">
      <w:pPr>
        <w:widowControl w:val="0"/>
        <w:numPr>
          <w:ilvl w:val="0"/>
          <w:numId w:val="0"/>
        </w:numPr>
        <w:jc w:val="both"/>
        <w:rPr>
          <w:rFonts w:hint="default" w:ascii="Times New Roman" w:hAnsi="Times New Roman" w:eastAsia="宋体" w:cs="宋体"/>
          <w:b w:val="0"/>
          <w:bCs/>
          <w:sz w:val="21"/>
          <w:szCs w:val="21"/>
          <w:lang w:val="en-US" w:eastAsia="zh-CN"/>
        </w:rPr>
      </w:pPr>
      <w:r>
        <w:rPr>
          <w:rFonts w:hint="default" w:ascii="Times New Roman" w:hAnsi="Times New Roman" w:eastAsia="宋体" w:cs="宋体"/>
          <w:b w:val="0"/>
          <w:bCs/>
          <w:sz w:val="21"/>
          <w:szCs w:val="21"/>
          <w:lang w:val="en-US" w:eastAsia="zh-CN"/>
        </w:rPr>
        <w:t>¹新疆医科大学第三临床医学院（附属肿瘤医院）</w:t>
      </w:r>
      <w:r>
        <w:rPr>
          <w:rFonts w:hint="eastAsia" w:ascii="Times New Roman" w:hAnsi="Times New Roman" w:eastAsia="宋体" w:cs="宋体"/>
          <w:b w:val="0"/>
          <w:bCs/>
          <w:sz w:val="21"/>
          <w:szCs w:val="21"/>
          <w:lang w:val="en-US" w:eastAsia="zh-CN"/>
        </w:rPr>
        <w:t>，</w:t>
      </w:r>
      <w:r>
        <w:rPr>
          <w:rFonts w:hint="default" w:ascii="Times New Roman" w:hAnsi="Times New Roman" w:eastAsia="宋体" w:cs="宋体"/>
          <w:b w:val="0"/>
          <w:bCs/>
          <w:sz w:val="21"/>
          <w:szCs w:val="21"/>
          <w:lang w:val="en-US" w:eastAsia="zh-CN"/>
        </w:rPr>
        <w:t>消化内科，新疆 乌鲁木齐 830000，中国</w:t>
      </w:r>
    </w:p>
    <w:p w14:paraId="7BF890FB">
      <w:pPr>
        <w:widowControl w:val="0"/>
        <w:numPr>
          <w:ilvl w:val="0"/>
          <w:numId w:val="0"/>
        </w:numPr>
        <w:jc w:val="both"/>
        <w:rPr>
          <w:rFonts w:hint="eastAsia" w:ascii="Times New Roman" w:hAnsi="Times New Roman" w:eastAsia="宋体" w:cs="宋体"/>
          <w:b w:val="0"/>
          <w:bCs/>
          <w:sz w:val="21"/>
          <w:szCs w:val="21"/>
          <w:lang w:val="en-US" w:eastAsia="zh-CN"/>
        </w:rPr>
      </w:pPr>
      <w:r>
        <w:rPr>
          <w:rFonts w:hint="eastAsia" w:ascii="Times New Roman" w:hAnsi="Times New Roman" w:eastAsia="宋体" w:cs="宋体"/>
          <w:b w:val="0"/>
          <w:bCs/>
          <w:sz w:val="21"/>
          <w:szCs w:val="21"/>
          <w:vertAlign w:val="superscript"/>
          <w:lang w:val="en-US" w:eastAsia="zh-CN"/>
        </w:rPr>
        <w:t>2</w:t>
      </w:r>
      <w:r>
        <w:rPr>
          <w:rFonts w:hint="eastAsia" w:ascii="Times New Roman" w:hAnsi="Times New Roman" w:eastAsia="宋体" w:cs="宋体"/>
          <w:b w:val="0"/>
          <w:bCs/>
          <w:sz w:val="21"/>
          <w:szCs w:val="21"/>
          <w:lang w:val="en-US" w:eastAsia="zh-CN"/>
        </w:rPr>
        <w:t>新疆医科大学附属肿瘤医院，消化内科，新疆 乌鲁木齐 830000，中国</w:t>
      </w:r>
    </w:p>
    <w:p w14:paraId="70F67DB9">
      <w:pPr>
        <w:widowControl w:val="0"/>
        <w:numPr>
          <w:ilvl w:val="0"/>
          <w:numId w:val="0"/>
        </w:numPr>
        <w:jc w:val="both"/>
        <w:rPr>
          <w:rFonts w:hint="default" w:ascii="Times New Roman" w:hAnsi="Times New Roman" w:eastAsia="宋体" w:cs="宋体"/>
          <w:b w:val="0"/>
          <w:bCs/>
          <w:sz w:val="21"/>
          <w:szCs w:val="21"/>
          <w:lang w:val="en-US" w:eastAsia="zh-CN"/>
        </w:rPr>
      </w:pPr>
      <w:r>
        <w:rPr>
          <w:rFonts w:hint="eastAsia" w:ascii="Times New Roman" w:hAnsi="Times New Roman" w:eastAsia="宋体" w:cs="宋体"/>
          <w:b w:val="0"/>
          <w:bCs/>
          <w:sz w:val="21"/>
          <w:szCs w:val="21"/>
          <w:vertAlign w:val="superscript"/>
          <w:lang w:val="en-US" w:eastAsia="zh-CN"/>
        </w:rPr>
        <w:t xml:space="preserve">1 </w:t>
      </w:r>
      <w:r>
        <w:rPr>
          <w:rFonts w:hint="default" w:ascii="Times New Roman" w:hAnsi="Times New Roman" w:eastAsia="宋体" w:cs="宋体"/>
          <w:b w:val="0"/>
          <w:bCs/>
          <w:sz w:val="21"/>
          <w:szCs w:val="21"/>
          <w:lang w:val="en-US" w:eastAsia="zh-CN"/>
        </w:rPr>
        <w:t>Department of Digestive Tumor,</w:t>
      </w:r>
      <w:r>
        <w:rPr>
          <w:rFonts w:hint="eastAsia" w:ascii="Times New Roman" w:hAnsi="Times New Roman" w:eastAsia="宋体" w:cs="宋体"/>
          <w:b w:val="0"/>
          <w:bCs/>
          <w:sz w:val="21"/>
          <w:szCs w:val="21"/>
          <w:lang w:val="en-US" w:eastAsia="zh-CN"/>
        </w:rPr>
        <w:t xml:space="preserve"> The 3rd Affiliated Teaching Hospital of Xinjiang Medical University (Affiliated Cancer Hospital), Urumqi 830000, Xinjiang, China</w:t>
      </w:r>
    </w:p>
    <w:p w14:paraId="10B1C68F">
      <w:pPr>
        <w:widowControl w:val="0"/>
        <w:numPr>
          <w:ilvl w:val="0"/>
          <w:numId w:val="0"/>
        </w:numPr>
        <w:jc w:val="both"/>
        <w:rPr>
          <w:rFonts w:hint="default" w:ascii="Times New Roman" w:hAnsi="Times New Roman" w:eastAsia="宋体" w:cs="宋体"/>
          <w:b w:val="0"/>
          <w:bCs/>
          <w:sz w:val="21"/>
          <w:szCs w:val="21"/>
          <w:lang w:val="en-US" w:eastAsia="zh-CN"/>
        </w:rPr>
      </w:pPr>
      <w:r>
        <w:rPr>
          <w:rFonts w:hint="eastAsia" w:ascii="Times New Roman" w:hAnsi="Times New Roman" w:eastAsia="宋体" w:cs="宋体"/>
          <w:b w:val="0"/>
          <w:bCs/>
          <w:sz w:val="21"/>
          <w:szCs w:val="21"/>
          <w:vertAlign w:val="superscript"/>
          <w:lang w:val="en-US" w:eastAsia="zh-CN"/>
        </w:rPr>
        <w:t xml:space="preserve">2 </w:t>
      </w:r>
      <w:r>
        <w:rPr>
          <w:rFonts w:hint="default" w:ascii="Times New Roman" w:hAnsi="Times New Roman" w:eastAsia="宋体" w:cs="宋体"/>
          <w:b w:val="0"/>
          <w:bCs/>
          <w:sz w:val="21"/>
          <w:szCs w:val="21"/>
          <w:lang w:val="en-US" w:eastAsia="zh-CN"/>
        </w:rPr>
        <w:t xml:space="preserve">Department of Digestive Tumor, The Affiliated </w:t>
      </w:r>
      <w:r>
        <w:rPr>
          <w:rFonts w:hint="eastAsia" w:ascii="Times New Roman" w:hAnsi="Times New Roman" w:eastAsia="宋体" w:cs="宋体"/>
          <w:b w:val="0"/>
          <w:bCs/>
          <w:sz w:val="21"/>
          <w:szCs w:val="21"/>
          <w:lang w:val="en-US" w:eastAsia="zh-CN"/>
        </w:rPr>
        <w:t>Cancer</w:t>
      </w:r>
      <w:r>
        <w:rPr>
          <w:rFonts w:hint="default" w:ascii="Times New Roman" w:hAnsi="Times New Roman" w:eastAsia="宋体" w:cs="宋体"/>
          <w:b w:val="0"/>
          <w:bCs/>
          <w:sz w:val="21"/>
          <w:szCs w:val="21"/>
          <w:lang w:val="en-US" w:eastAsia="zh-CN"/>
        </w:rPr>
        <w:t xml:space="preserve"> Hospital of Xinjiang Medical University, Urumqi 830000, Xinjiang, China</w:t>
      </w:r>
    </w:p>
    <w:p w14:paraId="7D2E2718">
      <w:pPr>
        <w:widowControl w:val="0"/>
        <w:numPr>
          <w:ilvl w:val="0"/>
          <w:numId w:val="0"/>
        </w:numPr>
        <w:jc w:val="both"/>
        <w:rPr>
          <w:rFonts w:hint="default" w:ascii="Times New Roman" w:hAnsi="Times New Roman" w:eastAsia="宋体" w:cs="宋体"/>
          <w:b w:val="0"/>
          <w:bCs/>
          <w:sz w:val="21"/>
          <w:szCs w:val="21"/>
          <w:lang w:val="en-US" w:eastAsia="zh-CN"/>
        </w:rPr>
      </w:pPr>
      <w:r>
        <w:rPr>
          <w:rFonts w:hint="default" w:ascii="Times New Roman" w:hAnsi="Times New Roman" w:eastAsia="宋体" w:cs="宋体"/>
          <w:b w:val="0"/>
          <w:bCs/>
          <w:sz w:val="21"/>
          <w:szCs w:val="21"/>
          <w:lang w:val="en-US" w:eastAsia="zh-CN"/>
        </w:rPr>
        <w:t>* 通讯作者（Corresponding author）</w:t>
      </w:r>
    </w:p>
    <w:p w14:paraId="0F69DA47">
      <w:pPr>
        <w:widowControl w:val="0"/>
        <w:numPr>
          <w:ilvl w:val="0"/>
          <w:numId w:val="0"/>
        </w:numPr>
        <w:jc w:val="both"/>
        <w:rPr>
          <w:rFonts w:hint="default" w:ascii="Times New Roman" w:hAnsi="Times New Roman" w:eastAsia="宋体" w:cs="宋体"/>
          <w:b w:val="0"/>
          <w:bCs/>
          <w:sz w:val="21"/>
          <w:szCs w:val="21"/>
          <w:lang w:val="en-US" w:eastAsia="zh-CN"/>
        </w:rPr>
      </w:pPr>
    </w:p>
    <w:p w14:paraId="3B35F94C">
      <w:pPr>
        <w:widowControl w:val="0"/>
        <w:numPr>
          <w:ilvl w:val="0"/>
          <w:numId w:val="0"/>
        </w:numPr>
        <w:ind w:left="0" w:leftChars="0" w:firstLine="0" w:firstLineChars="0"/>
        <w:jc w:val="both"/>
        <w:rPr>
          <w:rFonts w:hint="default" w:ascii="Times New Roman" w:hAnsi="Times New Roman" w:eastAsia="宋体" w:cs="宋体"/>
          <w:b w:val="0"/>
          <w:bCs/>
          <w:sz w:val="21"/>
          <w:szCs w:val="21"/>
          <w:lang w:val="en-US" w:eastAsia="zh-CN"/>
        </w:rPr>
      </w:pPr>
      <w:r>
        <w:rPr>
          <w:rFonts w:hint="eastAsia" w:ascii="Times New Roman" w:hAnsi="Times New Roman" w:eastAsia="宋体" w:cs="宋体"/>
          <w:b w:val="0"/>
          <w:bCs/>
          <w:color w:val="000000" w:themeColor="text1"/>
          <w:kern w:val="2"/>
          <w:sz w:val="21"/>
          <w:szCs w:val="21"/>
          <w:lang w:val="en-US" w:eastAsia="zh-CN" w:bidi="ar-SA"/>
          <w14:textFill>
            <w14:solidFill>
              <w14:schemeClr w14:val="tx1"/>
            </w14:solidFill>
          </w14:textFill>
        </w:rPr>
        <w:t>三、</w:t>
      </w:r>
      <w:r>
        <w:rPr>
          <w:rFonts w:hint="default" w:ascii="Times New Roman" w:hAnsi="Times New Roman" w:eastAsia="宋体" w:cs="宋体"/>
          <w:b w:val="0"/>
          <w:bCs/>
          <w:sz w:val="21"/>
          <w:szCs w:val="21"/>
          <w:lang w:val="en-US" w:eastAsia="zh-CN"/>
        </w:rPr>
        <w:t>作者简介</w:t>
      </w:r>
    </w:p>
    <w:p w14:paraId="4F97D220">
      <w:pPr>
        <w:widowControl w:val="0"/>
        <w:numPr>
          <w:ilvl w:val="0"/>
          <w:numId w:val="0"/>
        </w:numPr>
        <w:ind w:leftChars="0"/>
        <w:jc w:val="both"/>
        <w:rPr>
          <w:rFonts w:hint="default" w:ascii="Times New Roman" w:hAnsi="Times New Roman" w:eastAsia="宋体" w:cs="宋体"/>
          <w:b w:val="0"/>
          <w:bCs/>
          <w:sz w:val="21"/>
          <w:szCs w:val="21"/>
          <w:lang w:val="en-US" w:eastAsia="zh-CN"/>
        </w:rPr>
      </w:pPr>
      <w:r>
        <w:rPr>
          <w:rFonts w:hint="default" w:ascii="Times New Roman" w:hAnsi="Times New Roman" w:eastAsia="宋体" w:cs="宋体"/>
          <w:b/>
          <w:bCs w:val="0"/>
          <w:sz w:val="21"/>
          <w:szCs w:val="21"/>
          <w:lang w:val="en-US" w:eastAsia="zh-CN"/>
        </w:rPr>
        <w:t>第一作者</w:t>
      </w:r>
      <w:r>
        <w:rPr>
          <w:rFonts w:hint="default" w:ascii="Times New Roman" w:hAnsi="Times New Roman" w:eastAsia="宋体" w:cs="宋体"/>
          <w:b w:val="0"/>
          <w:bCs/>
          <w:sz w:val="21"/>
          <w:szCs w:val="21"/>
          <w:lang w:val="en-US" w:eastAsia="zh-CN"/>
        </w:rPr>
        <w:t>：依尔班江·艾赛提</w:t>
      </w:r>
    </w:p>
    <w:p w14:paraId="1321778C">
      <w:pPr>
        <w:widowControl w:val="0"/>
        <w:numPr>
          <w:ilvl w:val="0"/>
          <w:numId w:val="0"/>
        </w:numPr>
        <w:jc w:val="both"/>
        <w:rPr>
          <w:rFonts w:hint="default" w:ascii="Times New Roman" w:hAnsi="Times New Roman" w:eastAsia="宋体" w:cs="宋体"/>
          <w:b w:val="0"/>
          <w:bCs/>
          <w:sz w:val="21"/>
          <w:szCs w:val="21"/>
          <w:lang w:val="en-US" w:eastAsia="zh-CN"/>
        </w:rPr>
      </w:pPr>
      <w:r>
        <w:rPr>
          <w:rFonts w:hint="default" w:ascii="Times New Roman" w:hAnsi="Times New Roman" w:eastAsia="宋体" w:cs="宋体"/>
          <w:b w:val="0"/>
          <w:bCs/>
          <w:sz w:val="21"/>
          <w:szCs w:val="21"/>
          <w:lang w:val="en-US" w:eastAsia="zh-CN"/>
        </w:rPr>
        <w:t>单位/科室：新疆医科大学第三临床医学院（附属肿瘤医院） 消化内科</w:t>
      </w:r>
    </w:p>
    <w:p w14:paraId="7511B2C1">
      <w:pPr>
        <w:widowControl w:val="0"/>
        <w:numPr>
          <w:ilvl w:val="0"/>
          <w:numId w:val="0"/>
        </w:numPr>
        <w:jc w:val="both"/>
        <w:rPr>
          <w:rFonts w:hint="default" w:ascii="Times New Roman" w:hAnsi="Times New Roman" w:eastAsia="宋体" w:cs="宋体"/>
          <w:b w:val="0"/>
          <w:bCs/>
          <w:sz w:val="21"/>
          <w:szCs w:val="21"/>
          <w:lang w:val="en-US" w:eastAsia="zh-CN"/>
        </w:rPr>
      </w:pPr>
      <w:r>
        <w:rPr>
          <w:rFonts w:hint="default" w:ascii="Times New Roman" w:hAnsi="Times New Roman" w:eastAsia="宋体" w:cs="宋体"/>
          <w:b w:val="0"/>
          <w:bCs/>
          <w:sz w:val="21"/>
          <w:szCs w:val="21"/>
          <w:lang w:val="en-US" w:eastAsia="zh-CN"/>
        </w:rPr>
        <w:t>职称/职务：住院医师；硕士研究生在读</w:t>
      </w:r>
    </w:p>
    <w:p w14:paraId="7A449F09">
      <w:pPr>
        <w:widowControl w:val="0"/>
        <w:numPr>
          <w:ilvl w:val="0"/>
          <w:numId w:val="0"/>
        </w:numPr>
        <w:jc w:val="both"/>
        <w:rPr>
          <w:rFonts w:hint="default" w:ascii="Times New Roman" w:hAnsi="Times New Roman" w:eastAsia="宋体" w:cs="宋体"/>
          <w:b w:val="0"/>
          <w:bCs/>
          <w:sz w:val="21"/>
          <w:szCs w:val="21"/>
          <w:lang w:val="en-US" w:eastAsia="zh-CN"/>
        </w:rPr>
      </w:pPr>
      <w:r>
        <w:rPr>
          <w:rFonts w:hint="default" w:ascii="Times New Roman" w:hAnsi="Times New Roman" w:eastAsia="宋体" w:cs="宋体"/>
          <w:b w:val="0"/>
          <w:bCs/>
          <w:sz w:val="21"/>
          <w:szCs w:val="21"/>
          <w:lang w:val="en-US" w:eastAsia="zh-CN"/>
        </w:rPr>
        <w:t>研究方向：消化道肿瘤综合诊治</w:t>
      </w:r>
    </w:p>
    <w:p w14:paraId="2F940517">
      <w:pPr>
        <w:widowControl w:val="0"/>
        <w:numPr>
          <w:ilvl w:val="0"/>
          <w:numId w:val="0"/>
        </w:numPr>
        <w:jc w:val="both"/>
        <w:rPr>
          <w:rFonts w:hint="default" w:ascii="Times New Roman" w:hAnsi="Times New Roman" w:eastAsia="宋体" w:cs="宋体"/>
          <w:b w:val="0"/>
          <w:bCs/>
          <w:sz w:val="21"/>
          <w:szCs w:val="21"/>
          <w:lang w:val="en-US" w:eastAsia="zh-CN"/>
        </w:rPr>
      </w:pPr>
      <w:r>
        <w:rPr>
          <w:rFonts w:hint="default" w:ascii="Times New Roman" w:hAnsi="Times New Roman" w:eastAsia="宋体" w:cs="宋体"/>
          <w:b w:val="0"/>
          <w:bCs/>
          <w:sz w:val="21"/>
          <w:szCs w:val="21"/>
          <w:lang w:val="en-US" w:eastAsia="zh-CN"/>
        </w:rPr>
        <w:t>ORCID：0009-0001-3427-7695</w:t>
      </w:r>
    </w:p>
    <w:p w14:paraId="7E687D8F">
      <w:pPr>
        <w:widowControl w:val="0"/>
        <w:numPr>
          <w:ilvl w:val="0"/>
          <w:numId w:val="0"/>
        </w:numPr>
        <w:jc w:val="both"/>
        <w:rPr>
          <w:rFonts w:hint="default" w:ascii="Times New Roman" w:hAnsi="Times New Roman" w:eastAsia="宋体" w:cs="宋体"/>
          <w:b w:val="0"/>
          <w:bCs/>
          <w:sz w:val="21"/>
          <w:szCs w:val="21"/>
          <w:lang w:val="en-US" w:eastAsia="zh-CN"/>
        </w:rPr>
      </w:pPr>
      <w:r>
        <w:rPr>
          <w:rFonts w:hint="default" w:ascii="Times New Roman" w:hAnsi="Times New Roman" w:eastAsia="宋体" w:cs="宋体"/>
          <w:b w:val="0"/>
          <w:bCs/>
          <w:sz w:val="21"/>
          <w:szCs w:val="21"/>
          <w:lang w:val="en-US" w:eastAsia="zh-CN"/>
        </w:rPr>
        <w:t>电子邮箱：yierbanjiang@163.com</w:t>
      </w:r>
    </w:p>
    <w:p w14:paraId="01555FFC">
      <w:pPr>
        <w:widowControl w:val="0"/>
        <w:numPr>
          <w:ilvl w:val="0"/>
          <w:numId w:val="0"/>
        </w:numPr>
        <w:jc w:val="both"/>
        <w:rPr>
          <w:rFonts w:hint="default" w:ascii="Times New Roman" w:hAnsi="Times New Roman" w:eastAsia="宋体" w:cs="宋体"/>
          <w:b w:val="0"/>
          <w:bCs/>
          <w:sz w:val="21"/>
          <w:szCs w:val="21"/>
          <w:lang w:val="en-US" w:eastAsia="zh-CN"/>
        </w:rPr>
      </w:pPr>
      <w:r>
        <w:rPr>
          <w:rFonts w:hint="eastAsia" w:ascii="Times New Roman" w:hAnsi="Times New Roman" w:eastAsia="宋体" w:cs="宋体"/>
          <w:b w:val="0"/>
          <w:bCs/>
          <w:sz w:val="21"/>
          <w:szCs w:val="21"/>
          <w:lang w:val="en-US" w:eastAsia="zh-CN"/>
        </w:rPr>
        <w:t>电话：17590822271</w:t>
      </w:r>
    </w:p>
    <w:p w14:paraId="6DE22EC1">
      <w:pPr>
        <w:widowControl w:val="0"/>
        <w:numPr>
          <w:ilvl w:val="0"/>
          <w:numId w:val="0"/>
        </w:numPr>
        <w:jc w:val="both"/>
        <w:rPr>
          <w:rFonts w:hint="default" w:ascii="Times New Roman" w:hAnsi="Times New Roman" w:eastAsia="宋体" w:cs="宋体"/>
          <w:b w:val="0"/>
          <w:bCs/>
          <w:sz w:val="21"/>
          <w:szCs w:val="21"/>
          <w:lang w:val="en-US" w:eastAsia="zh-CN"/>
        </w:rPr>
      </w:pPr>
      <w:r>
        <w:rPr>
          <w:rFonts w:hint="eastAsia" w:ascii="Times New Roman" w:hAnsi="Times New Roman" w:eastAsia="宋体" w:cs="宋体"/>
          <w:b w:val="0"/>
          <w:bCs/>
          <w:sz w:val="21"/>
          <w:szCs w:val="21"/>
          <w:lang w:val="en-US" w:eastAsia="zh-CN"/>
        </w:rPr>
        <w:t>通信地址：新疆维吾尔自治区乌鲁木齐市苏州东街789号新疆医科大学附属肿瘤医院家属院</w:t>
      </w:r>
    </w:p>
    <w:p w14:paraId="4E76F665">
      <w:pPr>
        <w:widowControl w:val="0"/>
        <w:numPr>
          <w:ilvl w:val="0"/>
          <w:numId w:val="0"/>
        </w:numPr>
        <w:jc w:val="both"/>
        <w:rPr>
          <w:rFonts w:hint="default" w:ascii="Times New Roman" w:hAnsi="Times New Roman" w:eastAsia="宋体" w:cs="宋体"/>
          <w:b w:val="0"/>
          <w:bCs/>
          <w:sz w:val="21"/>
          <w:szCs w:val="21"/>
          <w:lang w:val="en-US" w:eastAsia="zh-CN"/>
        </w:rPr>
      </w:pPr>
      <w:r>
        <w:rPr>
          <w:rFonts w:hint="default" w:ascii="Times New Roman" w:hAnsi="Times New Roman" w:eastAsia="宋体" w:cs="宋体"/>
          <w:b/>
          <w:bCs w:val="0"/>
          <w:sz w:val="21"/>
          <w:szCs w:val="21"/>
          <w:lang w:val="en-US" w:eastAsia="zh-CN"/>
        </w:rPr>
        <w:t>通讯作者</w:t>
      </w:r>
      <w:r>
        <w:rPr>
          <w:rFonts w:hint="default" w:ascii="Times New Roman" w:hAnsi="Times New Roman" w:eastAsia="宋体" w:cs="宋体"/>
          <w:b w:val="0"/>
          <w:bCs/>
          <w:sz w:val="21"/>
          <w:szCs w:val="21"/>
          <w:lang w:val="en-US" w:eastAsia="zh-CN"/>
        </w:rPr>
        <w:t>：曲颜丽</w:t>
      </w:r>
    </w:p>
    <w:p w14:paraId="3C544497">
      <w:pPr>
        <w:widowControl w:val="0"/>
        <w:numPr>
          <w:ilvl w:val="0"/>
          <w:numId w:val="0"/>
        </w:numPr>
        <w:jc w:val="both"/>
        <w:rPr>
          <w:rFonts w:hint="default" w:ascii="Times New Roman" w:hAnsi="Times New Roman" w:eastAsia="宋体" w:cs="宋体"/>
          <w:b w:val="0"/>
          <w:bCs/>
          <w:sz w:val="21"/>
          <w:szCs w:val="21"/>
          <w:lang w:val="en-US" w:eastAsia="zh-CN"/>
        </w:rPr>
      </w:pPr>
      <w:r>
        <w:rPr>
          <w:rFonts w:hint="default" w:ascii="Times New Roman" w:hAnsi="Times New Roman" w:eastAsia="宋体" w:cs="宋体"/>
          <w:b w:val="0"/>
          <w:bCs/>
          <w:sz w:val="21"/>
          <w:szCs w:val="21"/>
          <w:lang w:val="en-US" w:eastAsia="zh-CN"/>
        </w:rPr>
        <w:t>单位/科室：新疆医科大学附属肿瘤医院 消化内科</w:t>
      </w:r>
    </w:p>
    <w:p w14:paraId="408DD648">
      <w:pPr>
        <w:widowControl w:val="0"/>
        <w:numPr>
          <w:ilvl w:val="0"/>
          <w:numId w:val="0"/>
        </w:numPr>
        <w:jc w:val="both"/>
        <w:rPr>
          <w:rFonts w:hint="default" w:ascii="Times New Roman" w:hAnsi="Times New Roman" w:eastAsia="宋体" w:cs="宋体"/>
          <w:b w:val="0"/>
          <w:bCs/>
          <w:sz w:val="21"/>
          <w:szCs w:val="21"/>
          <w:lang w:val="en-US" w:eastAsia="zh-CN"/>
        </w:rPr>
      </w:pPr>
      <w:r>
        <w:rPr>
          <w:rFonts w:hint="default" w:ascii="Times New Roman" w:hAnsi="Times New Roman" w:eastAsia="宋体" w:cs="宋体"/>
          <w:b w:val="0"/>
          <w:bCs/>
          <w:sz w:val="21"/>
          <w:szCs w:val="21"/>
          <w:lang w:val="en-US" w:eastAsia="zh-CN"/>
        </w:rPr>
        <w:t>职称/职务</w:t>
      </w:r>
      <w:r>
        <w:rPr>
          <w:rFonts w:hint="eastAsia" w:ascii="Times New Roman" w:hAnsi="Times New Roman" w:eastAsia="宋体" w:cs="宋体"/>
          <w:b w:val="0"/>
          <w:bCs/>
          <w:sz w:val="21"/>
          <w:szCs w:val="21"/>
          <w:lang w:val="en-US" w:eastAsia="zh-CN"/>
        </w:rPr>
        <w:t>/学历</w:t>
      </w:r>
      <w:r>
        <w:rPr>
          <w:rFonts w:hint="default" w:ascii="Times New Roman" w:hAnsi="Times New Roman" w:eastAsia="宋体" w:cs="宋体"/>
          <w:b w:val="0"/>
          <w:bCs/>
          <w:sz w:val="21"/>
          <w:szCs w:val="21"/>
          <w:lang w:val="en-US" w:eastAsia="zh-CN"/>
        </w:rPr>
        <w:t>：主任医师；正高级职称</w:t>
      </w:r>
      <w:r>
        <w:rPr>
          <w:rFonts w:hint="eastAsia" w:ascii="Times New Roman" w:hAnsi="Times New Roman" w:eastAsia="宋体" w:cs="宋体"/>
          <w:b w:val="0"/>
          <w:bCs/>
          <w:sz w:val="21"/>
          <w:szCs w:val="21"/>
          <w:lang w:val="en-US" w:eastAsia="zh-CN"/>
        </w:rPr>
        <w:t>；硕士</w:t>
      </w:r>
      <w:r>
        <w:rPr>
          <w:rFonts w:hint="default" w:ascii="Times New Roman" w:hAnsi="Times New Roman" w:eastAsia="宋体" w:cs="宋体"/>
          <w:b w:val="0"/>
          <w:bCs/>
          <w:sz w:val="21"/>
          <w:szCs w:val="21"/>
          <w:lang w:val="en-US" w:eastAsia="zh-CN"/>
        </w:rPr>
        <w:t>学历</w:t>
      </w:r>
    </w:p>
    <w:p w14:paraId="0D6C8E53">
      <w:pPr>
        <w:widowControl w:val="0"/>
        <w:numPr>
          <w:ilvl w:val="0"/>
          <w:numId w:val="0"/>
        </w:numPr>
        <w:jc w:val="both"/>
        <w:rPr>
          <w:rFonts w:hint="default" w:ascii="Times New Roman" w:hAnsi="Times New Roman" w:eastAsia="宋体" w:cs="宋体"/>
          <w:b w:val="0"/>
          <w:bCs/>
          <w:sz w:val="21"/>
          <w:szCs w:val="21"/>
          <w:lang w:val="en-US" w:eastAsia="zh-CN"/>
        </w:rPr>
      </w:pPr>
      <w:r>
        <w:rPr>
          <w:rFonts w:hint="default" w:ascii="Times New Roman" w:hAnsi="Times New Roman" w:eastAsia="宋体" w:cs="宋体"/>
          <w:b w:val="0"/>
          <w:bCs/>
          <w:sz w:val="21"/>
          <w:szCs w:val="21"/>
          <w:lang w:val="en-US" w:eastAsia="zh-CN"/>
        </w:rPr>
        <w:t>研究方向：消化肿瘤综合治疗及化疗</w:t>
      </w:r>
    </w:p>
    <w:p w14:paraId="338BE472">
      <w:pPr>
        <w:pStyle w:val="11"/>
        <w:tabs>
          <w:tab w:val="left" w:pos="384"/>
          <w:tab w:val="clear" w:pos="504"/>
        </w:tabs>
        <w:bidi w:val="0"/>
        <w:rPr>
          <w:rFonts w:hint="default" w:ascii="Times New Roman" w:hAnsi="Times New Roman"/>
          <w:sz w:val="21"/>
          <w:szCs w:val="21"/>
          <w:lang w:val="en-US" w:eastAsia="zh-CN"/>
        </w:rPr>
      </w:pPr>
      <w:r>
        <w:rPr>
          <w:rFonts w:hint="default" w:ascii="Times New Roman" w:hAnsi="Times New Roman" w:eastAsia="宋体" w:cs="宋体"/>
          <w:b w:val="0"/>
          <w:bCs/>
          <w:sz w:val="21"/>
          <w:szCs w:val="21"/>
          <w:lang w:val="en-US" w:eastAsia="zh-CN"/>
        </w:rPr>
        <w:t>电子邮箱：</w:t>
      </w:r>
      <w:r>
        <w:rPr>
          <w:rFonts w:hint="default" w:ascii="Times New Roman" w:hAnsi="Times New Roman"/>
          <w:sz w:val="21"/>
          <w:szCs w:val="21"/>
          <w:lang w:val="en-US" w:eastAsia="zh-CN"/>
        </w:rPr>
        <w:fldChar w:fldCharType="begin"/>
      </w:r>
      <w:r>
        <w:rPr>
          <w:rFonts w:hint="default" w:ascii="Times New Roman" w:hAnsi="Times New Roman"/>
          <w:sz w:val="21"/>
          <w:szCs w:val="21"/>
          <w:lang w:val="en-US" w:eastAsia="zh-CN"/>
        </w:rPr>
        <w:instrText xml:space="preserve"> HYPERLINK "mailto:quyanli73@163.com" </w:instrText>
      </w:r>
      <w:r>
        <w:rPr>
          <w:rFonts w:hint="default" w:ascii="Times New Roman" w:hAnsi="Times New Roman"/>
          <w:sz w:val="21"/>
          <w:szCs w:val="21"/>
          <w:lang w:val="en-US" w:eastAsia="zh-CN"/>
        </w:rPr>
        <w:fldChar w:fldCharType="separate"/>
      </w:r>
      <w:r>
        <w:rPr>
          <w:rFonts w:hint="default" w:ascii="Times New Roman" w:hAnsi="Times New Roman"/>
          <w:sz w:val="21"/>
          <w:szCs w:val="21"/>
          <w:lang w:val="en-US" w:eastAsia="zh-CN"/>
        </w:rPr>
        <w:t>quyanli73@163.com</w:t>
      </w:r>
      <w:r>
        <w:rPr>
          <w:rFonts w:hint="default" w:ascii="Times New Roman" w:hAnsi="Times New Roman"/>
          <w:sz w:val="21"/>
          <w:szCs w:val="21"/>
          <w:lang w:val="en-US" w:eastAsia="zh-CN"/>
        </w:rPr>
        <w:fldChar w:fldCharType="end"/>
      </w:r>
    </w:p>
    <w:p w14:paraId="13E7ED07">
      <w:pPr>
        <w:pStyle w:val="11"/>
        <w:tabs>
          <w:tab w:val="left" w:pos="384"/>
          <w:tab w:val="clear" w:pos="504"/>
        </w:tabs>
        <w:bidi w:val="0"/>
        <w:rPr>
          <w:rFonts w:hint="default" w:ascii="Times New Roman" w:hAnsi="Times New Roman"/>
          <w:sz w:val="21"/>
          <w:szCs w:val="21"/>
          <w:lang w:val="en-US" w:eastAsia="zh-CN"/>
        </w:rPr>
      </w:pPr>
      <w:r>
        <w:rPr>
          <w:rFonts w:hint="default" w:ascii="Times New Roman" w:hAnsi="Times New Roman"/>
          <w:sz w:val="21"/>
          <w:szCs w:val="21"/>
          <w:lang w:val="en-US" w:eastAsia="zh-CN"/>
        </w:rPr>
        <w:t>电话：</w:t>
      </w:r>
      <w:r>
        <w:rPr>
          <w:rFonts w:hint="eastAsia" w:ascii="Times New Roman" w:hAnsi="Times New Roman"/>
          <w:sz w:val="21"/>
          <w:szCs w:val="21"/>
          <w:lang w:val="en-US" w:eastAsia="zh-CN"/>
        </w:rPr>
        <w:t>18160627963</w:t>
      </w:r>
      <w:bookmarkStart w:id="0" w:name="_GoBack"/>
      <w:bookmarkEnd w:id="0"/>
    </w:p>
    <w:p w14:paraId="06198A9B">
      <w:pPr>
        <w:pStyle w:val="11"/>
        <w:tabs>
          <w:tab w:val="left" w:pos="384"/>
          <w:tab w:val="clear" w:pos="504"/>
        </w:tabs>
        <w:bidi w:val="0"/>
        <w:rPr>
          <w:rFonts w:hint="default" w:ascii="Times New Roman" w:hAnsi="Times New Roman"/>
          <w:sz w:val="21"/>
          <w:szCs w:val="21"/>
          <w:lang w:val="en-US" w:eastAsia="zh-CN"/>
        </w:rPr>
      </w:pPr>
      <w:r>
        <w:rPr>
          <w:rFonts w:hint="default" w:ascii="Times New Roman" w:hAnsi="Times New Roman"/>
          <w:sz w:val="21"/>
          <w:szCs w:val="21"/>
          <w:lang w:val="en-US" w:eastAsia="zh-CN"/>
        </w:rPr>
        <w:t>ORCID：0009-0008-2386-4553</w:t>
      </w:r>
    </w:p>
    <w:p w14:paraId="71897A61">
      <w:pPr>
        <w:widowControl w:val="0"/>
        <w:numPr>
          <w:ilvl w:val="0"/>
          <w:numId w:val="0"/>
        </w:numPr>
        <w:jc w:val="both"/>
        <w:rPr>
          <w:rFonts w:hint="default" w:ascii="Times New Roman" w:hAnsi="Times New Roman" w:eastAsia="宋体" w:cs="宋体"/>
          <w:b w:val="0"/>
          <w:bCs/>
          <w:sz w:val="21"/>
          <w:szCs w:val="21"/>
          <w:lang w:val="en-US" w:eastAsia="zh-CN"/>
        </w:rPr>
      </w:pPr>
      <w:r>
        <w:rPr>
          <w:rFonts w:hint="default" w:ascii="Times New Roman" w:hAnsi="Times New Roman" w:eastAsia="宋体" w:cs="宋体"/>
          <w:b w:val="0"/>
          <w:bCs/>
          <w:sz w:val="21"/>
          <w:szCs w:val="21"/>
          <w:lang w:val="en-US" w:eastAsia="zh-CN"/>
        </w:rPr>
        <w:t>通信地址：新疆维吾尔自治区乌鲁木齐市苏州东街789号新疆医科大学附属肿瘤医院家属院</w:t>
      </w:r>
    </w:p>
    <w:p w14:paraId="73D9ABE4">
      <w:pPr>
        <w:widowControl w:val="0"/>
        <w:numPr>
          <w:ilvl w:val="0"/>
          <w:numId w:val="0"/>
        </w:numPr>
        <w:jc w:val="both"/>
        <w:rPr>
          <w:rFonts w:hint="default" w:ascii="Times New Roman" w:hAnsi="Times New Roman" w:eastAsia="宋体" w:cs="宋体"/>
          <w:b w:val="0"/>
          <w:bCs/>
          <w:sz w:val="21"/>
          <w:szCs w:val="21"/>
          <w:lang w:val="en-US" w:eastAsia="zh-CN"/>
        </w:rPr>
      </w:pPr>
    </w:p>
    <w:p w14:paraId="3A9B6FEB">
      <w:pPr>
        <w:widowControl w:val="0"/>
        <w:numPr>
          <w:ilvl w:val="0"/>
          <w:numId w:val="0"/>
        </w:numPr>
        <w:jc w:val="both"/>
        <w:rPr>
          <w:rFonts w:hint="eastAsia" w:ascii="Times New Roman" w:hAnsi="Times New Roman" w:eastAsia="宋体" w:cs="宋体"/>
          <w:b w:val="0"/>
          <w:bCs/>
          <w:sz w:val="21"/>
          <w:szCs w:val="21"/>
          <w:lang w:val="en-US" w:eastAsia="zh-CN"/>
        </w:rPr>
      </w:pPr>
      <w:r>
        <w:rPr>
          <w:rFonts w:hint="default" w:ascii="Times New Roman" w:hAnsi="Times New Roman" w:eastAsia="宋体" w:cs="宋体"/>
          <w:b w:val="0"/>
          <w:bCs/>
          <w:sz w:val="21"/>
          <w:szCs w:val="21"/>
          <w:lang w:val="en-US" w:eastAsia="zh-CN"/>
        </w:rPr>
        <w:t>四、作者贡献声明</w:t>
      </w:r>
      <w:r>
        <w:rPr>
          <w:rFonts w:hint="eastAsia" w:ascii="Times New Roman" w:hAnsi="Times New Roman" w:eastAsia="宋体" w:cs="宋体"/>
          <w:b w:val="0"/>
          <w:bCs/>
          <w:sz w:val="21"/>
          <w:szCs w:val="21"/>
          <w:lang w:val="en-US" w:eastAsia="zh-CN"/>
        </w:rPr>
        <w:t>：依尔班江·艾赛提：调查研究，可视化处理，初稿写作；曲颜丽：论文构思，项目管理，监督指导，审核与修订。（所有作者均已阅读并同意最终稿，并对本文内容负责。）</w:t>
      </w:r>
    </w:p>
    <w:p w14:paraId="1BDF6A68">
      <w:pPr>
        <w:widowControl w:val="0"/>
        <w:numPr>
          <w:ilvl w:val="0"/>
          <w:numId w:val="2"/>
        </w:numPr>
        <w:ind w:left="0" w:leftChars="0" w:firstLine="0" w:firstLineChars="0"/>
        <w:jc w:val="both"/>
        <w:rPr>
          <w:rFonts w:hint="eastAsia" w:ascii="Times New Roman" w:hAnsi="Times New Roman" w:eastAsia="宋体" w:cs="宋体"/>
          <w:b w:val="0"/>
          <w:bCs/>
          <w:sz w:val="21"/>
          <w:szCs w:val="21"/>
          <w:lang w:val="en-US" w:eastAsia="zh-CN"/>
        </w:rPr>
      </w:pPr>
      <w:r>
        <w:rPr>
          <w:rFonts w:hint="eastAsia" w:ascii="Times New Roman" w:hAnsi="Times New Roman" w:eastAsia="宋体" w:cs="宋体"/>
          <w:b w:val="0"/>
          <w:bCs/>
          <w:sz w:val="21"/>
          <w:szCs w:val="21"/>
          <w:lang w:val="en-US" w:eastAsia="zh-CN"/>
        </w:rPr>
        <w:t>利益冲突声明：所有作者声明不存在利益冲突。</w:t>
      </w:r>
    </w:p>
    <w:p w14:paraId="507B8FA9">
      <w:pPr>
        <w:widowControl w:val="0"/>
        <w:numPr>
          <w:ilvl w:val="0"/>
          <w:numId w:val="0"/>
        </w:numPr>
        <w:jc w:val="both"/>
        <w:rPr>
          <w:rFonts w:hint="eastAsia" w:ascii="Times New Roman" w:hAnsi="Times New Roman" w:eastAsia="宋体" w:cs="宋体"/>
          <w:b w:val="0"/>
          <w:bCs/>
          <w:sz w:val="21"/>
          <w:szCs w:val="21"/>
          <w:lang w:val="en-US" w:eastAsia="zh-CN"/>
        </w:rPr>
      </w:pPr>
      <w:r>
        <w:rPr>
          <w:rFonts w:hint="eastAsia" w:ascii="Times New Roman" w:hAnsi="Times New Roman" w:eastAsia="宋体" w:cs="宋体"/>
          <w:b w:val="0"/>
          <w:bCs/>
          <w:sz w:val="21"/>
          <w:szCs w:val="21"/>
          <w:lang w:val="en-US" w:eastAsia="zh-CN"/>
        </w:rPr>
        <w:t>六、基金资助情况：无基金资助。</w:t>
      </w:r>
    </w:p>
    <w:p w14:paraId="683BDC43">
      <w:pPr>
        <w:widowControl w:val="0"/>
        <w:numPr>
          <w:ilvl w:val="0"/>
          <w:numId w:val="0"/>
        </w:numPr>
        <w:jc w:val="both"/>
        <w:rPr>
          <w:rFonts w:hint="default" w:ascii="Times New Roman" w:hAnsi="Times New Roman" w:eastAsia="宋体" w:cs="宋体"/>
          <w:b w:val="0"/>
          <w:bCs/>
          <w:sz w:val="21"/>
          <w:szCs w:val="21"/>
          <w:lang w:val="en-US" w:eastAsia="zh-CN"/>
        </w:rPr>
      </w:pPr>
      <w:r>
        <w:rPr>
          <w:rFonts w:hint="eastAsia" w:ascii="Times New Roman" w:hAnsi="Times New Roman" w:eastAsia="宋体" w:cs="宋体"/>
          <w:b w:val="0"/>
          <w:bCs/>
          <w:sz w:val="21"/>
          <w:szCs w:val="21"/>
          <w:lang w:val="en-US" w:eastAsia="zh-CN"/>
        </w:rPr>
        <w:t>七、伦理声明：本文为文献综述，无需伦理委员会审批及知情同意。</w:t>
      </w:r>
    </w:p>
    <w:p w14:paraId="03FE15FB">
      <w:pPr>
        <w:pStyle w:val="2"/>
        <w:bidi w:val="0"/>
        <w:jc w:val="center"/>
        <w:rPr>
          <w:rFonts w:hint="eastAsia" w:ascii="Times New Roman" w:hAnsi="Times New Roman" w:eastAsia="微软雅黑" w:cs="微软雅黑"/>
          <w:b w:val="0"/>
          <w:bCs/>
          <w:sz w:val="32"/>
          <w:szCs w:val="32"/>
        </w:rPr>
      </w:pPr>
    </w:p>
    <w:p w14:paraId="5D11FD34">
      <w:pPr>
        <w:pStyle w:val="2"/>
        <w:bidi w:val="0"/>
        <w:jc w:val="center"/>
        <w:rPr>
          <w:rFonts w:hint="eastAsia" w:ascii="Times New Roman" w:hAnsi="Times New Roman" w:eastAsia="微软雅黑" w:cs="微软雅黑"/>
          <w:b w:val="0"/>
          <w:bCs/>
          <w:sz w:val="40"/>
          <w:szCs w:val="40"/>
          <w:lang w:val="en-US" w:eastAsia="zh-CN"/>
        </w:rPr>
      </w:pPr>
      <w:r>
        <w:rPr>
          <w:rFonts w:hint="eastAsia" w:ascii="Times New Roman" w:hAnsi="Times New Roman" w:eastAsia="微软雅黑" w:cs="微软雅黑"/>
          <w:b w:val="0"/>
          <w:bCs/>
          <w:color w:val="FF0000"/>
          <w:sz w:val="32"/>
          <w:szCs w:val="32"/>
        </w:rPr>
        <w:t>局部晚期食管癌新辅助免疫联合化疗的研究进展与关键临床问题</w:t>
      </w:r>
    </w:p>
    <w:p w14:paraId="4566AF72">
      <w:pPr>
        <w:keepNext w:val="0"/>
        <w:keepLines w:val="0"/>
        <w:pageBreakBefore w:val="0"/>
        <w:widowControl w:val="0"/>
        <w:kinsoku/>
        <w:wordWrap/>
        <w:overflowPunct/>
        <w:topLinePunct w:val="0"/>
        <w:autoSpaceDE/>
        <w:autoSpaceDN/>
        <w:bidi w:val="0"/>
        <w:adjustRightInd/>
        <w:snapToGrid/>
        <w:spacing w:before="65" w:line="224" w:lineRule="auto"/>
        <w:jc w:val="left"/>
        <w:textAlignment w:val="auto"/>
        <w:rPr>
          <w:rFonts w:hint="eastAsia" w:ascii="Times New Roman" w:hAnsi="Times New Roman" w:eastAsia="宋体" w:cs="宋体"/>
          <w:sz w:val="21"/>
          <w:szCs w:val="21"/>
          <w:lang w:val="en-US" w:eastAsia="zh-CN"/>
        </w:rPr>
      </w:pPr>
      <w:r>
        <w:rPr>
          <w:rFonts w:hint="eastAsia" w:ascii="Times New Roman" w:hAnsi="Times New Roman" w:eastAsia="宋体" w:cs="宋体"/>
          <w:sz w:val="21"/>
          <w:szCs w:val="21"/>
          <w:lang w:val="en-US" w:eastAsia="zh-CN"/>
        </w:rPr>
        <w:t>依尔班江·艾赛提¹，曲颜丽</w:t>
      </w:r>
      <w:r>
        <w:rPr>
          <w:rFonts w:hint="eastAsia" w:ascii="Times New Roman" w:hAnsi="Times New Roman" w:eastAsia="宋体" w:cs="宋体"/>
          <w:sz w:val="21"/>
          <w:szCs w:val="21"/>
          <w:vertAlign w:val="superscript"/>
          <w:lang w:val="en-US" w:eastAsia="zh-CN"/>
        </w:rPr>
        <w:t>2</w:t>
      </w:r>
      <w:r>
        <w:rPr>
          <w:rFonts w:hint="eastAsia" w:ascii="Times New Roman" w:hAnsi="Times New Roman" w:eastAsia="宋体" w:cs="宋体"/>
          <w:sz w:val="21"/>
          <w:szCs w:val="21"/>
          <w:lang w:val="en-US" w:eastAsia="zh-CN"/>
        </w:rPr>
        <w:t>*</w:t>
      </w:r>
    </w:p>
    <w:p w14:paraId="5083F8BA">
      <w:pPr>
        <w:keepNext w:val="0"/>
        <w:keepLines w:val="0"/>
        <w:pageBreakBefore w:val="0"/>
        <w:widowControl w:val="0"/>
        <w:numPr>
          <w:ilvl w:val="0"/>
          <w:numId w:val="0"/>
        </w:numPr>
        <w:kinsoku/>
        <w:wordWrap/>
        <w:overflowPunct/>
        <w:topLinePunct w:val="0"/>
        <w:autoSpaceDE/>
        <w:autoSpaceDN/>
        <w:bidi w:val="0"/>
        <w:adjustRightInd/>
        <w:snapToGrid/>
        <w:spacing w:before="65" w:line="224" w:lineRule="auto"/>
        <w:jc w:val="both"/>
        <w:textAlignment w:val="auto"/>
        <w:rPr>
          <w:rFonts w:hint="eastAsia" w:ascii="Times New Roman" w:hAnsi="Times New Roman" w:eastAsia="宋体" w:cs="宋体"/>
          <w:sz w:val="21"/>
          <w:szCs w:val="21"/>
          <w:lang w:val="en-US" w:eastAsia="zh-CN"/>
        </w:rPr>
      </w:pPr>
      <w:r>
        <w:rPr>
          <w:rFonts w:hint="eastAsia" w:ascii="Times New Roman" w:hAnsi="Times New Roman" w:eastAsia="宋体" w:cs="宋体"/>
          <w:sz w:val="21"/>
          <w:szCs w:val="21"/>
          <w:lang w:val="en-US" w:eastAsia="zh-CN"/>
        </w:rPr>
        <w:t>（1.新疆医科大学第三临床医学院（附属肿瘤医院），新疆 乌鲁木齐830000；</w:t>
      </w:r>
    </w:p>
    <w:p w14:paraId="3A435788">
      <w:pPr>
        <w:keepNext w:val="0"/>
        <w:keepLines w:val="0"/>
        <w:pageBreakBefore w:val="0"/>
        <w:widowControl w:val="0"/>
        <w:numPr>
          <w:ilvl w:val="0"/>
          <w:numId w:val="0"/>
        </w:numPr>
        <w:kinsoku/>
        <w:wordWrap/>
        <w:overflowPunct/>
        <w:topLinePunct w:val="0"/>
        <w:autoSpaceDE/>
        <w:autoSpaceDN/>
        <w:bidi w:val="0"/>
        <w:adjustRightInd/>
        <w:snapToGrid/>
        <w:spacing w:before="65" w:line="224" w:lineRule="auto"/>
        <w:ind w:firstLine="210" w:firstLineChars="100"/>
        <w:jc w:val="left"/>
        <w:textAlignment w:val="auto"/>
        <w:rPr>
          <w:rFonts w:hint="default" w:ascii="Times New Roman" w:hAnsi="Times New Roman"/>
          <w:sz w:val="21"/>
          <w:szCs w:val="21"/>
          <w:lang w:val="en-US" w:eastAsia="zh-CN"/>
        </w:rPr>
      </w:pPr>
      <w:r>
        <w:rPr>
          <w:rFonts w:hint="eastAsia" w:ascii="Times New Roman" w:hAnsi="Times New Roman" w:eastAsia="宋体" w:cs="宋体"/>
          <w:sz w:val="21"/>
          <w:szCs w:val="21"/>
          <w:lang w:val="en-US" w:eastAsia="zh-CN"/>
        </w:rPr>
        <w:t>2.新疆医科大学附属肿瘤医院，新疆 乌鲁木齐830000；*通信作者）</w:t>
      </w:r>
      <w:r>
        <w:rPr>
          <w:rFonts w:hint="eastAsia" w:ascii="Times New Roman" w:hAnsi="Times New Roman"/>
          <w:sz w:val="21"/>
          <w:szCs w:val="21"/>
          <w:lang w:val="en-US" w:eastAsia="zh-CN"/>
        </w:rPr>
        <w:t xml:space="preserve">   </w:t>
      </w:r>
    </w:p>
    <w:p w14:paraId="2AF0383D">
      <w:pPr>
        <w:pStyle w:val="4"/>
        <w:keepNext/>
        <w:keepLines/>
        <w:pageBreakBefore w:val="0"/>
        <w:widowControl w:val="0"/>
        <w:kinsoku/>
        <w:wordWrap/>
        <w:overflowPunct/>
        <w:topLinePunct w:val="0"/>
        <w:autoSpaceDE/>
        <w:autoSpaceDN/>
        <w:bidi w:val="0"/>
        <w:adjustRightInd/>
        <w:snapToGrid/>
        <w:spacing w:before="59" w:after="0" w:line="308" w:lineRule="auto"/>
        <w:textAlignment w:val="auto"/>
        <w:rPr>
          <w:rFonts w:hint="eastAsia" w:ascii="Times New Roman" w:hAnsi="Times New Roman"/>
          <w:b w:val="0"/>
          <w:bCs/>
          <w:sz w:val="21"/>
          <w:szCs w:val="21"/>
          <w:lang w:val="en-US" w:eastAsia="zh-CN"/>
        </w:rPr>
      </w:pPr>
      <w:r>
        <w:rPr>
          <w:rFonts w:ascii="Times New Roman" w:hAnsi="Times New Roman" w:eastAsia="宋体" w:cs="宋体"/>
          <w:b w:val="0"/>
          <w:bCs/>
          <w:color w:val="231F20"/>
          <w:spacing w:val="3"/>
          <w:sz w:val="21"/>
          <w:szCs w:val="21"/>
        </w:rPr>
        <w:t>［</w:t>
      </w:r>
      <w:r>
        <w:rPr>
          <w:rFonts w:ascii="Times New Roman" w:hAnsi="Times New Roman" w:eastAsia="黑体" w:cs="黑体"/>
          <w:b w:val="0"/>
          <w:bCs/>
          <w:color w:val="231F20"/>
          <w:spacing w:val="3"/>
          <w:sz w:val="21"/>
          <w:szCs w:val="21"/>
        </w:rPr>
        <w:t>摘要</w:t>
      </w:r>
      <w:r>
        <w:rPr>
          <w:rFonts w:ascii="Times New Roman" w:hAnsi="Times New Roman" w:eastAsia="宋体" w:cs="宋体"/>
          <w:b w:val="0"/>
          <w:bCs/>
          <w:color w:val="231F20"/>
          <w:spacing w:val="3"/>
          <w:sz w:val="21"/>
          <w:szCs w:val="21"/>
        </w:rPr>
        <w:t>］</w:t>
      </w:r>
      <w:r>
        <w:rPr>
          <w:rFonts w:hint="eastAsia" w:ascii="Times New Roman" w:hAnsi="Times New Roman"/>
          <w:b w:val="0"/>
          <w:bCs/>
          <w:color w:val="FF0000"/>
          <w:sz w:val="21"/>
          <w:szCs w:val="21"/>
          <w:lang w:val="en-US" w:eastAsia="zh-CN"/>
        </w:rPr>
        <w:t>局部晚期可切除食管癌围手术期治疗策略仍在不断探索与优化。传统新辅助放化疗或新辅助化疗疗效提升空间有限，治疗毒性限制了方案的进一步改良。新辅助免疫联合化疗在多项临床研究中展现出较高的病理缓解率与可控的围手术期安全性，但在适用人群选择、方案构建及治疗路径优化等方面仍存在争议。本文旨在对新辅助免疫联合化疗的研究现状进行系统概述，并就临床实践中的关键问题进行梳理与分析，为围手术期个体化决策提供参考。</w:t>
      </w:r>
    </w:p>
    <w:p w14:paraId="77879FF7">
      <w:pPr>
        <w:pStyle w:val="4"/>
        <w:keepNext/>
        <w:keepLines/>
        <w:pageBreakBefore w:val="0"/>
        <w:widowControl w:val="0"/>
        <w:kinsoku/>
        <w:wordWrap/>
        <w:overflowPunct/>
        <w:topLinePunct w:val="0"/>
        <w:autoSpaceDE/>
        <w:autoSpaceDN/>
        <w:bidi w:val="0"/>
        <w:adjustRightInd/>
        <w:snapToGrid/>
        <w:spacing w:before="1" w:after="0" w:line="317" w:lineRule="auto"/>
        <w:textAlignment w:val="auto"/>
        <w:rPr>
          <w:rFonts w:hint="eastAsia" w:ascii="Times New Roman" w:hAnsi="Times New Roman"/>
          <w:b w:val="0"/>
          <w:bCs/>
          <w:sz w:val="21"/>
          <w:szCs w:val="21"/>
          <w:lang w:val="en-US" w:eastAsia="zh-CN"/>
        </w:rPr>
      </w:pPr>
      <w:r>
        <w:rPr>
          <w:rFonts w:hint="eastAsia" w:ascii="Times New Roman" w:hAnsi="Times New Roman" w:eastAsia="黑体" w:cs="黑体"/>
          <w:b w:val="0"/>
          <w:bCs w:val="0"/>
          <w:sz w:val="21"/>
          <w:szCs w:val="21"/>
          <w:lang w:val="en-US" w:eastAsia="zh-CN"/>
        </w:rPr>
        <w:t>［关键词］</w:t>
      </w:r>
      <w:r>
        <w:rPr>
          <w:rFonts w:hint="eastAsia" w:ascii="Times New Roman" w:hAnsi="Times New Roman"/>
          <w:b w:val="0"/>
          <w:bCs/>
          <w:sz w:val="21"/>
          <w:szCs w:val="21"/>
          <w:lang w:val="en-US" w:eastAsia="zh-CN"/>
        </w:rPr>
        <w:t>食管肿瘤；局部晚期；新辅助治疗；免疫疗法；新辅助化疗</w:t>
      </w:r>
    </w:p>
    <w:p w14:paraId="383AE8E5">
      <w:pPr>
        <w:kinsoku w:val="0"/>
        <w:autoSpaceDE w:val="0"/>
        <w:autoSpaceDN w:val="0"/>
        <w:adjustRightInd w:val="0"/>
        <w:snapToGrid w:val="0"/>
        <w:spacing w:before="58" w:line="282" w:lineRule="auto"/>
        <w:ind w:left="21" w:right="71" w:firstLine="6"/>
        <w:jc w:val="center"/>
        <w:textAlignment w:val="baseline"/>
        <w:rPr>
          <w:rFonts w:hint="eastAsia" w:ascii="Times New Roman" w:hAnsi="Times New Roman" w:eastAsia="Times New Roman" w:cs="Times New Roman"/>
          <w:b w:val="0"/>
          <w:bCs w:val="0"/>
          <w:snapToGrid w:val="0"/>
          <w:color w:val="FF0000"/>
          <w:kern w:val="0"/>
          <w:sz w:val="32"/>
          <w:szCs w:val="32"/>
          <w:lang w:val="en-US" w:eastAsia="en-US" w:bidi="ar-SA"/>
        </w:rPr>
      </w:pPr>
      <w:r>
        <w:rPr>
          <w:rFonts w:hint="eastAsia" w:ascii="Times New Roman" w:hAnsi="Times New Roman" w:eastAsia="宋体" w:cs="Times New Roman"/>
          <w:b w:val="0"/>
          <w:bCs w:val="0"/>
          <w:snapToGrid w:val="0"/>
          <w:color w:val="FF0000"/>
          <w:kern w:val="0"/>
          <w:sz w:val="32"/>
          <w:szCs w:val="32"/>
          <w:lang w:val="en-US" w:eastAsia="zh-CN" w:bidi="ar-SA"/>
        </w:rPr>
        <w:t>Advances and Key Clinical Issues in Neoadjuvant Immunotherapy Combined with Chemotherapy for Locally Advanced Esophageal Cance</w:t>
      </w:r>
      <w:r>
        <w:rPr>
          <w:rFonts w:hint="eastAsia" w:ascii="Times New Roman" w:hAnsi="Times New Roman" w:eastAsia="Times New Roman" w:cs="Times New Roman"/>
          <w:b w:val="0"/>
          <w:bCs w:val="0"/>
          <w:snapToGrid w:val="0"/>
          <w:color w:val="FF0000"/>
          <w:kern w:val="0"/>
          <w:sz w:val="32"/>
          <w:szCs w:val="32"/>
          <w:lang w:val="en-US" w:eastAsia="en-US" w:bidi="ar-SA"/>
        </w:rPr>
        <w:t>r</w:t>
      </w:r>
    </w:p>
    <w:p w14:paraId="0F551ED9">
      <w:pPr>
        <w:kinsoku w:val="0"/>
        <w:autoSpaceDE w:val="0"/>
        <w:autoSpaceDN w:val="0"/>
        <w:adjustRightInd w:val="0"/>
        <w:snapToGrid w:val="0"/>
        <w:spacing w:before="58" w:line="282" w:lineRule="auto"/>
        <w:ind w:left="21" w:right="71" w:firstLine="6"/>
        <w:jc w:val="left"/>
        <w:textAlignment w:val="baseline"/>
        <w:rPr>
          <w:rFonts w:hint="eastAsia" w:ascii="Times New Roman" w:hAnsi="Times New Roman" w:eastAsia="Times New Roman" w:cs="Times New Roman"/>
          <w:b w:val="0"/>
          <w:bCs w:val="0"/>
          <w:snapToGrid w:val="0"/>
          <w:color w:val="231F20"/>
          <w:kern w:val="0"/>
          <w:sz w:val="21"/>
          <w:szCs w:val="21"/>
          <w:lang w:val="en-US" w:eastAsia="en-US" w:bidi="ar-SA"/>
        </w:rPr>
      </w:pPr>
      <w:r>
        <w:rPr>
          <w:rFonts w:hint="eastAsia" w:ascii="Times New Roman" w:hAnsi="Times New Roman" w:eastAsia="Times New Roman" w:cs="Times New Roman"/>
          <w:b w:val="0"/>
          <w:bCs w:val="0"/>
          <w:snapToGrid w:val="0"/>
          <w:color w:val="231F20"/>
          <w:kern w:val="0"/>
          <w:sz w:val="21"/>
          <w:szCs w:val="21"/>
          <w:lang w:val="en-US" w:eastAsia="en-US" w:bidi="ar-SA"/>
        </w:rPr>
        <w:t>Y</w:t>
      </w:r>
      <w:r>
        <w:rPr>
          <w:rFonts w:hint="eastAsia" w:ascii="Times New Roman" w:hAnsi="Times New Roman" w:eastAsia="宋体" w:cs="Times New Roman"/>
          <w:b w:val="0"/>
          <w:bCs w:val="0"/>
          <w:snapToGrid w:val="0"/>
          <w:color w:val="231F20"/>
          <w:kern w:val="0"/>
          <w:sz w:val="21"/>
          <w:szCs w:val="21"/>
          <w:lang w:val="en-US" w:eastAsia="zh-CN" w:bidi="ar-SA"/>
        </w:rPr>
        <w:t>ierbanjiang</w:t>
      </w:r>
      <w:r>
        <w:rPr>
          <w:rFonts w:hint="eastAsia" w:ascii="Times New Roman" w:hAnsi="Times New Roman" w:eastAsia="Times New Roman" w:cs="Times New Roman"/>
          <w:b w:val="0"/>
          <w:bCs w:val="0"/>
          <w:snapToGrid w:val="0"/>
          <w:color w:val="231F20"/>
          <w:kern w:val="0"/>
          <w:sz w:val="21"/>
          <w:szCs w:val="21"/>
          <w:lang w:val="en-US" w:eastAsia="en-US" w:bidi="ar-SA"/>
        </w:rPr>
        <w:t xml:space="preserve"> A</w:t>
      </w:r>
      <w:r>
        <w:rPr>
          <w:rFonts w:hint="eastAsia" w:ascii="Times New Roman" w:hAnsi="Times New Roman" w:eastAsia="宋体" w:cs="Times New Roman"/>
          <w:b w:val="0"/>
          <w:bCs w:val="0"/>
          <w:snapToGrid w:val="0"/>
          <w:color w:val="231F20"/>
          <w:kern w:val="0"/>
          <w:sz w:val="21"/>
          <w:szCs w:val="21"/>
          <w:lang w:val="en-US" w:eastAsia="zh-CN" w:bidi="ar-SA"/>
        </w:rPr>
        <w:t>ISAITI</w:t>
      </w:r>
      <w:r>
        <w:rPr>
          <w:rFonts w:hint="eastAsia" w:ascii="Times New Roman" w:hAnsi="Times New Roman" w:eastAsia="Times New Roman" w:cs="Times New Roman"/>
          <w:b w:val="0"/>
          <w:bCs w:val="0"/>
          <w:snapToGrid w:val="0"/>
          <w:color w:val="231F20"/>
          <w:kern w:val="0"/>
          <w:sz w:val="21"/>
          <w:szCs w:val="21"/>
          <w:lang w:val="en-US" w:eastAsia="en-US" w:bidi="ar-SA"/>
        </w:rPr>
        <w:t>¹, QU Yanli</w:t>
      </w:r>
      <w:r>
        <w:rPr>
          <w:rFonts w:hint="eastAsia" w:ascii="Times New Roman" w:hAnsi="Times New Roman" w:eastAsia="宋体" w:cs="Times New Roman"/>
          <w:b w:val="0"/>
          <w:bCs w:val="0"/>
          <w:snapToGrid w:val="0"/>
          <w:color w:val="231F20"/>
          <w:kern w:val="0"/>
          <w:sz w:val="21"/>
          <w:szCs w:val="21"/>
          <w:vertAlign w:val="superscript"/>
          <w:lang w:val="en-US" w:eastAsia="zh-CN" w:bidi="ar-SA"/>
        </w:rPr>
        <w:t>2</w:t>
      </w:r>
      <w:r>
        <w:rPr>
          <w:rFonts w:hint="eastAsia" w:ascii="Times New Roman" w:hAnsi="Times New Roman" w:eastAsia="Times New Roman" w:cs="Times New Roman"/>
          <w:b w:val="0"/>
          <w:bCs w:val="0"/>
          <w:snapToGrid w:val="0"/>
          <w:color w:val="231F20"/>
          <w:kern w:val="0"/>
          <w:sz w:val="21"/>
          <w:szCs w:val="21"/>
          <w:lang w:val="en-US" w:eastAsia="en-US" w:bidi="ar-SA"/>
        </w:rPr>
        <w:t>*</w:t>
      </w:r>
    </w:p>
    <w:p w14:paraId="207959AE">
      <w:pPr>
        <w:numPr>
          <w:ilvl w:val="0"/>
          <w:numId w:val="3"/>
        </w:numPr>
        <w:kinsoku w:val="0"/>
        <w:autoSpaceDE w:val="0"/>
        <w:autoSpaceDN w:val="0"/>
        <w:adjustRightInd w:val="0"/>
        <w:snapToGrid w:val="0"/>
        <w:spacing w:before="58" w:line="282" w:lineRule="auto"/>
        <w:ind w:left="27" w:leftChars="0" w:right="71" w:rightChars="0"/>
        <w:jc w:val="left"/>
        <w:textAlignment w:val="baseline"/>
        <w:rPr>
          <w:rFonts w:hint="eastAsia" w:ascii="Times New Roman" w:hAnsi="Times New Roman" w:eastAsia="宋体" w:cs="Times New Roman"/>
          <w:b w:val="0"/>
          <w:bCs w:val="0"/>
          <w:snapToGrid w:val="0"/>
          <w:color w:val="231F20"/>
          <w:kern w:val="0"/>
          <w:sz w:val="21"/>
          <w:szCs w:val="21"/>
          <w:lang w:val="en-US" w:eastAsia="zh-CN" w:bidi="ar-SA"/>
        </w:rPr>
      </w:pPr>
      <w:r>
        <w:rPr>
          <w:rFonts w:hint="eastAsia" w:ascii="Times New Roman" w:hAnsi="Times New Roman" w:eastAsia="宋体" w:cs="Times New Roman"/>
          <w:b w:val="0"/>
          <w:bCs w:val="0"/>
          <w:snapToGrid w:val="0"/>
          <w:color w:val="231F20"/>
          <w:kern w:val="0"/>
          <w:sz w:val="21"/>
          <w:szCs w:val="21"/>
          <w:lang w:val="en-US" w:eastAsia="zh-CN" w:bidi="ar-SA"/>
        </w:rPr>
        <w:t>The 3rd Affiliated Teaching Hospital of Xinjiang Medical University (Affiliated Cancer Hospital)</w:t>
      </w:r>
      <w:r>
        <w:rPr>
          <w:rFonts w:hint="eastAsia" w:ascii="Times New Roman" w:hAnsi="Times New Roman" w:eastAsia="Times New Roman" w:cs="Times New Roman"/>
          <w:b w:val="0"/>
          <w:bCs w:val="0"/>
          <w:snapToGrid w:val="0"/>
          <w:color w:val="231F20"/>
          <w:kern w:val="0"/>
          <w:sz w:val="21"/>
          <w:szCs w:val="21"/>
          <w:lang w:val="en-US" w:eastAsia="en-US" w:bidi="ar-SA"/>
        </w:rPr>
        <w:t>, Urumqi 830000, China</w:t>
      </w:r>
      <w:r>
        <w:rPr>
          <w:rFonts w:hint="eastAsia" w:ascii="Times New Roman" w:hAnsi="Times New Roman" w:eastAsia="宋体" w:cs="Times New Roman"/>
          <w:b w:val="0"/>
          <w:bCs w:val="0"/>
          <w:snapToGrid w:val="0"/>
          <w:color w:val="231F20"/>
          <w:kern w:val="0"/>
          <w:sz w:val="21"/>
          <w:szCs w:val="21"/>
          <w:lang w:val="en-US" w:eastAsia="zh-CN" w:bidi="ar-SA"/>
        </w:rPr>
        <w:t xml:space="preserve">; 2. The Affiliated Cancer Hospital of Xinjiang Medical University, Urumqi 830000, China; </w:t>
      </w:r>
      <w:r>
        <w:rPr>
          <w:rFonts w:hint="eastAsia" w:ascii="Times New Roman" w:hAnsi="Times New Roman" w:eastAsia="Times New Roman" w:cs="Times New Roman"/>
          <w:b w:val="0"/>
          <w:bCs w:val="0"/>
          <w:snapToGrid w:val="0"/>
          <w:color w:val="231F20"/>
          <w:kern w:val="0"/>
          <w:sz w:val="21"/>
          <w:szCs w:val="21"/>
          <w:lang w:val="en-US" w:eastAsia="en-US" w:bidi="ar-SA"/>
        </w:rPr>
        <w:t>*Corresponding author</w:t>
      </w:r>
      <w:r>
        <w:rPr>
          <w:rFonts w:hint="eastAsia" w:ascii="Times New Roman" w:hAnsi="Times New Roman" w:eastAsia="宋体" w:cs="Times New Roman"/>
          <w:b w:val="0"/>
          <w:bCs w:val="0"/>
          <w:snapToGrid w:val="0"/>
          <w:color w:val="231F20"/>
          <w:kern w:val="0"/>
          <w:sz w:val="21"/>
          <w:szCs w:val="21"/>
          <w:lang w:val="en-US" w:eastAsia="zh-CN" w:bidi="ar-SA"/>
        </w:rPr>
        <w:t>)</w:t>
      </w:r>
    </w:p>
    <w:p w14:paraId="5E53B4F7">
      <w:pPr>
        <w:kinsoku w:val="0"/>
        <w:autoSpaceDE w:val="0"/>
        <w:autoSpaceDN w:val="0"/>
        <w:adjustRightInd w:val="0"/>
        <w:snapToGrid w:val="0"/>
        <w:spacing w:before="102" w:line="342" w:lineRule="auto"/>
        <w:ind w:left="20" w:right="66" w:firstLine="9"/>
        <w:jc w:val="left"/>
        <w:textAlignment w:val="baseline"/>
        <w:rPr>
          <w:rFonts w:hint="eastAsia" w:ascii="Times New Roman" w:hAnsi="Times New Roman" w:eastAsia="宋体" w:cs="宋体"/>
          <w:snapToGrid w:val="0"/>
          <w:color w:val="FF0000"/>
          <w:spacing w:val="2"/>
          <w:kern w:val="0"/>
          <w:sz w:val="21"/>
          <w:szCs w:val="21"/>
          <w:lang w:val="en-US" w:eastAsia="en-US" w:bidi="ar-SA"/>
        </w:rPr>
      </w:pPr>
      <w:r>
        <w:rPr>
          <w:rFonts w:ascii="Times New Roman" w:hAnsi="Times New Roman" w:eastAsia="宋体" w:cs="宋体"/>
          <w:b w:val="0"/>
          <w:bCs w:val="0"/>
          <w:snapToGrid w:val="0"/>
          <w:color w:val="231F20"/>
          <w:spacing w:val="2"/>
          <w:kern w:val="0"/>
          <w:sz w:val="21"/>
          <w:szCs w:val="21"/>
          <w:lang w:val="en-US" w:eastAsia="en-US" w:bidi="ar-SA"/>
        </w:rPr>
        <w:t>［</w:t>
      </w:r>
      <w:r>
        <w:rPr>
          <w:rFonts w:ascii="Times New Roman" w:hAnsi="Times New Roman" w:eastAsia="Times New Roman" w:cs="Times New Roman"/>
          <w:b w:val="0"/>
          <w:bCs w:val="0"/>
          <w:snapToGrid w:val="0"/>
          <w:color w:val="231F20"/>
          <w:spacing w:val="2"/>
          <w:kern w:val="0"/>
          <w:sz w:val="21"/>
          <w:szCs w:val="21"/>
          <w:lang w:val="en-US" w:eastAsia="en-US" w:bidi="ar-SA"/>
        </w:rPr>
        <w:t>Abstract</w:t>
      </w:r>
      <w:r>
        <w:rPr>
          <w:rFonts w:ascii="Times New Roman" w:hAnsi="Times New Roman" w:eastAsia="宋体" w:cs="宋体"/>
          <w:b w:val="0"/>
          <w:bCs w:val="0"/>
          <w:snapToGrid w:val="0"/>
          <w:color w:val="231F20"/>
          <w:spacing w:val="2"/>
          <w:kern w:val="0"/>
          <w:sz w:val="21"/>
          <w:szCs w:val="21"/>
          <w:lang w:val="en-US" w:eastAsia="en-US" w:bidi="ar-SA"/>
        </w:rPr>
        <w:t>］</w:t>
      </w:r>
      <w:r>
        <w:rPr>
          <w:rFonts w:hint="eastAsia" w:ascii="Times New Roman" w:hAnsi="Times New Roman" w:eastAsia="宋体" w:cs="宋体"/>
          <w:snapToGrid w:val="0"/>
          <w:color w:val="FF0000"/>
          <w:spacing w:val="2"/>
          <w:kern w:val="0"/>
          <w:sz w:val="21"/>
          <w:szCs w:val="21"/>
          <w:lang w:val="en-US" w:eastAsia="en-US" w:bidi="ar-SA"/>
        </w:rPr>
        <w:t>The perioperative treatment strategy for locally advanced resectable esophageal cancer continues to be explored and optimized.</w:t>
      </w:r>
      <w:r>
        <w:rPr>
          <w:rFonts w:hint="eastAsia" w:ascii="Times New Roman" w:hAnsi="Times New Roman" w:eastAsia="宋体" w:cs="宋体"/>
          <w:snapToGrid w:val="0"/>
          <w:color w:val="FF0000"/>
          <w:spacing w:val="2"/>
          <w:kern w:val="0"/>
          <w:sz w:val="21"/>
          <w:szCs w:val="21"/>
          <w:lang w:val="en-US" w:eastAsia="zh-CN" w:bidi="ar-SA"/>
        </w:rPr>
        <w:t xml:space="preserve"> </w:t>
      </w:r>
      <w:r>
        <w:rPr>
          <w:rFonts w:hint="eastAsia" w:ascii="Times New Roman" w:hAnsi="Times New Roman" w:eastAsia="宋体" w:cs="宋体"/>
          <w:snapToGrid w:val="0"/>
          <w:color w:val="FF0000"/>
          <w:spacing w:val="2"/>
          <w:kern w:val="0"/>
          <w:sz w:val="21"/>
          <w:szCs w:val="21"/>
          <w:lang w:val="en-US" w:eastAsia="en-US" w:bidi="ar-SA"/>
        </w:rPr>
        <w:t>The potential for further improvement in efficacy with conventional neoadjuvant chemoradiotherapy or neoadjuvant chemotherapy remains limited, and treatment-related toxicities have constrained further regimen refinement.</w:t>
      </w:r>
      <w:r>
        <w:rPr>
          <w:rFonts w:hint="eastAsia" w:ascii="Times New Roman" w:hAnsi="Times New Roman" w:eastAsia="宋体" w:cs="宋体"/>
          <w:snapToGrid w:val="0"/>
          <w:color w:val="FF0000"/>
          <w:spacing w:val="2"/>
          <w:kern w:val="0"/>
          <w:sz w:val="21"/>
          <w:szCs w:val="21"/>
          <w:lang w:val="en-US" w:eastAsia="zh-CN" w:bidi="ar-SA"/>
        </w:rPr>
        <w:t xml:space="preserve"> </w:t>
      </w:r>
      <w:r>
        <w:rPr>
          <w:rFonts w:hint="eastAsia" w:ascii="Times New Roman" w:hAnsi="Times New Roman" w:eastAsia="宋体" w:cs="宋体"/>
          <w:snapToGrid w:val="0"/>
          <w:color w:val="FF0000"/>
          <w:spacing w:val="2"/>
          <w:kern w:val="0"/>
          <w:sz w:val="21"/>
          <w:szCs w:val="21"/>
          <w:lang w:val="en-US" w:eastAsia="en-US" w:bidi="ar-SA"/>
        </w:rPr>
        <w:t>Neoadjuvant immunotherapy combined with chemotherapy has demonstrated high pathological response rates and manageable perioperative safety profiles in multiple clinical studies;</w:t>
      </w:r>
      <w:r>
        <w:rPr>
          <w:rFonts w:hint="eastAsia" w:ascii="Times New Roman" w:hAnsi="Times New Roman" w:eastAsia="宋体" w:cs="宋体"/>
          <w:snapToGrid w:val="0"/>
          <w:color w:val="FF0000"/>
          <w:spacing w:val="2"/>
          <w:kern w:val="0"/>
          <w:sz w:val="21"/>
          <w:szCs w:val="21"/>
          <w:lang w:val="en-US" w:eastAsia="zh-CN" w:bidi="ar-SA"/>
        </w:rPr>
        <w:t xml:space="preserve"> </w:t>
      </w:r>
      <w:r>
        <w:rPr>
          <w:rFonts w:hint="eastAsia" w:ascii="Times New Roman" w:hAnsi="Times New Roman" w:eastAsia="宋体" w:cs="宋体"/>
          <w:snapToGrid w:val="0"/>
          <w:color w:val="FF0000"/>
          <w:spacing w:val="2"/>
          <w:kern w:val="0"/>
          <w:sz w:val="21"/>
          <w:szCs w:val="21"/>
          <w:lang w:val="en-US" w:eastAsia="en-US" w:bidi="ar-SA"/>
        </w:rPr>
        <w:t>however, controversies persist regarding patient selection, regimen construction, and optimization of treatment pathways.</w:t>
      </w:r>
      <w:r>
        <w:rPr>
          <w:rFonts w:hint="eastAsia" w:ascii="Times New Roman" w:hAnsi="Times New Roman" w:eastAsia="宋体" w:cs="宋体"/>
          <w:snapToGrid w:val="0"/>
          <w:color w:val="FF0000"/>
          <w:spacing w:val="2"/>
          <w:kern w:val="0"/>
          <w:sz w:val="21"/>
          <w:szCs w:val="21"/>
          <w:lang w:val="en-US" w:eastAsia="zh-CN" w:bidi="ar-SA"/>
        </w:rPr>
        <w:t xml:space="preserve"> </w:t>
      </w:r>
      <w:r>
        <w:rPr>
          <w:rFonts w:hint="eastAsia" w:ascii="Times New Roman" w:hAnsi="Times New Roman" w:eastAsia="宋体" w:cs="宋体"/>
          <w:snapToGrid w:val="0"/>
          <w:color w:val="FF0000"/>
          <w:spacing w:val="2"/>
          <w:kern w:val="0"/>
          <w:sz w:val="21"/>
          <w:szCs w:val="21"/>
          <w:lang w:val="en-US" w:eastAsia="en-US" w:bidi="ar-SA"/>
        </w:rPr>
        <w:t>This article aims to provide a systematic overview of the current research on neoadjuvant immunotherapy combined with chemotherapy</w:t>
      </w:r>
      <w:r>
        <w:rPr>
          <w:rFonts w:hint="eastAsia" w:ascii="Times New Roman" w:hAnsi="Times New Roman" w:eastAsia="宋体" w:cs="宋体"/>
          <w:snapToGrid w:val="0"/>
          <w:color w:val="FF0000"/>
          <w:spacing w:val="2"/>
          <w:kern w:val="0"/>
          <w:sz w:val="21"/>
          <w:szCs w:val="21"/>
          <w:lang w:val="en-US" w:eastAsia="zh-CN" w:bidi="ar-SA"/>
        </w:rPr>
        <w:t xml:space="preserve">, </w:t>
      </w:r>
      <w:r>
        <w:rPr>
          <w:rFonts w:hint="eastAsia" w:ascii="Times New Roman" w:hAnsi="Times New Roman" w:eastAsia="宋体" w:cs="宋体"/>
          <w:snapToGrid w:val="0"/>
          <w:color w:val="FF0000"/>
          <w:spacing w:val="2"/>
          <w:kern w:val="0"/>
          <w:sz w:val="21"/>
          <w:szCs w:val="21"/>
          <w:lang w:val="en-US" w:eastAsia="en-US" w:bidi="ar-SA"/>
        </w:rPr>
        <w:t>and to delineate and analyze key issues in clinical practice, thereby offering a reference for individualized perioperative decision-making.</w:t>
      </w:r>
    </w:p>
    <w:p w14:paraId="00C767CE">
      <w:pPr>
        <w:kinsoku w:val="0"/>
        <w:autoSpaceDE w:val="0"/>
        <w:autoSpaceDN w:val="0"/>
        <w:adjustRightInd w:val="0"/>
        <w:snapToGrid w:val="0"/>
        <w:spacing w:before="2" w:line="207" w:lineRule="auto"/>
        <w:ind w:left="29"/>
        <w:jc w:val="left"/>
        <w:textAlignment w:val="baseline"/>
        <w:rPr>
          <w:rFonts w:hint="eastAsia" w:ascii="Times New Roman" w:hAnsi="Times New Roman" w:eastAsia="宋体" w:cs="Times New Roman"/>
          <w:snapToGrid w:val="0"/>
          <w:color w:val="231F20"/>
          <w:kern w:val="0"/>
          <w:sz w:val="21"/>
          <w:szCs w:val="21"/>
          <w:lang w:val="en-US" w:eastAsia="zh-CN" w:bidi="ar-SA"/>
        </w:rPr>
      </w:pPr>
      <w:r>
        <w:rPr>
          <w:rFonts w:ascii="Times New Roman" w:hAnsi="Times New Roman" w:eastAsia="宋体" w:cs="宋体"/>
          <w:b w:val="0"/>
          <w:bCs w:val="0"/>
          <w:snapToGrid w:val="0"/>
          <w:color w:val="231F20"/>
          <w:kern w:val="0"/>
          <w:sz w:val="21"/>
          <w:szCs w:val="21"/>
          <w:lang w:val="en-US" w:eastAsia="en-US" w:bidi="ar-SA"/>
        </w:rPr>
        <w:t>［</w:t>
      </w:r>
      <w:r>
        <w:rPr>
          <w:rFonts w:ascii="Times New Roman" w:hAnsi="Times New Roman" w:eastAsia="Times New Roman" w:cs="Times New Roman"/>
          <w:b w:val="0"/>
          <w:bCs w:val="0"/>
          <w:snapToGrid w:val="0"/>
          <w:color w:val="231F20"/>
          <w:kern w:val="0"/>
          <w:sz w:val="21"/>
          <w:szCs w:val="21"/>
          <w:lang w:val="en-US" w:eastAsia="en-US" w:bidi="ar-SA"/>
        </w:rPr>
        <w:t>Key words</w:t>
      </w:r>
      <w:r>
        <w:rPr>
          <w:rFonts w:ascii="Times New Roman" w:hAnsi="Times New Roman" w:eastAsia="宋体" w:cs="宋体"/>
          <w:b w:val="0"/>
          <w:bCs w:val="0"/>
          <w:snapToGrid w:val="0"/>
          <w:color w:val="231F20"/>
          <w:kern w:val="0"/>
          <w:sz w:val="21"/>
          <w:szCs w:val="21"/>
          <w:lang w:val="en-US" w:eastAsia="en-US" w:bidi="ar-SA"/>
        </w:rPr>
        <w:t>］</w:t>
      </w:r>
      <w:r>
        <w:rPr>
          <w:rFonts w:ascii="Times New Roman" w:hAnsi="Times New Roman" w:eastAsia="宋体" w:cs="宋体"/>
          <w:snapToGrid w:val="0"/>
          <w:color w:val="231F20"/>
          <w:spacing w:val="-43"/>
          <w:kern w:val="0"/>
          <w:sz w:val="21"/>
          <w:szCs w:val="21"/>
          <w:lang w:val="en-US" w:eastAsia="en-US" w:bidi="ar-SA"/>
        </w:rPr>
        <w:t xml:space="preserve"> </w:t>
      </w:r>
      <w:r>
        <w:rPr>
          <w:rFonts w:hint="eastAsia" w:ascii="Times New Roman" w:hAnsi="Times New Roman" w:eastAsia="Times New Roman" w:cs="Times New Roman"/>
          <w:snapToGrid w:val="0"/>
          <w:color w:val="231F20"/>
          <w:kern w:val="0"/>
          <w:sz w:val="21"/>
          <w:szCs w:val="21"/>
          <w:lang w:val="en-US" w:eastAsia="en-US" w:bidi="ar-SA"/>
        </w:rPr>
        <w:t xml:space="preserve">Esophageal Neoplasms; </w:t>
      </w:r>
      <w:r>
        <w:rPr>
          <w:rFonts w:hint="eastAsia" w:ascii="Times New Roman" w:hAnsi="Times New Roman" w:eastAsia="宋体" w:cs="Times New Roman"/>
          <w:snapToGrid w:val="0"/>
          <w:color w:val="231F20"/>
          <w:kern w:val="0"/>
          <w:sz w:val="21"/>
          <w:szCs w:val="21"/>
          <w:lang w:val="en-US" w:eastAsia="zh-CN" w:bidi="ar-SA"/>
        </w:rPr>
        <w:t>L</w:t>
      </w:r>
      <w:r>
        <w:rPr>
          <w:rFonts w:hint="eastAsia" w:ascii="Times New Roman" w:hAnsi="Times New Roman" w:eastAsia="Times New Roman" w:cs="Times New Roman"/>
          <w:snapToGrid w:val="0"/>
          <w:color w:val="231F20"/>
          <w:kern w:val="0"/>
          <w:sz w:val="21"/>
          <w:szCs w:val="21"/>
          <w:lang w:val="en-US" w:eastAsia="en-US" w:bidi="ar-SA"/>
        </w:rPr>
        <w:t>ocally advanced</w:t>
      </w:r>
      <w:r>
        <w:rPr>
          <w:rFonts w:hint="eastAsia" w:ascii="Times New Roman" w:hAnsi="Times New Roman" w:eastAsia="宋体" w:cs="Times New Roman"/>
          <w:snapToGrid w:val="0"/>
          <w:color w:val="231F20"/>
          <w:kern w:val="0"/>
          <w:sz w:val="21"/>
          <w:szCs w:val="21"/>
          <w:lang w:val="en-US" w:eastAsia="zh-CN" w:bidi="ar-SA"/>
        </w:rPr>
        <w:t xml:space="preserve">; </w:t>
      </w:r>
      <w:r>
        <w:rPr>
          <w:rFonts w:hint="eastAsia" w:ascii="Times New Roman" w:hAnsi="Times New Roman" w:eastAsia="Times New Roman" w:cs="Times New Roman"/>
          <w:snapToGrid w:val="0"/>
          <w:color w:val="231F20"/>
          <w:kern w:val="0"/>
          <w:sz w:val="21"/>
          <w:szCs w:val="21"/>
          <w:lang w:val="en-US" w:eastAsia="en-US" w:bidi="ar-SA"/>
        </w:rPr>
        <w:t>Neoadjuvant therapy; Immunotherapy</w:t>
      </w:r>
      <w:r>
        <w:rPr>
          <w:rFonts w:hint="eastAsia" w:ascii="Times New Roman" w:hAnsi="Times New Roman" w:eastAsia="宋体" w:cs="Times New Roman"/>
          <w:snapToGrid w:val="0"/>
          <w:color w:val="231F20"/>
          <w:kern w:val="0"/>
          <w:sz w:val="21"/>
          <w:szCs w:val="21"/>
          <w:lang w:val="en-US" w:eastAsia="zh-CN" w:bidi="ar-SA"/>
        </w:rPr>
        <w:t>; Neoadjuvant chemotherapy</w:t>
      </w:r>
    </w:p>
    <w:p w14:paraId="6EF51EC8">
      <w:pPr>
        <w:kinsoku w:val="0"/>
        <w:autoSpaceDE w:val="0"/>
        <w:autoSpaceDN w:val="0"/>
        <w:adjustRightInd w:val="0"/>
        <w:snapToGrid w:val="0"/>
        <w:spacing w:before="2" w:line="207" w:lineRule="auto"/>
        <w:ind w:left="29"/>
        <w:jc w:val="left"/>
        <w:textAlignment w:val="baseline"/>
        <w:rPr>
          <w:rFonts w:hint="default" w:ascii="Times New Roman" w:hAnsi="Times New Roman" w:eastAsia="宋体" w:cs="Times New Roman"/>
          <w:snapToGrid w:val="0"/>
          <w:color w:val="231F20"/>
          <w:kern w:val="0"/>
          <w:sz w:val="21"/>
          <w:szCs w:val="21"/>
          <w:lang w:val="en-US" w:eastAsia="zh-CN" w:bidi="ar-SA"/>
        </w:rPr>
      </w:pPr>
    </w:p>
    <w:p w14:paraId="4C797E1C">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imes New Roman" w:hAnsi="Times New Roman"/>
          <w:sz w:val="21"/>
          <w:szCs w:val="21"/>
          <w:lang w:val="en-US" w:eastAsia="zh-CN"/>
        </w:rPr>
      </w:pPr>
      <w:r>
        <w:rPr>
          <w:rFonts w:hint="eastAsia" w:ascii="Times New Roman" w:hAnsi="Times New Roman"/>
          <w:sz w:val="21"/>
          <w:szCs w:val="21"/>
          <w:lang w:val="en-US" w:eastAsia="zh-CN"/>
        </w:rPr>
        <w:t>食管癌（Esophageal Cancer, EC）是全球常见的消化道恶性肿瘤。GLOBOCAN 2022数据显示，全球每年新发食管癌约51.1万例，死亡约44.5万例，分别占所有恶性肿瘤新发与死亡病例的2.6%和4.6%</w:t>
      </w:r>
      <w:r>
        <w:rPr>
          <w:rFonts w:hint="eastAsia" w:ascii="Times New Roman" w:hAnsi="Times New Roman"/>
          <w:sz w:val="21"/>
          <w:szCs w:val="21"/>
          <w:lang w:val="en-US" w:eastAsia="zh-CN"/>
        </w:rPr>
        <w:fldChar w:fldCharType="begin"/>
      </w:r>
      <w:r>
        <w:rPr>
          <w:rFonts w:hint="eastAsia" w:ascii="Times New Roman" w:hAnsi="Times New Roman"/>
          <w:sz w:val="21"/>
          <w:szCs w:val="21"/>
          <w:lang w:val="en-US" w:eastAsia="zh-CN"/>
        </w:rPr>
        <w:instrText xml:space="preserve"> ADDIN ZOTERO_ITEM CSL_CITATION {"citationID":"lrOaT4yO","properties":{"formattedCitation":"\\super [1]\\nosupersub{}","plainCitation":"[1]","noteIndex":0},"citationItems":[{"id":1459,"uris":["http://zotero.org/users/15831584/items/5M2E5D6K"],"itemData":{"id":1459,"type":"article-journal","abstract":"This article presents global cancer statistics by world region for the year 2022 based on updated estimates from the International Agency for Research on Cancer (IARC). There were close to 20 million...","container-title":"CA: A Cancer Journal for Clinicians","DOI":"10.3322/caac.21834","ISSN":"1542-4863","issue":"3","journalAbbreviation":"Ca. Cancer J. Clin.","language":"en","note":"5年影响因子: 353.0\nJCR分区: Q1\nTLDR: Investments in prevention, including the targeting of key risk factors for cancer (including smoking, overweight and obesity, and infection), could avert millions of future cancer diagnoses and save many lives worldwide, bringing huge economic as well as societal dividends to countries over the forthcoming decades.\n中科院分区升级版: 医学1区\n影响因子: 232.4","page":"229-263","publisher":"American Cancer Society","source":"ums.xjmu.edu.cn","title":"Global cancer statistics 2022: GLOBOCAN estimates of incidence and mortality worldwide for 36 cancers in 185 countries","title-short":"Global cancer statistics 2022","volume":"74","author":[{"family":"Bray","given":"Freddie"},{"family":"Laversanne","given":"Mathieu"},{"family":"Sung","given":"Hyuna"},{"family":"Ferlay","given":"Jacques"},{"family":"Siegel","given":"Rebecca L."},{"family":"Soerjomataram","given":"Isabelle"},{"family":"Jemal","given":"Ahmedin"}],"issued":{"date-parts":[["2024",5,1]]}}}],"schema":"https://github.com/citation-style-language/schema/raw/master/csl-citation.json"} </w:instrText>
      </w:r>
      <w:r>
        <w:rPr>
          <w:rFonts w:hint="eastAsia" w:ascii="Times New Roman" w:hAnsi="Times New Roman"/>
          <w:sz w:val="21"/>
          <w:szCs w:val="21"/>
          <w:lang w:val="en-US" w:eastAsia="zh-CN"/>
        </w:rPr>
        <w:fldChar w:fldCharType="separate"/>
      </w:r>
      <w:r>
        <w:rPr>
          <w:rFonts w:hint="default" w:ascii="Times New Roman" w:hAnsi="Times New Roman" w:cs="Times New Roman"/>
          <w:sz w:val="21"/>
          <w:szCs w:val="24"/>
          <w:vertAlign w:val="superscript"/>
        </w:rPr>
        <w:t>[1]</w:t>
      </w:r>
      <w:r>
        <w:rPr>
          <w:rFonts w:hint="eastAsia" w:ascii="Times New Roman" w:hAnsi="Times New Roman"/>
          <w:sz w:val="21"/>
          <w:szCs w:val="21"/>
          <w:lang w:val="en-US" w:eastAsia="zh-CN"/>
        </w:rPr>
        <w:fldChar w:fldCharType="end"/>
      </w:r>
      <w:r>
        <w:rPr>
          <w:rFonts w:hint="eastAsia" w:ascii="Times New Roman" w:hAnsi="Times New Roman"/>
          <w:sz w:val="21"/>
          <w:szCs w:val="21"/>
          <w:lang w:val="en-US" w:eastAsia="zh-CN"/>
        </w:rPr>
        <w:t>。中国作为食管癌高发地区，承担了全球超过40%的病例负担，2022年全国新发22.4万例，死亡约18.8万例，发病率和死亡率分别位居国内恶性肿瘤的第七位和第五位</w:t>
      </w:r>
      <w:r>
        <w:rPr>
          <w:rFonts w:hint="eastAsia" w:ascii="Times New Roman" w:hAnsi="Times New Roman"/>
          <w:sz w:val="21"/>
          <w:szCs w:val="21"/>
          <w:lang w:val="en-US" w:eastAsia="zh-CN"/>
        </w:rPr>
        <w:fldChar w:fldCharType="begin"/>
      </w:r>
      <w:r>
        <w:rPr>
          <w:rFonts w:hint="eastAsia" w:ascii="Times New Roman" w:hAnsi="Times New Roman"/>
          <w:sz w:val="21"/>
          <w:szCs w:val="21"/>
          <w:lang w:val="en-US" w:eastAsia="zh-CN"/>
        </w:rPr>
        <w:instrText xml:space="preserve"> ADDIN ZOTERO_ITEM CSL_CITATION {"citationID":"cIU48Ps8","properties":{"formattedCitation":"\\super [1,2]\\nosupersub{}","plainCitation":"[1,2]","noteIndex":0},"citationItems":[{"id":1459,"uris":["http://zotero.org/users/15831584/items/5M2E5D6K"],"itemData":{"id":1459,"type":"article-journal","abstract":"This article presents global cancer statistics by world region for the year 2022 based on updated estimates from the International Agency for Research on Cancer (IARC). There were close to 20 million...","container-title":"CA: A Cancer Journal for Clinicians","DOI":"10.3322/caac.21834","ISSN":"1542-4863","issue":"3","journalAbbreviation":"Ca. Cancer J. Clin.","language":"en","note":"5年影响因子: 353.0\nJCR分区: Q1\nTLDR: Investments in prevention, including the targeting of key risk factors for cancer (including smoking, overweight and obesity, and infection), could avert millions of future cancer diagnoses and save many lives worldwide, bringing huge economic as well as societal dividends to countries over the forthcoming decades.\n中科院分区升级版: 医学1区\n影响因子: 232.4","page":"229-263","publisher":"American Cancer Society","source":"ums.xjmu.edu.cn","title":"Global cancer statistics 2022: GLOBOCAN estimates of incidence and mortality worldwide for 36 cancers in 185 countries","title-short":"Global cancer statistics 2022","volume":"74","author":[{"family":"Bray","given":"Freddie"},{"family":"Laversanne","given":"Mathieu"},{"family":"Sung","given":"Hyuna"},{"family":"Ferlay","given":"Jacques"},{"family":"Siegel","given":"Rebecca L."},{"family":"Soerjomataram","given":"Isabelle"},{"family":"Jemal","given":"Ahmedin"}],"issued":{"date-parts":[["2024",5,1]]}}},{"id":1360,"uris":["http://zotero.org/users/15831584/items/PF85YC4B"],"itemData":{"id":1360,"type":"article-journal","abstract":"The National Cancer Center (NCC) of China regularly reports the nationwide statistics on cancer incidence and mortality in China. The International Agency for Research on Cancer (IARC) calculates and publishes the cancer burden of countries around ...","container-title":"Journal of the National Cancer Center","DOI":"10.1016/j.jncc.2024.01.006","issue":"1","journalAbbreviation":"J. Natl. Cancer Cent.","language":"en","note":"5年影响因子: 8.0\nTLDR: Sustained implementation of prevention and control measures has resulted in significant reductions in the incidence and mortality rates of certain historically high incidence cancers, such as esophageal, stomach and liver cancers in China, with a cancer profile that reflects the coexistence of developed and developing regions.\n中科院分区升级版: 医学3区\n影响因子: 9.4\n中国科技核心期刊: 是","page":"47-54","PMID":"39036382","source":"ums.xjmu.edu.cn","title":"Cancer incidence and mortality in China, 2022","volume":"4","author":[{"family":"Han","given":"Bingfeng"},{"family":"Zheng","given":"Rongshou"},{"family":"Zeng","given":"Hongmei"},{"family":"Wang","given":"Shaoming"},{"family":"Sun","given":"Kexin"},{"family":"Chen","given":"Ru"},{"family":"Li","given":"Li"},{"family":"Wei","given":"Wenqiang"},{"family":"He","given":"Jie"}],"issued":{"date-parts":[["2024",2,2]]}}}],"schema":"https://github.com/citation-style-language/schema/raw/master/csl-citation.json"} </w:instrText>
      </w:r>
      <w:r>
        <w:rPr>
          <w:rFonts w:hint="eastAsia" w:ascii="Times New Roman" w:hAnsi="Times New Roman"/>
          <w:sz w:val="21"/>
          <w:szCs w:val="21"/>
          <w:lang w:val="en-US" w:eastAsia="zh-CN"/>
        </w:rPr>
        <w:fldChar w:fldCharType="separate"/>
      </w:r>
      <w:r>
        <w:rPr>
          <w:rFonts w:hint="default" w:ascii="Times New Roman" w:hAnsi="Times New Roman" w:cs="Times New Roman"/>
          <w:sz w:val="21"/>
          <w:szCs w:val="24"/>
          <w:vertAlign w:val="superscript"/>
        </w:rPr>
        <w:t>[1,2]</w:t>
      </w:r>
      <w:r>
        <w:rPr>
          <w:rFonts w:hint="eastAsia" w:ascii="Times New Roman" w:hAnsi="Times New Roman"/>
          <w:sz w:val="21"/>
          <w:szCs w:val="21"/>
          <w:lang w:val="en-US" w:eastAsia="zh-CN"/>
        </w:rPr>
        <w:fldChar w:fldCharType="end"/>
      </w:r>
      <w:r>
        <w:rPr>
          <w:rFonts w:hint="eastAsia" w:ascii="Times New Roman" w:hAnsi="Times New Roman"/>
          <w:sz w:val="21"/>
          <w:szCs w:val="21"/>
          <w:lang w:val="en-US" w:eastAsia="zh-CN"/>
        </w:rPr>
        <w:t>。尽管随着公共卫生干预和早期筛查的推进，年龄标准化发病率近年来有所下降，但粗发病率仍呈上升趋势，且男性及老年人群的疾病负担尤为沉重</w:t>
      </w:r>
      <w:r>
        <w:rPr>
          <w:rFonts w:hint="eastAsia" w:ascii="Times New Roman" w:hAnsi="Times New Roman"/>
          <w:sz w:val="21"/>
          <w:szCs w:val="21"/>
          <w:lang w:val="en-US" w:eastAsia="zh-CN"/>
        </w:rPr>
        <w:fldChar w:fldCharType="begin"/>
      </w:r>
      <w:r>
        <w:rPr>
          <w:rFonts w:hint="eastAsia" w:ascii="Times New Roman" w:hAnsi="Times New Roman"/>
          <w:sz w:val="21"/>
          <w:szCs w:val="21"/>
          <w:lang w:val="en-US" w:eastAsia="zh-CN"/>
        </w:rPr>
        <w:instrText xml:space="preserve"> ADDIN ZOTERO_ITEM CSL_CITATION {"citationID":"qntueVZ7","properties":{"formattedCitation":"\\super [3]\\nosupersub{}","plainCitation":"[3]","noteIndex":0},"citationItems":[{"id":1472,"uris":["http://zotero.org/users/15831584/items/X6JXHR5A"],"itemData":{"id":1472,"type":"article-journal","abstract":"目的 分析2001—2021年我国食道癌疾病负担的时空演变特征，为优化公共卫生干预策略提供科学依据。方法 研究数据源自全球疾病负担（GBD 2021）数据库，提取2001—2021年中国食道癌的发病率、患病率、死亡率、伤残调整寿命年（DALY）率及过早死亡损失寿命年（YLL）率等指标。采用Joinpoint回归模型，结合GBD世界标准人口标化处理，分析不同性别、年龄组食道癌疾病负担的长期变化趋势，计算平均年度变化百分比（AAPC）及95%可信区间（CI），运用Excel 2019进行数据整理与描述性统计。结果 2021年我国食道癌发病率、患病率、死亡率分别为22.55/10万、38.37/10万、20.26/10万，较2001年分别上升13.49%、23.41%、1.30%;DALY率和YLL率分别为450.14/10万、436.29/10万，较2001年下降18.01%和16.10%。性别差异显著，男性标化发病率、标化患病率、标化死亡率、标化DALY率及标化YLL率均高于女性，2021年男性标化发病率（34.29/10万）和标化死亡率（31.06/10万）分别为女性的3.3倍和3.5倍。疾病负担随年龄增长呈指数级上升，70～74岁年龄段发病率、患病率及DALY率均达峰值，男性显著高于女性。标化率趋势分析显示，2001—2021年标化发病率、标化患病率、标化死亡率及标化DALY率的AAPC值分别为-2.03%、-1.42%、-2.57%、-2.84%(P&amp;lt;0.05)，均呈下降趋势。结论 近20年我国食道癌标化疾病负担呈下降趋势，但粗率仍呈上升趋势，且男性与高龄人群负担尤为突出。在人口老龄化加速背景下，需针对高危群体强化早期筛查与行为干预，优化资源配置以应对防控挑战。","container-title":"中国循证医学杂志","ISSN":"1672-2531","issue":"9","journalAbbreviation":"中国循证医学杂志","language":"zh","note":"original-container-title: Chinese Journal of Evidence-Based Medicine\nAIF: 1.876\nalbum: 医药卫生科技\nCIF: 2.63\nCLC: R735.1\nCNKICite: (\nCSCD: 核心库\ndbcode: CJFQ\ndbname: CJFDLAST2025\ndownload: 95\nfilename: ZZXZ202509004\nfoundation: 甘肃省自然科学基金（编号：24JRRA1201）； 民生科技专项社会发展课题（编号：2021-004-SF0-0079）； 兰州市健康与保健产业研究项目（编号：A2024010）；\npublicationTag: 北大核心, JST, CSCD, WJCI, 卓越期刊\n中国科技核心期刊: 是\n中文核心期刊/北大核心: 是\n复合影响因子: 2.63\n综合影响因子: 1.876","page":"1012-1019","source":"CNKI","title":"2001—2021年中国食道癌的疾病负担及趋势","volume":"25","author":[{"literal":"刘倩"},{"literal":"刘娜"},{"literal":"丁姿源"},{"literal":"马建锋"},{"literal":"王永峰"},{"literal":"李胜"}],"issued":{"date-parts":[["2025"]]}}}],"schema":"https://github.com/citation-style-language/schema/raw/master/csl-citation.json"} </w:instrText>
      </w:r>
      <w:r>
        <w:rPr>
          <w:rFonts w:hint="eastAsia" w:ascii="Times New Roman" w:hAnsi="Times New Roman"/>
          <w:sz w:val="21"/>
          <w:szCs w:val="21"/>
          <w:lang w:val="en-US" w:eastAsia="zh-CN"/>
        </w:rPr>
        <w:fldChar w:fldCharType="separate"/>
      </w:r>
      <w:r>
        <w:rPr>
          <w:rFonts w:hint="default" w:ascii="Times New Roman" w:hAnsi="Times New Roman" w:cs="Times New Roman"/>
          <w:sz w:val="21"/>
          <w:szCs w:val="24"/>
          <w:vertAlign w:val="superscript"/>
        </w:rPr>
        <w:t>[3]</w:t>
      </w:r>
      <w:r>
        <w:rPr>
          <w:rFonts w:hint="eastAsia" w:ascii="Times New Roman" w:hAnsi="Times New Roman"/>
          <w:sz w:val="21"/>
          <w:szCs w:val="21"/>
          <w:lang w:val="en-US" w:eastAsia="zh-CN"/>
        </w:rPr>
        <w:fldChar w:fldCharType="end"/>
      </w:r>
      <w:r>
        <w:rPr>
          <w:rFonts w:hint="eastAsia" w:ascii="Times New Roman" w:hAnsi="Times New Roman"/>
          <w:sz w:val="21"/>
          <w:szCs w:val="21"/>
          <w:lang w:val="en-US" w:eastAsia="zh-CN"/>
        </w:rPr>
        <w:t>。</w:t>
      </w:r>
    </w:p>
    <w:p w14:paraId="2DB462D9">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imes New Roman" w:hAnsi="Times New Roman"/>
          <w:sz w:val="21"/>
          <w:szCs w:val="21"/>
          <w:lang w:val="en-US" w:eastAsia="zh-CN"/>
        </w:rPr>
      </w:pPr>
      <w:r>
        <w:rPr>
          <w:rFonts w:hint="eastAsia" w:ascii="Times New Roman" w:hAnsi="Times New Roman"/>
          <w:sz w:val="21"/>
          <w:szCs w:val="21"/>
          <w:lang w:val="en-US" w:eastAsia="zh-CN"/>
        </w:rPr>
        <w:t>多数食管癌患者初诊时已处于局部进展或晚期阶段，总体预后较差</w:t>
      </w:r>
      <w:r>
        <w:rPr>
          <w:rFonts w:hint="eastAsia" w:ascii="Times New Roman" w:hAnsi="Times New Roman"/>
          <w:sz w:val="21"/>
          <w:szCs w:val="21"/>
          <w:lang w:val="en-US" w:eastAsia="zh-CN"/>
        </w:rPr>
        <w:fldChar w:fldCharType="begin"/>
      </w:r>
      <w:r>
        <w:rPr>
          <w:rFonts w:hint="eastAsia" w:ascii="Times New Roman" w:hAnsi="Times New Roman"/>
          <w:sz w:val="21"/>
          <w:szCs w:val="21"/>
          <w:lang w:val="en-US" w:eastAsia="zh-CN"/>
        </w:rPr>
        <w:instrText xml:space="preserve"> ADDIN ZOTERO_ITEM CSL_CITATION {"citationID":"M81pWtGY","properties":{"formattedCitation":"\\super [4]\\nosupersub{}","plainCitation":"[4]","noteIndex":0},"citationItems":[{"id":1475,"uris":["http://zotero.org/users/15831584/items/X66HC534"],"itemData":{"id":1475,"type":"article-journal","abstract":"Esophageal cancer is the seventh most common malignancy worldwide, with over 470 000 new cases diagnosed each year. Two distinct histological subtypes predominate, and should be considered biologically separate disease entities.1 These subtypes are esophageal adenocarcinoma (EAC) and esophageal squamous cell carcinoma (ESCC). Outcomes remain poor regardless of subtype, with most patients presenting with late stage disease.2 Novel strategies to improve early detection of the respective precursor lesions, squamous dysplasia, and Barrett's esophagus offer the potential to improve outcomes. The introduction of a limited number of biologic agents, as well as immune checkpoint inhibitors, is resulting in improvements in the systemic treatment of locally advanced and metastatic esophageal cancer. These developments, coupled with improvements in minimally invasive surgical and endoscopic treatment approaches, as well as adaptive and precision radiotherapy technologies, offer the potential to improve outcomes still further. This review summarizes the latest advances in the diagnosis and management of esophageal cancer, and the developments in understanding of the biology of this disease.","container-title":"BMJ (clinical Research Ed.)","DOI":"10.1136/bmj-2023-074962","ISSN":"1756-1833","journalAbbreviation":"BMJ (clin. Res. Ed,)","language":"en","note":"5年影响因子: 76.2\nJCR分区: Q1\nTLDR: The introduction of a limited number of biologic agents, as well as immune checkpoint inhibitors, is resulting in improvements in the systemic treatment of locally advanced and metastatic esophageal cancer, and developments in understanding of the biology of this disease are summarized.\n中科院分区升级版: 医学1区\n影响因子: 43.0","page":"e074962","PMID":"38830686","source":"PubMed","title":"Advances in diagnosis and management of cancer of the esophagus","volume":"385","author":[{"family":"Deboever","given":"Nathaniel"},{"family":"Jones","given":"Christopher M."},{"family":"Yamashita","given":"Kohei"},{"family":"Ajani","given":"Jaffer A."},{"family":"Hofstetter","given":"Wayne L."}],"issued":{"date-parts":[["2024",6,3]]}}}],"schema":"https://github.com/citation-style-language/schema/raw/master/csl-citation.json"} </w:instrText>
      </w:r>
      <w:r>
        <w:rPr>
          <w:rFonts w:hint="eastAsia" w:ascii="Times New Roman" w:hAnsi="Times New Roman"/>
          <w:sz w:val="21"/>
          <w:szCs w:val="21"/>
          <w:lang w:val="en-US" w:eastAsia="zh-CN"/>
        </w:rPr>
        <w:fldChar w:fldCharType="separate"/>
      </w:r>
      <w:r>
        <w:rPr>
          <w:rFonts w:hint="default" w:ascii="Times New Roman" w:hAnsi="Times New Roman" w:cs="Times New Roman"/>
          <w:sz w:val="21"/>
          <w:szCs w:val="24"/>
          <w:vertAlign w:val="superscript"/>
        </w:rPr>
        <w:t>[4]</w:t>
      </w:r>
      <w:r>
        <w:rPr>
          <w:rFonts w:hint="eastAsia" w:ascii="Times New Roman" w:hAnsi="Times New Roman"/>
          <w:sz w:val="21"/>
          <w:szCs w:val="21"/>
          <w:lang w:val="en-US" w:eastAsia="zh-CN"/>
        </w:rPr>
        <w:fldChar w:fldCharType="end"/>
      </w:r>
      <w:r>
        <w:rPr>
          <w:rFonts w:hint="eastAsia" w:ascii="Times New Roman" w:hAnsi="Times New Roman"/>
          <w:sz w:val="21"/>
          <w:szCs w:val="21"/>
          <w:lang w:val="en-US" w:eastAsia="zh-CN"/>
        </w:rPr>
        <w:t>。对于可切除的局部晚期病例，单纯手术疗效有限，术后复发转移风险较高，长期生存率偏低</w:t>
      </w:r>
      <w:r>
        <w:rPr>
          <w:rFonts w:hint="eastAsia" w:ascii="Times New Roman" w:hAnsi="Times New Roman"/>
          <w:sz w:val="21"/>
          <w:szCs w:val="21"/>
          <w:lang w:val="en-US" w:eastAsia="zh-CN"/>
        </w:rPr>
        <w:fldChar w:fldCharType="begin"/>
      </w:r>
      <w:r>
        <w:rPr>
          <w:rFonts w:hint="eastAsia" w:ascii="Times New Roman" w:hAnsi="Times New Roman"/>
          <w:sz w:val="21"/>
          <w:szCs w:val="21"/>
          <w:lang w:val="en-US" w:eastAsia="zh-CN"/>
        </w:rPr>
        <w:instrText xml:space="preserve"> ADDIN ZOTERO_ITEM CSL_CITATION {"citationID":"OhrDQawJ","properties":{"formattedCitation":"\\super [5]\\nosupersub{}","plainCitation":"[5]","noteIndex":0},"citationItems":[{"id":1473,"uris":["http://zotero.org/users/15831584/items/HCN6E2XD"],"itemData":{"id":1473,"type":"article-journal","abstract":"Abstract\n            \n              Purpose\n              The best pattern of neoadjuvant therapy for resectable locoregional esophageal cancer has not been determined. Our study evaluated the efficacy and postoperative events of different treatments using the Bayesian network meta‐analysis.\n            \n            \n              Methods\n              We systematically tracked randomized clinical trials from the Medline, EMBASE, and Cochrane Library databases. The following treatments were included: neoadjuvant chemoradiation followed by surgery (NCRT + S), neoadjuvant chemotherapy followed by surgery (NCT + S), neoadjuvant radiotherapy followed by surgery (NRT + S), and surgery alone (S). The Revised Cochrane risk‐of‐bias tools were used to assess the quality of included trials. Overall survival (OS) and progression‐free survival or disease‐free survival (PFS/DFS) were assessed through hazard ratios (HR). Locoregional recurrence, distant metastasis, postoperative mortality, and postoperative morbidity were assessed through odds ratios (OR). These outcomes were compared between different treatments through Bayesian network meta‐analysis.\n            \n            \n              Results\n              Twenty trials with 4384 patients were included. Compared with S, only NCRT + S could significantly improve OS for patients with esophageal cancer (HR = 0.78, 95% confidence interval [CI] 0.68–0.88). NCRT + S and NCT + S significantly improved PFS/DFS compared with S (NCRT + S vs. S, HR = 0.72, 95% CI 0.63–0.81; NCT + S vs. S, HR = 0.81, 95% CI 0.69–0.97). NCRT + S significantly reduced both locoregional recurrence (OR = 0.67, 95% CI 0.51–0.88) and distant metastasis (OR = 0.63, 95% CI 0.45–0.90) compared with S. There were no differences in postoperative morbidity between the four treatments. However, NCRT + S also increased postoperative mortality compared with S (OR = 1.77, 95% CI 1.09–2.82) and NCT + S (OR = 1.96, 95% CI 1.11–3.51).\n            \n            \n              Conclusion\n              NCRT + S is the most efficient neoadjuvant treatment for resectable locoregional esophageal cancer. However, NCRT + S increases the risk of postoperative mortality but not morbidity.","container-title":"Thoracic Cancer","DOI":"10.1111/1759-7714.14588","ISSN":"1759-7706, 1759-7714","issue":"17","journalAbbreviation":"Thorac. Cancer","language":"en","note":"5年影响因子: 2.7\nJCR分区: Q2\nTLDR: The best pattern of neoadjuvant therapy for resectable locoregional esophageal cancer has not been determined and the efficacy and postoperative events of different treatments using the Bayesian network meta‐analysis is evaluated.\n中科院分区升级版: 医学4区\n南农高质量: C\n影响因子: 2.3","page":"2515-2523","PMID":"35891585","PMCID":"PMC9436699","source":"PubMed","title":"Comparison of different neoadjuvant treatments for resectable locoregional esophageal cancer: a systematic review and network meta-analysis","title-short":"Comparison of different neoadjuvant treatments for resectable locoregional esophageal cancer","volume":"13","author":[{"family":"Bao","given":"Yongxing"},{"family":"Ma","given":"Zeliang"},{"family":"Yuan","given":"Meng"},{"family":"Wang","given":"Yang"},{"family":"Men","given":"Yu"},{"family":"Hui","given":"Zhouguang"}],"issued":{"date-parts":[["2022",9]]}}}],"schema":"https://github.com/citation-style-language/schema/raw/master/csl-citation.json"} </w:instrText>
      </w:r>
      <w:r>
        <w:rPr>
          <w:rFonts w:hint="eastAsia" w:ascii="Times New Roman" w:hAnsi="Times New Roman"/>
          <w:sz w:val="21"/>
          <w:szCs w:val="21"/>
          <w:lang w:val="en-US" w:eastAsia="zh-CN"/>
        </w:rPr>
        <w:fldChar w:fldCharType="separate"/>
      </w:r>
      <w:r>
        <w:rPr>
          <w:rFonts w:hint="default" w:ascii="Times New Roman" w:hAnsi="Times New Roman" w:cs="Times New Roman"/>
          <w:sz w:val="21"/>
          <w:szCs w:val="24"/>
          <w:vertAlign w:val="superscript"/>
        </w:rPr>
        <w:t>[5]</w:t>
      </w:r>
      <w:r>
        <w:rPr>
          <w:rFonts w:hint="eastAsia" w:ascii="Times New Roman" w:hAnsi="Times New Roman"/>
          <w:sz w:val="21"/>
          <w:szCs w:val="21"/>
          <w:lang w:val="en-US" w:eastAsia="zh-CN"/>
        </w:rPr>
        <w:fldChar w:fldCharType="end"/>
      </w:r>
      <w:r>
        <w:rPr>
          <w:rFonts w:hint="eastAsia" w:ascii="Times New Roman" w:hAnsi="Times New Roman"/>
          <w:sz w:val="21"/>
          <w:szCs w:val="21"/>
          <w:lang w:val="en-US" w:eastAsia="zh-CN"/>
        </w:rPr>
        <w:t>。多项II/III期临床研究表明，新辅助免疫联合化疗（Neoadjuvant immunotherapy combined with chemotherapy, NICT）在提升病理缓解率与R0切除率方面表现出积极结果，围手术期安全性整体可控</w:t>
      </w:r>
      <w:r>
        <w:rPr>
          <w:rFonts w:hint="eastAsia" w:ascii="Times New Roman" w:hAnsi="Times New Roman"/>
          <w:sz w:val="21"/>
          <w:szCs w:val="21"/>
          <w:lang w:val="en-US" w:eastAsia="zh-CN"/>
        </w:rPr>
        <w:fldChar w:fldCharType="begin"/>
      </w:r>
      <w:r>
        <w:rPr>
          <w:rFonts w:hint="eastAsia" w:ascii="Times New Roman" w:hAnsi="Times New Roman"/>
          <w:sz w:val="21"/>
          <w:szCs w:val="21"/>
          <w:lang w:val="en-US" w:eastAsia="zh-CN"/>
        </w:rPr>
        <w:instrText xml:space="preserve"> ADDIN ZOTERO_ITEM CSL_CITATION {"citationID":"TiGBoHRF","properties":{"formattedCitation":"\\super [6-8]\\nosupersub{}","plainCitation":"[6-8]","noteIndex":0},"citationItems":[{"id":1397,"uris":["http://zotero.org/users/15831584/items/W7LXGNZJ"],"itemData":{"id":1397,"type":"article-journal","abstract":"Recent single-arm studies involving neoadjuvant camrelizumab, a PD-1 inhibitor, plus chemotherapy for resectable locally advanced esophageal squamous cell carcinoma (LA-ESCC) have shown promising results. This multicenter, randomized, open-label phase 3 trial aimed to further assess the efficacy and safety of neoadjuvant camrelizumab plus chemotherapy followed by adjuvant camrelizumab, compared to neoadjuvant chemotherapy alone. A total of 391 patients with resectable thoracic LA-ESCC (T1b-3N1-3M0 or T3N0M0) were stratified by clinical stage (I/II, III or IVA) and randomized in a 1:1:1 ratio to undergo two cycles of neoadjuvant therapy. Treatments included camrelizumab, albumin-bound paclitaxel and cisplatin (Cam+nab-TP group; n = 132); camrelizumab, paclitaxel and cisplatin (Cam+TP group; n = 130); and paclitaxel with cisplatin (TP group; n = 129), followed by surgical resection. Both the Cam+nab-TP and Cam+TP groups also received adjuvant camrelizumab. The dual primary endpoints were the rate of pathological complete response (pCR), as evaluated by a blind independent review committee, and event-free survival (EFS), as assessed by investigators. This study reports the final analysis of pCR rates. In the intention-to-treat population, the Cam+nab-TP and Cam+TP groups exhibited significantly higher pCR rates of 28.0% and 15.4%, respectively, compared to 4.7% in the TP group (Cam+nab-TP versus TP: difference 23.5%, 95% confidence interval (CI) 15.1-32.0, P &lt; 0.0001; Cam+TP versus TP: difference 10.9%, 95% CI 3.7-18.1, P = 0.0034). The study met its primary endpoint of pCR; however, EFS is not yet mature. The incidence of grade ≥3 treatment-related adverse events during neoadjuvant treatment was 34.1% for the Cam+nab-TP group, 29.2% for the Cam+TP group and 28.8% for the TP group; the postoperative complication rates were 34.2%, 38.8% and 32.0%, respectively. Neoadjuvant camrelizumab plus chemotherapy demonstrated superior pCR rates compared to chemotherapy alone for LA-ESCC, with a tolerable safety profile. Chinese Clinical Trial Registry identifier: ChiCTR2000040034 .","container-title":"Nature Medicine","DOI":"10.1038/s41591-024-03064-w","ISSN":"1546-170X","issue":"9","journalAbbreviation":"Nat. Med.","language":"en","note":"5年影响因子: 52.4\nJCR分区: Q1\nTLDR: The study met its primary endpoint of pCR; however, EFS is not yet mature; however, Neoadjuvant camrelizumab plus chemotherapy demonstrated superior pCR rates compared to chemotherapy alone for LA-ESCC, with a tolerable safety profile.\n中科院分区升级版: 医学1区\n南农高质量: A\n影响因子: 50.0","page":"2549-2557","PMID":"38956195","PMCID":"PMC11405280","source":"PubMed","title":"Neoadjuvant chemotherapy with or without camrelizumab in resectable esophageal squamous cell carcinoma: the randomized phase 3 ESCORT-NEO/NCCES01 trial","title-short":"Neoadjuvant chemotherapy with or without camrelizumab in resectable esophageal squamous cell carcinoma","volume":"30","author":[{"family":"Qin","given":"Jianjun"},{"family":"Xue","given":"Liyan"},{"family":"Hao","given":"Anlin"},{"family":"Guo","given":"Xiaofeng"},{"family":"Jiang","given":"Tao"},{"family":"Ni","given":"Yunfeng"},{"family":"Liu","given":"Shuoyan"},{"family":"Chen","given":"Yujie"},{"family":"Jiang","given":"Hongjing"},{"family":"Zhang","given":"Chen"},{"family":"Kang","given":"Mingqiang"},{"family":"Lin","given":"Jihong"},{"family":"Li","given":"Hecheng"},{"family":"Li","given":"Chengqiang"},{"family":"Tian","given":"Hui"},{"family":"Li","given":"Lin"},{"family":"Fu","given":"Junke"},{"family":"Zhang","given":"Yong"},{"family":"Ma","given":"Jianqun"},{"family":"Wang","given":"Xiaoyuan"},{"family":"Fu","given":"Maoyong"},{"family":"Yang","given":"Hao"},{"family":"Yang","given":"Zhaoyang"},{"family":"Han","given":"Yongtao"},{"family":"Chen","given":"Longqi"},{"family":"Tan","given":"Lijie"},{"family":"Dai","given":"Tianyang"},{"family":"Liao","given":"Yongde"},{"family":"Zhang","given":"Weiguo"},{"family":"Li","given":"Bin"},{"family":"Chen","given":"Qixun"},{"family":"Guo","given":"Shiping"},{"family":"Qi","given":"Yu"},{"family":"Wei","given":"Li"},{"family":"Li","given":"Zhigang"},{"family":"Tian","given":"Ziqiang"},{"family":"Kang","given":"Xiaozheng"},{"family":"Zhang","given":"Ruixiang"},{"family":"Li","given":"Yong"},{"family":"Wang","given":"Zhen"},{"family":"Chen","given":"Xiankai"},{"family":"Hou","given":"Zhiguo"},{"family":"Zheng","given":"Rongrong"},{"family":"Zhu","given":"Wenqing"},{"family":"He","given":"Jie"},{"family":"Li","given":"Yin"}],"issued":{"date-parts":[["2024",9]]}}},{"id":1430,"uris":["http://zotero.org/users/15831584/items/F7LUHAQT"],"itemData":{"id":1430,"type":"article-journal","abstract":"BACKGROUND: Clinical benefit of neoadjuvant immunotherapy in resectable esophageal squamous cell carcinoma (ESCC). remains unclear. This study evaluated the efficacy and safety of the programmed death 1 (PD-1) inhibitor tislelizumab combined with chemotherapy as neoadjuvant therapy in patients with resectable ESCC.\nMETHODS: Treatment-naïve patients were enrolled and eligible patients received 3 cycles of neoadjuvant therapy with tislelizumab, carboplatin, and nab-paclitaxel. The primary endpoint was surgery patients major pathological response (MPR). Subgroup analysis was stratified by tumor downstaging, circumferential resection margin (CRM), PD-ligand 1 (PD-L1) expression, and tumor mutation burden (TMB). Safety was assessed by adverse events (AEs) and postoperative complications.\nRESULTS: Between September 2020 and March 2021, 45 patients were enrolled. Thirty-six (80.0%) of 45 patients underwent surgery, and 29 (80.5%) underwent successful R0 resection. MPR and pathological complete response (pCR) for surgery patients were 72.0% and 50.0%, respectively. Intention to treatment (ITT) patients MPR and PCR were 57.5% and 40%. Downgrading occurred in 75% of 36 patients. MPR and pCR were identified to be associated with tumor downstaging and CRM but not PD-L1 expression or TMB. TPS levels in MPR and pCR group were significantly higher than that in Non-MPR and Non-pCR group, respectively. Treatment-related AEs of grade 3-4 and immune-related AEs occurred in 42.2% and 22.2% of 45 patients, respectively, and postoperative complications occurred in 77.8% of 36 patients. No treatment-related surgical delay or death occurred. No associations between gene mutation and pathological efficacy were observed.\nCONCLUSIONS: Tislelizumab plus chemotherapy as neoadjuvant therapy demonstrates promising antitumor activity for resectable ESCC with high rates of MPR, pCR, and R0 resection, as well as acceptable tolerability.","container-title":"International Journal of Surgery","DOI":"10.1016/j.ijsu.2022.106680","ISSN":"17439191","journalAbbreviation":"Int. J. Surg.","language":"en","note":"5年影响因子: 10.4\nJCR分区: Q1\nTLDR: Tislelizumab plus chemotherapy as neoadjuvant therapy demonstrates promising antitumor activity for resectable ESCC with high rates of MPR, pCR, and R0 resection, as well as acceptable tolerability.\n中科院分区升级版: 医学2区\n影响因子: 10.3\n南农高质量: A","page":"106680","PMID":"35595021","source":"PubMed","title":"Tislelizumab combined with chemotherapy as neoadjuvant therapy for surgically resectable esophageal cancer: a prospective, single-arm, phase II study (TD-NICE)","title-short":"Tislelizumab combined with chemotherapy as neoadjuvant therapy for surgically resectable esophageal cancer","volume":"103","author":[{"family":"Yan","given":"Xiaolong"},{"family":"Duan","given":"Hongtao"},{"family":"Ni","given":"Yunfeng"},{"family":"Zhou","given":"Yongan"},{"family":"Wang","given":"Xiaoping"},{"family":"Qi","given":"Haini"},{"family":"Gong","given":"Li"},{"family":"Liu","given":"Honggang"},{"family":"Tian","given":"Feng"},{"family":"Lu","given":"Qiang"},{"family":"Sun","given":"Jianyong"},{"family":"Yang","given":"Ende"},{"family":"Zhong","given":"Daixing"},{"family":"Wang","given":"Tao"},{"family":"Huang","given":"Lijun"},{"family":"Wang","given":"Jian"},{"literal":"Chaoyang Wang"},{"family":"Wang","given":"Yuanyong"},{"family":"Wan","given":"Zhiyi"},{"family":"Lei","given":"Jie"},{"family":"Zhao","given":"Jinbo"},{"family":"Jiang","given":"Tao"}],"issued":{"date-parts":[["2022",7]]}}},{"id":1479,"uris":["http://zotero.org/users/15831584/items/V6GKLLM2"],"itemData":{"id":1479,"type":"article-journal","abstract":"Background\n              In this single-arm study, the efficacy and safety of neoadjuvant pembrolizumab plus chemotherapy were evaluated in patients with resectable esophageal squamous cell carcinoma (ESCC).\n            \n            \n              Methods\n              This study included patients with ESCC of clinical stages II–IVA who underwent surgery within 4 to 6 weeks after completing treatment with pembrolizumab (200 mg) combined with a conventional chemotherapy regimen (3 cycles). The safety and efficacy of this combination treatment were evaluated as primary endpoints of the study.\n            \n            \n              Results\n              \n                From April 2019 to August 2020, a total of 18 patients (including 14 men) were enrolled, of whom 13 patients progressed to surgery. Postoperative pathology revealed a major pathological response (MPR) in 9 cases (9/13, 69.2%) and a pathological complete response (pCR) in 6 cases (6/13, 46.2%). Five patients (5/18, 27.8%) experienced serious treatment-related adverse events (AEs) of grades 3–4. At the time of data cutoff (Mar 25, 2022), the shortest duration of follow-up was 17.8 months. Programmed death-ligand 1 (PD-L1) expression in pretreatment specimens was not significantly associated with the percentage of residual viable tumor (RVT) (r=−0.55, P=0.08). Changes in counts of CD68\n                +\n                macrophage between pre- and post-treatment specimens were weakly correlated with RVT (r=0.71; P=0.07), while a positive correlation was observed between postoperative forkhead box P3-positive (Foxp3)\n                +\n                T cells/CD4\n                +\n                Tcells ratios and RVT (r=0.84, P\n                =\n                0.03).\n              \n            \n            \n              Conclusions\n              The combination of neoadjuvant immunotherapy and chemotherapy for ESCC is associated with a high pathological response and immunologic effects in the tumor microenvironment (TME). It has acceptable toxicity and great efficacy, suggesting a strong rationale for its further evaluation in randomized clinical trials (RCTs).\n            \n            \n              Trial Registration\n              ChiCTR2100048917.","container-title":"Frontiers in Immunology","DOI":"10.3389/fimmu.2022.849984","ISSN":"1664-3224","journalAbbreviation":"Front. Immunol.","language":"en","note":"5年影响因子: 6.8\nJCR分区: Q1\nTLDR: The combination of neoadjuvant immunotherapy and chemotherapy for ESCC is associated with a high pathological response and immunologic effects in the tumor microenvironment (TME), suggesting a strong rationale for its further evaluation in randomized clinical trials (RCTs).\n中科院分区升级版: 医学2区\n南农高质量: A\n影响因子: 5.9","page":"849984","PMID":"35720388","PMCID":"PMC9202755","source":"PubMed Central","title":"Neoadjuvant pembrolizumab and chemotherapy in resectable esophageal cancer: an open-label, single-arm study (PEN-ICE)","title-short":"Neoadjuvant pembrolizumab and chemotherapy in resectable esophageal cancer","volume":"13","author":[{"family":"Duan","given":"Hongtao"},{"family":"Shao","given":"Changjian"},{"family":"Pan","given":"Minghong"},{"family":"Liu","given":"Honggang"},{"family":"Dong","given":"Xiaoping"},{"family":"Zhang","given":"Yong"},{"family":"Tong","given":"Liping"},{"family":"Feng","given":"Yingtong"},{"family":"Wang","given":"Yuanyuan"},{"family":"Wang","given":"Lu"},{"family":"Newman","given":"Neil B."},{"family":"Sarkaria","given":"Inderpal S."},{"family":"Reynolds","given":"John V."},{"family":"De Cobelli","given":"Francesco"},{"family":"Ma","given":"Zhiqiang"},{"family":"Jiang","given":"Tao"},{"family":"Yan","given":"Xiaolong"}],"issued":{"date-parts":[["2022",6,2]]}}}],"schema":"https://github.com/citation-style-language/schema/raw/master/csl-citation.json"} </w:instrText>
      </w:r>
      <w:r>
        <w:rPr>
          <w:rFonts w:hint="eastAsia" w:ascii="Times New Roman" w:hAnsi="Times New Roman"/>
          <w:sz w:val="21"/>
          <w:szCs w:val="21"/>
          <w:lang w:val="en-US" w:eastAsia="zh-CN"/>
        </w:rPr>
        <w:fldChar w:fldCharType="separate"/>
      </w:r>
      <w:r>
        <w:rPr>
          <w:rFonts w:hint="default" w:ascii="Times New Roman" w:hAnsi="Times New Roman" w:cs="Times New Roman"/>
          <w:sz w:val="21"/>
          <w:szCs w:val="24"/>
          <w:vertAlign w:val="superscript"/>
        </w:rPr>
        <w:t>[6-8]</w:t>
      </w:r>
      <w:r>
        <w:rPr>
          <w:rFonts w:hint="eastAsia" w:ascii="Times New Roman" w:hAnsi="Times New Roman"/>
          <w:sz w:val="21"/>
          <w:szCs w:val="21"/>
          <w:lang w:val="en-US" w:eastAsia="zh-CN"/>
        </w:rPr>
        <w:fldChar w:fldCharType="end"/>
      </w:r>
      <w:r>
        <w:rPr>
          <w:rFonts w:hint="eastAsia" w:ascii="Times New Roman" w:hAnsi="Times New Roman"/>
          <w:sz w:val="21"/>
          <w:szCs w:val="21"/>
          <w:lang w:val="en-US" w:eastAsia="zh-CN"/>
        </w:rPr>
        <w:t>。然而，由于现有研究在设计一致性、样本量及长期生存数据等方面仍存在不足，部分国际指南暂未将NICT列为可切除人群的标准治疗，其应用多限于特定人群</w:t>
      </w:r>
      <w:r>
        <w:rPr>
          <w:rFonts w:hint="eastAsia" w:ascii="Times New Roman" w:hAnsi="Times New Roman"/>
          <w:sz w:val="21"/>
          <w:szCs w:val="21"/>
          <w:lang w:val="en-US" w:eastAsia="zh-CN"/>
        </w:rPr>
        <w:fldChar w:fldCharType="begin"/>
      </w:r>
      <w:r>
        <w:rPr>
          <w:rFonts w:hint="eastAsia" w:ascii="Times New Roman" w:hAnsi="Times New Roman"/>
          <w:sz w:val="21"/>
          <w:szCs w:val="21"/>
          <w:lang w:val="en-US" w:eastAsia="zh-CN"/>
        </w:rPr>
        <w:instrText xml:space="preserve"> ADDIN ZOTERO_ITEM CSL_CITATION {"citationID":"MB5aI022","properties":{"formattedCitation":"\\super [9,10]\\nosupersub{}","plainCitation":"[9,10]","noteIndex":0},"citationItems":[{"id":1482,"uris":["http://zotero.org/users/15831584/items/3QWBJJFC"],"itemData":{"id":1482,"type":"article-journal","abstract":"• This update provides recommendations for perioperative treatment of locally advanced oesophageal and OGJ adenocarcinoma. • Recent phase III data have demonstrated that perioperative ChT should be the preferred approach for most patients. • Updated recommendations are also provided for the use of immune checkpoint inhibitors in advanced squamous-cell carcinoma. • Algorithms for the management of locoregional oesophageal cancer and advanced squamous-cell carcinoma are provided. • Recommendations are based on available scientific data and the authors’ collective expert opinion.","container-title":"ESMO Open","DOI":"10.1016/j.esmoop.2025.104134","ISSN":"2059-7029","issue":"2","journalAbbreviation":"Esmo Open","language":"en","note":"5年影响因子: 7.4\nJCR分区: Q1\nTLDR: This update provides recommendations for perioperative treatment of locally advanced oesophageal and OGJ adenocarcinoma and algorithms for the management of locoregional oesophageal cancer and advanced squamous-cell carcinoma.\n中科院分区升级版: 医学1区\n南农高质量: A\n影响因子: 8.3","page":"104134","PMID":"39986705","PMCID":"PMC11889489","source":"PubMed","title":"ESMO clinical practice guideline interim update on the treatment of locally advanced oesophageal and oesophagogastric junction adenocarcinoma and metastatic squamous-cell carcinoma","volume":"10","author":[{"family":"Obermannová","given":"R. L."},{"family":"Leong","given":"T."},{"literal":"ESMO Guidelines Committee. Electronic address: clinicalguidelines@esmo.org"}],"issued":{"date-parts":[["2025",2]]}}},{"id":1665,"uris":["http://zotero.org/users/15831584/items/LA5M223X"],"itemData":{"id":1665,"type":"article-journal","abstract":"Abstract\n            Esophageal cancer is the sixth leading cause of cancer-related deaths worldwide. Squamous cell carcinoma is the most common histology in Eastern Europe and Asia, and adenocarcinoma is most common in North America and Western Europe. Surgery is a major component of treatment of locally advanced resectable esophageal and esophagogastric junction (EGJ) cancer, and randomized trials have shown that the addition of preoperative chemoradiation or perioperative chemotherapy to surgery significantly improves survival. Targeted therapies including trastuzumab, ramucirumab, and pembrolizumab have produced encouraging results in the treatment of patients with advanced or metastatic disease. Multidisciplinary team management is essential for all patients with esophageal and EGJ cancers. This selection from the NCCN Guidelines for Esophageal and Esophagogastric Junction Cancers focuses on recommendations for the management of locally advanced and metastatic adenocarcinoma of the esophagus and EGJ.","container-title":"Journal of the National Comprehensive Cancer Network","DOI":"10.6004/jnccn.2019.0033","ISSN":"1540-1405, 1540-1413","issue":"7","journalAbbreviation":"J. Natl. Compr. Canc. Netw.","language":"en","note":"JCR分区: Q1\n中科院分区升级版: 医学2区\n影响因子: 16.4\n5年影响因子: 13.2\n南农高质量: A","page":"855-883","PMID":"31319389","source":"PubMed","title":"Esophageal and Esophagogastric Junction Cancers, Version 2.2019, NCCN Clinical Practice Guidelines in Oncology","volume":"17","author":[{"family":"Ajani","given":"Jaffer A."},{"family":"D’Amico","given":"Thomas A."},{"family":"Bentrem","given":"David J."},{"family":"Chao","given":"Joseph"},{"family":"Corvera","given":"Carlos"},{"family":"Das","given":"Prajnan"},{"family":"Denlinger","given":"Crystal S."},{"family":"Enzinger","given":"Peter C."},{"family":"Fanta","given":"Paul"},{"family":"Farjah","given":"Farhood"},{"family":"Gerdes","given":"Hans"},{"family":"Gibson","given":"Michael"},{"family":"Glasgow","given":"Robert E."},{"family":"Hayman","given":"James A."},{"family":"Hochwald","given":"Steven"},{"family":"Hofstetter","given":"Wayne L."},{"family":"Ilson","given":"David H."},{"family":"Jaroszewski","given":"Dawn"},{"family":"Johung","given":"Kimberly L."},{"family":"Keswani","given":"Rajesh N."},{"family":"Kleinberg","given":"Lawrence R."},{"family":"Leong","given":"Stephen"},{"family":"Ly","given":"Quan P."},{"family":"Matkowskyj","given":"Kristina A."},{"family":"McNamara","given":"Michael"},{"family":"Mulcahy","given":"Mary F."},{"family":"Paluri","given":"Ravi K."},{"family":"Park","given":"Haeseong"},{"family":"Perry","given":"Kyle A."},{"family":"Pimiento","given":"Jose"},{"family":"Poultsides","given":"George A."},{"family":"Roses","given":"Robert"},{"family":"Strong","given":"Vivian E."},{"family":"Wiesner","given":"Georgia"},{"family":"Willett","given":"Christopher G."},{"family":"Wright","given":"Cameron D."},{"family":"McMillian","given":"Nicole R."},{"family":"Pluchino","given":"Lenora A."}],"issued":{"date-parts":[["2019",7]]}}}],"schema":"https://github.com/citation-style-language/schema/raw/master/csl-citation.json"} </w:instrText>
      </w:r>
      <w:r>
        <w:rPr>
          <w:rFonts w:hint="eastAsia" w:ascii="Times New Roman" w:hAnsi="Times New Roman"/>
          <w:sz w:val="21"/>
          <w:szCs w:val="21"/>
          <w:lang w:val="en-US" w:eastAsia="zh-CN"/>
        </w:rPr>
        <w:fldChar w:fldCharType="separate"/>
      </w:r>
      <w:r>
        <w:rPr>
          <w:rFonts w:hint="default" w:ascii="Times New Roman" w:hAnsi="Times New Roman" w:cs="Times New Roman"/>
          <w:sz w:val="21"/>
          <w:szCs w:val="24"/>
          <w:vertAlign w:val="superscript"/>
        </w:rPr>
        <w:t>[9,10]</w:t>
      </w:r>
      <w:r>
        <w:rPr>
          <w:rFonts w:hint="eastAsia" w:ascii="Times New Roman" w:hAnsi="Times New Roman"/>
          <w:sz w:val="21"/>
          <w:szCs w:val="21"/>
          <w:lang w:val="en-US" w:eastAsia="zh-CN"/>
        </w:rPr>
        <w:fldChar w:fldCharType="end"/>
      </w:r>
      <w:r>
        <w:rPr>
          <w:rFonts w:hint="eastAsia" w:ascii="Times New Roman" w:hAnsi="Times New Roman"/>
          <w:sz w:val="21"/>
          <w:szCs w:val="21"/>
          <w:lang w:val="en-US" w:eastAsia="zh-CN"/>
        </w:rPr>
        <w:t>。基于上述现状，本文结合已有证据，对NICT</w:t>
      </w:r>
      <w:r>
        <w:rPr>
          <w:rFonts w:hint="eastAsia" w:ascii="Times New Roman" w:hAnsi="Times New Roman"/>
          <w:color w:val="FF0000"/>
          <w:sz w:val="21"/>
          <w:szCs w:val="21"/>
          <w:lang w:val="en-US" w:eastAsia="zh-CN"/>
        </w:rPr>
        <w:t>的研究现状进行概述，并就临床实践中的关键问题</w:t>
      </w:r>
      <w:r>
        <w:rPr>
          <w:rFonts w:hint="eastAsia" w:ascii="Times New Roman" w:hAnsi="Times New Roman"/>
          <w:sz w:val="21"/>
          <w:szCs w:val="21"/>
          <w:lang w:val="en-US" w:eastAsia="zh-CN"/>
        </w:rPr>
        <w:t>进行系统梳理与分析。</w:t>
      </w:r>
    </w:p>
    <w:p w14:paraId="50ACF032">
      <w:pPr>
        <w:pStyle w:val="3"/>
        <w:bidi w:val="0"/>
        <w:rPr>
          <w:rFonts w:hint="eastAsia" w:ascii="Times New Roman" w:hAnsi="Times New Roman" w:eastAsia="微软雅黑" w:cs="微软雅黑"/>
          <w:b w:val="0"/>
          <w:bCs/>
          <w:color w:val="FF0000"/>
          <w:sz w:val="21"/>
          <w:szCs w:val="21"/>
          <w:lang w:val="en-US" w:eastAsia="zh-CN"/>
        </w:rPr>
      </w:pPr>
      <w:r>
        <w:rPr>
          <w:rFonts w:hint="eastAsia" w:ascii="Times New Roman" w:hAnsi="Times New Roman" w:eastAsia="微软雅黑" w:cs="微软雅黑"/>
          <w:b w:val="0"/>
          <w:bCs/>
          <w:color w:val="FF0000"/>
          <w:sz w:val="21"/>
          <w:szCs w:val="21"/>
          <w:lang w:val="en-US" w:eastAsia="zh-CN"/>
        </w:rPr>
        <w:t>1 食管癌新辅助免疫联合化疗的研究进展</w:t>
      </w:r>
    </w:p>
    <w:p w14:paraId="1D734E2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olor w:val="FF0000"/>
          <w:sz w:val="21"/>
          <w:szCs w:val="21"/>
          <w:lang w:val="en-US" w:eastAsia="zh-CN"/>
        </w:rPr>
      </w:pPr>
      <w:r>
        <w:rPr>
          <w:rFonts w:hint="default" w:ascii="Times New Roman" w:hAnsi="Times New Roman"/>
          <w:color w:val="FF0000"/>
          <w:sz w:val="21"/>
          <w:szCs w:val="21"/>
          <w:lang w:val="en-US" w:eastAsia="zh-CN"/>
        </w:rPr>
        <w:t>尽管新辅助放化疗（</w:t>
      </w:r>
      <w:r>
        <w:rPr>
          <w:rFonts w:hint="eastAsia" w:ascii="Times New Roman" w:hAnsi="Times New Roman"/>
          <w:color w:val="FF0000"/>
          <w:sz w:val="21"/>
          <w:szCs w:val="21"/>
          <w:lang w:val="en-US" w:eastAsia="zh-CN"/>
        </w:rPr>
        <w:t>N</w:t>
      </w:r>
      <w:r>
        <w:rPr>
          <w:rFonts w:hint="default" w:ascii="Times New Roman" w:hAnsi="Times New Roman"/>
          <w:color w:val="FF0000"/>
          <w:sz w:val="21"/>
          <w:szCs w:val="21"/>
          <w:lang w:val="en-US" w:eastAsia="zh-CN"/>
        </w:rPr>
        <w:t>eoadjuvant chemoradiotherapy, NCRT）已确立为局部晚期食管癌的标准治疗模式，但其疗效改善空间有限，仍有相当比例患者未能获得理想的肿瘤退缩与病理缓解</w:t>
      </w:r>
      <w:r>
        <w:rPr>
          <w:rFonts w:hint="default" w:ascii="Times New Roman" w:hAnsi="Times New Roman"/>
          <w:color w:val="FF0000"/>
          <w:sz w:val="21"/>
          <w:szCs w:val="21"/>
          <w:lang w:val="en-US" w:eastAsia="zh-CN"/>
        </w:rPr>
        <w:fldChar w:fldCharType="begin"/>
      </w:r>
      <w:r>
        <w:rPr>
          <w:rFonts w:hint="eastAsia" w:ascii="Times New Roman" w:hAnsi="Times New Roman"/>
          <w:color w:val="FF0000"/>
          <w:sz w:val="21"/>
          <w:szCs w:val="21"/>
          <w:lang w:val="en-US" w:eastAsia="zh-CN"/>
        </w:rPr>
        <w:instrText xml:space="preserve"> ADDIN ZOTERO_ITEM CSL_CITATION {"citationID":"gieYwdAn","properties":{"formattedCitation":"\\super [11]\\nosupersub{}","plainCitation":"[11]","noteIndex":0},"citationItems":[{"id":1592,"uris":["http://zotero.org/users/15831584/items/DK64CF7F"],"itemData":{"id":1592,"type":"article-journal","abstract":"BACKGROUND: Initial results of the ChemoRadiotherapy for Oesophageal cancer followed by Surgery Study (CROSS) comparing neoadjuvant chemoradiotherapy plus surgery versus surgery alone in patients with squamous cell carcinoma and adenocarcinoma of the oesophagus or oesophagogastric junction showed a significant increase in 5-year overall survival in favour of the neoadjuvant chemoradiotherapy plus surgery group after a median of 45 months' follow-up. In this Article, we report the long-term results after a minimum follow-up of 5 years.\nMETHODS: Patients with clinically resectable, locally advanced cancer of the oesophagus or oesophagogastric junction (clinical stage T1N1M0 or T2-3N0-1M0, according to the TNM cancer staging system, sixth edition) were randomly assigned in a 1:1 ratio with permuted blocks of four or six to receive either weekly administration of five cycles of neoadjuvant chemoradiotherapy (intravenous carboplatin [AUC 2 mg/mL per min] and intravenous paclitaxel [50 mg/m(2) of body-surface area] for 23 days) with concurrent radiotherapy (41·4 Gy, given in 23 fractions of 1·8 Gy on 5 days per week) followed by surgery, or surgery alone. The primary endpoint was overall survival, analysed by intention-to-treat. No adverse event data were collected beyond those noted in the initial report of the trial. This trial is registered with the Netherlands Trial Register, number NTR487, and has been completed.\nFINDINGS: Between March 30, 2004, and Dec 2, 2008, 368 patients from eight participating centres (five academic centres and three large non-academic teaching hospitals) in the Netherlands were enrolled into this study and randomly assigned to the two treatment groups: 180 to surgery plus neoadjuvant chemoradiotherapy and 188 to surgery alone. Two patients in the neoadjuvant chemoradiotherapy group withdrew consent, so a total of 366 patients were analysed (178 in the neoadjuvant chemoradiotherapy plus surgery group and 188 in the surgery alone group). Of 171 patients who received any neoadjuvant chemoradiotherapy in this group, 162 (95%) were able to complete the entire neoadjuvant chemoradiotherapy regimen. After a median follow-up for surviving patients of 84·1 months (range 61·1-116·8, IQR 70·7-96·6), median overall survival was 48·6 months (95% CI 32·1-65·1) in the neoadjuvant chemoradiotherapy plus surgery group and 24·0 months (14·2-33·7) in the surgery alone group (HR 0·68 [95% CI 0·53-0·88]; log-rank p=0·003). Median overall survival for patients with squamous cell carcinomas was 81·6 months (95% CI 47·2-116·0) in the neoadjuvant chemoradiotherapy plus surgery group and 21·1 months (15·4-26·7) in the surgery alone group (HR 0·48 [95% CI 0·28-0·83]; log-rank p=0·008); for patients with adenocarcinomas, it was 43·2 months (24·9-61·4) in the neoadjuvant chemoradiotherapy plus surgery group and 27·1 months (13·0-41·2) in the surgery alone group (HR 0·73 [95% CI 0·55-0·98]; log-rank p=0·038).\nINTERPRETATION: Long-term follow-up confirms the overall survival benefits for neoadjuvant chemoradiotherapy when added to surgery in patients with resectable oesophageal or oesophagogastric junctional cancer. This improvement is clinically relevant for both squamous cell carcinoma and adenocarcinoma subtypes. Therefore, neoadjuvant chemoradiotherapy according to the CROSS trial followed by surgical resection should be regarded as a standard of care for patients with resectable locally advanced oesophageal or oesophagogastric junctional cancer.\nFUNDING: Dutch Cancer Foundation (KWF Kankerbestrijding).","container-title":"The Lancet Oncology","DOI":"10.1016/S1470-2045(15)00040-6","ISSN":"14702045","issue":"9","journalAbbreviation":"Lancet Oncol.","language":"en","note":"5年影响因子: 42.0\nJCR分区: Q1\nTLDR: Long-term follow-up confirms the overall survival benefits for neoadjuvant chemoradiotherapy in patients with clinically resectable, locally advanced cancer of the oesophagus or Oesophagogastric junction and shows a significant increase in 5-year overall survival.\n中科院分区升级版: 医学1区\n影响因子: 35.9","page":"1090-1098","PMID":"26254683","source":"PubMed","title":"Neoadjuvant chemoradiotherapy plus surgery versus surgery alone for oesophageal or junctional cancer (CROSS): long-term results of a randomised controlled trial","title-short":"Neoadjuvant chemoradiotherapy plus surgery versus surgery alone for oesophageal or junctional cancer (CROSS)","volume":"16","author":[{"family":"Shapiro","given":"Joel"},{"family":"Van Lanschot","given":"J Jan B"},{"family":"Hulshof","given":"Maarten C C M"},{"family":"Van Hagen","given":"Pieter"},{"family":"Van Berge Henegouwen","given":"Mark I"},{"family":"Wijnhoven","given":"Bas P L"},{"family":"Van Laarhoven","given":"Hanneke W M"},{"family":"Nieuwenhuijzen","given":"Grard A P"},{"family":"Hospers","given":"Geke A P"},{"family":"Bonenkamp","given":"Johannes J"},{"family":"Cuesta","given":"Miguel A"},{"family":"Blaisse","given":"Reinoud J B"},{"family":"Busch","given":"Olivier R C"},{"family":"Ten Kate","given":"Fiebo J W"},{"family":"Creemers","given":"Geert-Jan M"},{"family":"Punt","given":"Cornelis J A"},{"family":"Plukker","given":"John Th M"},{"family":"Verheul","given":"Henk M W"},{"family":"Bilgen","given":"Ernst J Spillenaar"},{"family":"Van Dekken","given":"Herman"},{"family":"Van Der Sangen","given":"Maurice J C"},{"family":"Rozema","given":"Tom"},{"family":"Biermann","given":"Katharina"},{"family":"Beukema","given":"Jannet C"},{"family":"Piet","given":"Anna H M"},{"family":"Van Rij","given":"Caroline M"},{"family":"Reinders","given":"Janny G"},{"family":"Tilanus","given":"Hugo W"},{"family":"Steyerberg","given":"Ewout W"},{"family":"Van Der Gaast","given":"Ate"}],"issued":{"date-parts":[["2015",9]]}}}],"schema":"https://github.com/citation-style-language/schema/raw/master/csl-citation.json"} </w:instrText>
      </w:r>
      <w:r>
        <w:rPr>
          <w:rFonts w:hint="default" w:ascii="Times New Roman" w:hAnsi="Times New Roman"/>
          <w:color w:val="FF0000"/>
          <w:sz w:val="21"/>
          <w:szCs w:val="21"/>
          <w:lang w:val="en-US" w:eastAsia="zh-CN"/>
        </w:rPr>
        <w:fldChar w:fldCharType="separate"/>
      </w:r>
      <w:r>
        <w:rPr>
          <w:rFonts w:hint="default" w:ascii="Times New Roman" w:hAnsi="Times New Roman" w:cs="Times New Roman"/>
          <w:color w:val="FF0000"/>
          <w:sz w:val="21"/>
          <w:szCs w:val="24"/>
          <w:vertAlign w:val="superscript"/>
        </w:rPr>
        <w:t>[11]</w:t>
      </w:r>
      <w:r>
        <w:rPr>
          <w:rFonts w:hint="default" w:ascii="Times New Roman" w:hAnsi="Times New Roman"/>
          <w:color w:val="FF0000"/>
          <w:sz w:val="21"/>
          <w:szCs w:val="21"/>
          <w:lang w:val="en-US" w:eastAsia="zh-CN"/>
        </w:rPr>
        <w:fldChar w:fldCharType="end"/>
      </w:r>
      <w:r>
        <w:rPr>
          <w:rFonts w:hint="eastAsia" w:ascii="Times New Roman" w:hAnsi="Times New Roman"/>
          <w:color w:val="FF0000"/>
          <w:sz w:val="21"/>
          <w:szCs w:val="21"/>
          <w:lang w:val="en-US" w:eastAsia="zh-CN"/>
        </w:rPr>
        <w:t>。</w:t>
      </w:r>
      <w:r>
        <w:rPr>
          <w:rFonts w:hint="default" w:ascii="Times New Roman" w:hAnsi="Times New Roman"/>
          <w:color w:val="FF0000"/>
          <w:sz w:val="21"/>
          <w:szCs w:val="21"/>
          <w:lang w:val="en-US" w:eastAsia="zh-CN"/>
        </w:rPr>
        <w:t>而新辅助化疗（</w:t>
      </w:r>
      <w:r>
        <w:rPr>
          <w:rFonts w:hint="eastAsia" w:ascii="Times New Roman" w:hAnsi="Times New Roman"/>
          <w:color w:val="FF0000"/>
          <w:sz w:val="21"/>
          <w:szCs w:val="21"/>
          <w:lang w:val="en-US" w:eastAsia="zh-CN"/>
        </w:rPr>
        <w:t>N</w:t>
      </w:r>
      <w:r>
        <w:rPr>
          <w:rFonts w:hint="default" w:ascii="Times New Roman" w:hAnsi="Times New Roman"/>
          <w:color w:val="FF0000"/>
          <w:sz w:val="21"/>
          <w:szCs w:val="21"/>
          <w:lang w:val="en-US" w:eastAsia="zh-CN"/>
        </w:rPr>
        <w:t>eoadjuvant chemotherapy, NCT）的局限性更为</w:t>
      </w:r>
      <w:r>
        <w:rPr>
          <w:rFonts w:hint="eastAsia" w:ascii="Times New Roman" w:hAnsi="Times New Roman"/>
          <w:color w:val="FF0000"/>
          <w:sz w:val="21"/>
          <w:szCs w:val="21"/>
          <w:lang w:val="en-US" w:eastAsia="zh-CN"/>
        </w:rPr>
        <w:t>突出</w:t>
      </w:r>
      <w:r>
        <w:rPr>
          <w:rFonts w:hint="default" w:ascii="Times New Roman" w:hAnsi="Times New Roman"/>
          <w:color w:val="FF0000"/>
          <w:sz w:val="21"/>
          <w:szCs w:val="21"/>
          <w:lang w:val="en-US" w:eastAsia="zh-CN"/>
        </w:rPr>
        <w:t>，单纯通过增加药物强度非但未能带来预期的生存获益，反而导致治疗毒性显著增加</w:t>
      </w:r>
      <w:r>
        <w:rPr>
          <w:rFonts w:hint="default" w:ascii="Times New Roman" w:hAnsi="Times New Roman"/>
          <w:color w:val="FF0000"/>
          <w:sz w:val="21"/>
          <w:szCs w:val="21"/>
          <w:lang w:val="en-US" w:eastAsia="zh-CN"/>
        </w:rPr>
        <w:fldChar w:fldCharType="begin"/>
      </w:r>
      <w:r>
        <w:rPr>
          <w:rFonts w:hint="eastAsia" w:ascii="Times New Roman" w:hAnsi="Times New Roman"/>
          <w:color w:val="FF0000"/>
          <w:sz w:val="21"/>
          <w:szCs w:val="21"/>
          <w:lang w:val="en-US" w:eastAsia="zh-CN"/>
        </w:rPr>
        <w:instrText xml:space="preserve"> ADDIN ZOTERO_ITEM CSL_CITATION {"citationID":"tKJAD0nv","properties":{"formattedCitation":"\\super [12]\\nosupersub{}","plainCitation":"[12]","noteIndex":0},"citationItems":[{"id":1670,"uris":["http://zotero.org/users/15831584/items/R4AFCFF2"],"itemData":{"id":1670,"type":"article-journal","abstract":"Background\nNeoadjuvant chemotherapy before surgery improves survival compared with surgery alone for patients with oesophageal cancer. The OE05 trial assessed whether increasing the duration and intensity of neoadjuvant chemotherapy further improved survival compared with the current standard regimen.\n\nMethods\nOE05 was an open-label, phase 3, randomised clinical trial. Patients with surgically resectable oesophageal adenocarcinoma classified as stage cT1N1, cT2N1, cT3N0/N1, or cT4N0/N1 were recruited from 72 UK hospitals. Eligibility criteria included WHO performance status 0 or 1, adequate respiratory, cardiac, and liver function, white blood cell count at least 3 × 109 cells per L, platelet count at least 100 × 109 platelets per L, and a glomerular filtration rate at least 60 mL/min. Participants were randomly allocated (1:1) using a computerised minimisation program with a random element and stratified by centre and tumour stage, to receive two cycles of cisplatin and fluorouracil (CF; two 3-weekly cycles of cisplatin [80 mg/m2 intravenously on day 1] and fluorouracil [1 g/m2 per day intravenously on days 1–4]) or four cycles of epirubicin, cisplatin, and capecitabine (ECX; four 3-weekly cycles of epirubicin [50 mg/m2] and cisplatin [60 mg/m2] intravenously on day 1, and capecitabine [1250 mg/m2] daily throughout the four cycles) before surgery, stratified according to centre and clinical disease stage. Neither patients nor study staff were masked to treatment allocation. Two-phase oesophagectomy with two-field (abdomen and thorax) lymphadenectomy was done within 4–6 weeks of completion of chemotherapy. The primary outcome measure was overall survival, and primary and safety analyses were done in the intention-to-treat population. This trial is registered with the ISRCTN registry (number 01852072) and ClinicalTrials.gov (NCT00041262), and is completed.\n\nFindings\nBetween Jan 13, 2005, and Oct 31, 2011, 897 patients were recruited and 451 were assigned to the CF group and 446 to the ECX group. By Nov 14, 2016, 327 (73%) of 451 patients in the CF group and 302 (68%) of 446 in the ECX group had died. Median survival was 23·4 months (95% CI 20·6–26·3) with CF and 26·1 months (22·5–29·7) with ECX (hazard ratio 0·90 (95% CI 0·77–1·05, p=0·19). No unexpected chemotherapy toxicity was seen, and neutropenia was the most commonly reported event (grade 3 or 4 neutropenia: 74 [17%] of 446 patients in the CF group vs 101 [23%] of 441 people in the ECX group). The proportions of patients with postoperative complications (224 [56%] of 398 people for whom data were available in the CF group and 233 [62%] of 374 in the ECX group; p=0·089) were similar between the two groups. One patient in the ECX group died of suspected treatment-related neutropenic sepsis.\n\nInterpretation\nFour cycles of neoadjuvant ECX compared with two cycles of CF did not increase survival, and cannot be considered standard of care. Our study involved a large number of centres and detailed protocol with comprehensive prospective assessment of health-related quality of life in a patient population confined to people with adenocarcinomas of the oesophagus and gastro-oesophageal junction (Siewert types 1 and 2). Alternative chemotherapy regimens and neoadjuvant chemoradiation are being investigated to improve outcomes for patients with oesophageal carcinoma.\n\nFunding\nCancer Research UK and Medical Research Council Clinical Trials Unit at University College London.","container-title":"The Lancet Oncology","DOI":"10.1016/S1470-2045(17)30447-3","ISSN":"14702045","issue":"9","journalAbbreviation":"The Lancet Oncology","language":"en","note":"5年影响因子: 42.0\nJCR分区: Q1\n中科院分区升级版: 医学1区\n影响因子: 35.9","page":"1249-1260","PMID":"28784312","PMCID":"PMC5585417","source":"PubMed Central","title":"Neoadjuvant cisplatin and fluorouracil versus epirubicin, cisplatin, and capecitabine followed by resection in patients with oesophageal adenocarcinoma (UK MRC OE05): an open-label, randomised phase 3 trial","title-short":"Neoadjuvant cisplatin and fluorouracil versus epirubicin, cisplatin, and capecitabine followed by resection in patients with oesophageal adenocarcinoma (UK MRC OE05)","volume":"18","author":[{"family":"Alderson","given":"Derek"},{"family":"Cunningham","given":"David"},{"family":"Nankivell","given":"Matthew"},{"family":"Blazeby","given":"Jane M"},{"family":"Griffin","given":"S Michael"},{"family":"Crellin","given":"Adrian"},{"family":"Grabsch","given":"Heike I"},{"family":"Langer","given":"Rupert"},{"family":"Pritchard","given":"Susan"},{"family":"Okines","given":"Alicia"},{"family":"Krysztopik","given":"Richard"},{"family":"Coxon","given":"Fareeda"},{"family":"Thompson","given":"Joyce"},{"family":"Falk","given":"Stephen"},{"family":"Robb","given":"Clare"},{"family":"Stenning","given":"Sally"},{"family":"Langley","given":"Ruth E"}],"issued":{"date-parts":[["2017",9]]}}}],"schema":"https://github.com/citation-style-language/schema/raw/master/csl-citation.json"} </w:instrText>
      </w:r>
      <w:r>
        <w:rPr>
          <w:rFonts w:hint="default" w:ascii="Times New Roman" w:hAnsi="Times New Roman"/>
          <w:color w:val="FF0000"/>
          <w:sz w:val="21"/>
          <w:szCs w:val="21"/>
          <w:lang w:val="en-US" w:eastAsia="zh-CN"/>
        </w:rPr>
        <w:fldChar w:fldCharType="separate"/>
      </w:r>
      <w:r>
        <w:rPr>
          <w:rFonts w:hint="default" w:ascii="Times New Roman" w:hAnsi="Times New Roman" w:cs="Times New Roman"/>
          <w:color w:val="FF0000"/>
          <w:sz w:val="21"/>
          <w:szCs w:val="24"/>
          <w:vertAlign w:val="superscript"/>
        </w:rPr>
        <w:t>[12]</w:t>
      </w:r>
      <w:r>
        <w:rPr>
          <w:rFonts w:hint="default" w:ascii="Times New Roman" w:hAnsi="Times New Roman"/>
          <w:color w:val="FF0000"/>
          <w:sz w:val="21"/>
          <w:szCs w:val="21"/>
          <w:lang w:val="en-US" w:eastAsia="zh-CN"/>
        </w:rPr>
        <w:fldChar w:fldCharType="end"/>
      </w:r>
      <w:r>
        <w:rPr>
          <w:rFonts w:hint="eastAsia" w:ascii="Times New Roman" w:hAnsi="Times New Roman"/>
          <w:color w:val="FF0000"/>
          <w:sz w:val="21"/>
          <w:szCs w:val="21"/>
          <w:lang w:val="en-US" w:eastAsia="zh-CN"/>
        </w:rPr>
        <w:t>。在此背景下，将免疫检查点抑制剂（Immune Checkpoint Inhibitors, ICIs）引入新辅助治疗体系、构建NICT方案成为局部晚期食管癌领域的重要探索方向，其核心理论基础在于化疗与ICIs之间存在机制互补与协同增效效应。化疗在直接杀伤肿瘤细胞的同时，可诱导肿瘤免疫原性细胞死亡，促使肿瘤细胞释放大量新抗原及损伤相关分子模式（Damage-associated molecular patterns, DAMPs），进而激活细胞毒性T淋巴细胞，增强机体的适应性免疫应答</w:t>
      </w:r>
      <w:r>
        <w:rPr>
          <w:rFonts w:hint="eastAsia" w:ascii="Times New Roman" w:hAnsi="Times New Roman"/>
          <w:color w:val="FF0000"/>
          <w:sz w:val="21"/>
          <w:szCs w:val="21"/>
          <w:lang w:val="en-US" w:eastAsia="zh-CN"/>
        </w:rPr>
        <w:fldChar w:fldCharType="begin"/>
      </w:r>
      <w:r>
        <w:rPr>
          <w:rFonts w:hint="eastAsia" w:ascii="Times New Roman" w:hAnsi="Times New Roman"/>
          <w:color w:val="FF0000"/>
          <w:sz w:val="21"/>
          <w:szCs w:val="21"/>
          <w:lang w:val="en-US" w:eastAsia="zh-CN"/>
        </w:rPr>
        <w:instrText xml:space="preserve"> ADDIN ZOTERO_ITEM CSL_CITATION {"citationID":"vpt4odZ5","properties":{"formattedCitation":"\\super [13,14]\\nosupersub{}","plainCitation":"[13,14]","noteIndex":0},"citationItems":[{"id":1677,"uris":["http://zotero.org/users/15831584/items/P3BK3NGT"],"itemData":{"id":1677,"type":"article-journal","abstract":"Esophageal cancer (EC) is one of the most common cancers worldwide, especially in China. Despite therapeutic advances, the 5-year survival rate of EC is still dismal. For patients with resectable disease, neoadjuvant chemoradiotherapy (nCRT) in combination with esophagectomy is the mainstay of treatment. However, the pathological complete response (pCR) rate to nCRT of 29.2% to 43.2% is not satisfactory, and approximately half of the patients will develop either a locoregional recurrence or distant metastasis. It is, therefore, necessary to explore novel and effective treatment strategies to improve the clinical efficacy of treatment. Immunotherapy utilizing immune checkpoint inhibitors (ICIs) has significantly changed the treatment paradigm for a wide variety of advanced cancers, including EC. More recently, increasing clinical evidence has demonstrated that neoadjuvant immunotherapy can potentially improve the survival of patients with resectable cancers. Furthermore, accumulating findings support the idea that chemotherapy and/or radiotherapy can activate the immune system through a variety of mechanisms, so a combination of chemotherapy and/or radiotherapy with immunotherapy can have a synergistic antitumor effect. Therefore, it is reasonable to evaluate the role of neoadjuvant immunotherapy for patients with surgically resectable EC. In this review, we discuss the rationale for neoadjuvant immunotherapy in patients with EC, summarize the current results of utilizing this strategy, review the planned and ongoing studies, and highlight the challenges and future research needs.","container-title":"Frontiers in Immunology","DOI":"10.3389/fimmu.2022.1051841","ISSN":"1664-3224","journalAbbreviation":"Front. Immunol.","language":"en","note":"5年影响因子: 6.8\nJCR分区: Q1\n中科院分区升级版: 医学2区\n南农高质量: A\n影响因子: 5.9","page":"1051841","publisher":"Frontiers","source":"Frontiers","title":"Neoadjuvant immunotherapy for resectable esophageal cancer: A review","title-short":"Neoadjuvant immunotherapy for resectable esophageal cancer","volume":"13","author":[{"family":"Li","given":"Qing"},{"family":"Liu","given":"Ting"},{"family":"Ding","given":"Zhenyu"}],"issued":{"date-parts":[["2022",12,8]]}}},{"id":1679,"uris":["http://zotero.org/users/15831584/items/ASP7X6Q9"],"itemData":{"id":1679,"type":"article-journal","abstract":"Neoadjuvant immunochemotherapy is expected to become the standard treatment mode for locally advanced esophageal squamous cell carcinoma (ESCC). This study aims to analyze the clinical outcomes and long-term survival of neoadjuvant immunochemotherapy for locally advanced ESCC, and explore the feasibility of using major pathological response (MPR) as a surrogate endpoint.","container-title":"European Journal of Medical Research","DOI":"10.1186/s40001-025-02599-z","ISSN":"2047-783X","issue":"1","journalAbbreviation":"Eur. J. Med. Res.","language":"en","note":"JCR分区: Q2\n中科院分区升级版: 医学3区\n影响因子: 3.4\n5年影响因子: 3.4\n南农高质量: B","page":"342-353","source":"Springer Link","title":"Neoadjuvant immunochemotherapy for locally advanced esophageal squamous cell carcinoma in real-world practice: an analysis of the clinical outcomes and long-term survival, and the feasibility of using major pathological response as a surrogate endpoint","title-short":"Neoadjuvant immunochemotherapy for locally advanced esophageal squamous cell carcinoma in real-world practice","volume":"30","author":[{"family":"Liu","given":"Jiacong"},{"family":"Wu","given":"Ziheng"},{"family":"Zhou","given":"Shihong"},{"family":"Lv","given":"Wang"},{"family":"Wang","given":"Yiqing"},{"family":"Xia","given":"Pinghui"},{"family":"Zhu","given":"Linhai"},{"family":"Hu","given":"Jian"}],"issued":{"date-parts":[["2025",4,29]]}}}],"schema":"https://github.com/citation-style-language/schema/raw/master/csl-citation.json"} </w:instrText>
      </w:r>
      <w:r>
        <w:rPr>
          <w:rFonts w:hint="eastAsia" w:ascii="Times New Roman" w:hAnsi="Times New Roman"/>
          <w:color w:val="FF0000"/>
          <w:sz w:val="21"/>
          <w:szCs w:val="21"/>
          <w:lang w:val="en-US" w:eastAsia="zh-CN"/>
        </w:rPr>
        <w:fldChar w:fldCharType="separate"/>
      </w:r>
      <w:r>
        <w:rPr>
          <w:rFonts w:hint="default" w:ascii="Times New Roman" w:hAnsi="Times New Roman" w:cs="Times New Roman"/>
          <w:color w:val="FF0000"/>
          <w:sz w:val="21"/>
          <w:szCs w:val="24"/>
          <w:vertAlign w:val="superscript"/>
        </w:rPr>
        <w:t>[13,14]</w:t>
      </w:r>
      <w:r>
        <w:rPr>
          <w:rFonts w:hint="eastAsia" w:ascii="Times New Roman" w:hAnsi="Times New Roman"/>
          <w:color w:val="FF0000"/>
          <w:sz w:val="21"/>
          <w:szCs w:val="21"/>
          <w:lang w:val="en-US" w:eastAsia="zh-CN"/>
        </w:rPr>
        <w:fldChar w:fldCharType="end"/>
      </w:r>
      <w:r>
        <w:rPr>
          <w:rFonts w:hint="eastAsia" w:ascii="Times New Roman" w:hAnsi="Times New Roman"/>
          <w:color w:val="FF0000"/>
          <w:sz w:val="21"/>
          <w:szCs w:val="21"/>
          <w:lang w:val="en-US" w:eastAsia="zh-CN"/>
        </w:rPr>
        <w:t>。此外，化疗能上调肿瘤微环境中PD-L1的表达，并显著促进CD8</w:t>
      </w:r>
      <w:r>
        <w:rPr>
          <w:rFonts w:hint="eastAsia" w:ascii="Times New Roman" w:hAnsi="Times New Roman"/>
          <w:color w:val="FF0000"/>
          <w:sz w:val="21"/>
          <w:szCs w:val="21"/>
          <w:vertAlign w:val="superscript"/>
          <w:lang w:val="en-US" w:eastAsia="zh-CN"/>
        </w:rPr>
        <w:t>+</w:t>
      </w:r>
      <w:r>
        <w:rPr>
          <w:rFonts w:hint="eastAsia" w:ascii="Times New Roman" w:hAnsi="Times New Roman"/>
          <w:color w:val="FF0000"/>
          <w:sz w:val="21"/>
          <w:szCs w:val="21"/>
          <w:lang w:val="en-US" w:eastAsia="zh-CN"/>
        </w:rPr>
        <w:t xml:space="preserve"> T细胞浸润，将免疫抑制状态下的“冷肿瘤”重塑为免疫活化的“热肿瘤”，而PD-L1表达的上调为ICIs提供了更为明确的作用靶点，使两者得以形成正向协同</w:t>
      </w:r>
      <w:r>
        <w:rPr>
          <w:rFonts w:hint="eastAsia" w:ascii="Times New Roman" w:hAnsi="Times New Roman"/>
          <w:color w:val="FF0000"/>
          <w:sz w:val="21"/>
          <w:szCs w:val="21"/>
          <w:lang w:val="en-US" w:eastAsia="zh-CN"/>
        </w:rPr>
        <w:fldChar w:fldCharType="begin"/>
      </w:r>
      <w:r>
        <w:rPr>
          <w:rFonts w:hint="eastAsia" w:ascii="Times New Roman" w:hAnsi="Times New Roman"/>
          <w:color w:val="FF0000"/>
          <w:sz w:val="21"/>
          <w:szCs w:val="21"/>
          <w:lang w:val="en-US" w:eastAsia="zh-CN"/>
        </w:rPr>
        <w:instrText xml:space="preserve"> ADDIN ZOTERO_ITEM CSL_CITATION {"citationID":"3GGjFASp","properties":{"formattedCitation":"\\super [15]\\nosupersub{}","plainCitation":"[15]","noteIndex":0},"citationItems":[{"id":1681,"uris":["http://zotero.org/users/15831584/items/7AP7GHSH"],"itemData":{"id":1681,"type":"article-journal","abstract":"Tumor immune microenvironment remodeling and prognosis of patients with esophageal squamous cell carcinoma after neoadjuvant chemotherapy with and without immunotherapy: a retrospective cohort study","container-title":"Journal of Thoracic Disease","DOI":"10.21037/jtd-24-828","ISSN":"20721439, 20776624","issue":"6","journalAbbreviation":"J Thorac Dis","language":"en","note":"5年影响因子: 2.5\nJCR分区: Q3\n中科院分区升级版: 医学4区\n南农高质量: D\n影响因子: 1.9","page":"3909-3922","publisher":"AME Publishing Company","source":"jtd.amegroups.org","title":"Tumor immune microenvironment remodeling and prognosis of patients with esophageal squamous cell carcinoma after neoadjuvant chemotherapy with and without immunotherapy: a retrospective cohort study","title-short":"Tumor immune microenvironment remodeling and prognosis of patients with esophageal squamous cell carcinoma after neoadjuvant chemotherapy with and without immunotherapy","volume":"16","author":[{"family":"Liu","given":"Lihong"},{"family":"Liu","given":"Yueping"},{"family":"Xu","given":"Li’ang"},{"family":"Ding","given":"Yan"},{"family":"Han","given":"Jing"},{"family":"Wang","given":"Qi"},{"family":"Chen","given":"Xiaoxi"},{"family":"Almhanna","given":"Khaldoun"},{"family":"Han","given":"Chun"},{"family":"Wang","given":"Lan"}],"issued":{"date-parts":[["2024",6]]}}}],"schema":"https://github.com/citation-style-language/schema/raw/master/csl-citation.json"} </w:instrText>
      </w:r>
      <w:r>
        <w:rPr>
          <w:rFonts w:hint="eastAsia" w:ascii="Times New Roman" w:hAnsi="Times New Roman"/>
          <w:color w:val="FF0000"/>
          <w:sz w:val="21"/>
          <w:szCs w:val="21"/>
          <w:lang w:val="en-US" w:eastAsia="zh-CN"/>
        </w:rPr>
        <w:fldChar w:fldCharType="separate"/>
      </w:r>
      <w:r>
        <w:rPr>
          <w:rFonts w:hint="default" w:ascii="Times New Roman" w:hAnsi="Times New Roman" w:cs="Times New Roman"/>
          <w:color w:val="FF0000"/>
          <w:sz w:val="21"/>
          <w:szCs w:val="24"/>
          <w:vertAlign w:val="superscript"/>
        </w:rPr>
        <w:t>[15]</w:t>
      </w:r>
      <w:r>
        <w:rPr>
          <w:rFonts w:hint="eastAsia" w:ascii="Times New Roman" w:hAnsi="Times New Roman"/>
          <w:color w:val="FF0000"/>
          <w:sz w:val="21"/>
          <w:szCs w:val="21"/>
          <w:lang w:val="en-US" w:eastAsia="zh-CN"/>
        </w:rPr>
        <w:fldChar w:fldCharType="end"/>
      </w:r>
      <w:r>
        <w:rPr>
          <w:rFonts w:hint="eastAsia" w:ascii="Times New Roman" w:hAnsi="Times New Roman"/>
          <w:color w:val="FF0000"/>
          <w:sz w:val="21"/>
          <w:szCs w:val="21"/>
          <w:lang w:val="en-US" w:eastAsia="zh-CN"/>
        </w:rPr>
        <w:t>。在此基础上，ICIs通过阻断PD-1/PD-L1轴进一步放大全身免疫反应，理论上亦有助于建立长效免疫记忆、清除潜在微转移灶</w:t>
      </w:r>
      <w:r>
        <w:rPr>
          <w:rFonts w:hint="eastAsia" w:ascii="Times New Roman" w:hAnsi="Times New Roman"/>
          <w:color w:val="FF0000"/>
          <w:sz w:val="21"/>
          <w:szCs w:val="21"/>
          <w:lang w:val="en-US" w:eastAsia="zh-CN"/>
        </w:rPr>
        <w:fldChar w:fldCharType="begin"/>
      </w:r>
      <w:r>
        <w:rPr>
          <w:rFonts w:hint="eastAsia" w:ascii="Times New Roman" w:hAnsi="Times New Roman"/>
          <w:color w:val="FF0000"/>
          <w:sz w:val="21"/>
          <w:szCs w:val="21"/>
          <w:lang w:val="en-US" w:eastAsia="zh-CN"/>
        </w:rPr>
        <w:instrText xml:space="preserve"> ADDIN ZOTERO_ITEM CSL_CITATION {"citationID":"HcMFsDuj","properties":{"formattedCitation":"\\super [13,15]\\nosupersub{}","plainCitation":"[13,15]","noteIndex":0},"citationItems":[{"id":1677,"uris":["http://zotero.org/users/15831584/items/P3BK3NGT"],"itemData":{"id":1677,"type":"article-journal","abstract":"Esophageal cancer (EC) is one of the most common cancers worldwide, especially in China. Despite therapeutic advances, the 5-year survival rate of EC is still dismal. For patients with resectable disease, neoadjuvant chemoradiotherapy (nCRT) in combination with esophagectomy is the mainstay of treatment. However, the pathological complete response (pCR) rate to nCRT of 29.2% to 43.2% is not satisfactory, and approximately half of the patients will develop either a locoregional recurrence or distant metastasis. It is, therefore, necessary to explore novel and effective treatment strategies to improve the clinical efficacy of treatment. Immunotherapy utilizing immune checkpoint inhibitors (ICIs) has significantly changed the treatment paradigm for a wide variety of advanced cancers, including EC. More recently, increasing clinical evidence has demonstrated that neoadjuvant immunotherapy can potentially improve the survival of patients with resectable cancers. Furthermore, accumulating findings support the idea that chemotherapy and/or radiotherapy can activate the immune system through a variety of mechanisms, so a combination of chemotherapy and/or radiotherapy with immunotherapy can have a synergistic antitumor effect. Therefore, it is reasonable to evaluate the role of neoadjuvant immunotherapy for patients with surgically resectable EC. In this review, we discuss the rationale for neoadjuvant immunotherapy in patients with EC, summarize the current results of utilizing this strategy, review the planned and ongoing studies, and highlight the challenges and future research needs.","container-title":"Frontiers in Immunology","DOI":"10.3389/fimmu.2022.1051841","ISSN":"1664-3224","journalAbbreviation":"Front. Immunol.","language":"en","note":"5年影响因子: 6.8\nJCR分区: Q1\n中科院分区升级版: 医学2区\n南农高质量: A\n影响因子: 5.9","page":"1051841","publisher":"Frontiers","source":"Frontiers","title":"Neoadjuvant immunotherapy for resectable esophageal cancer: A review","title-short":"Neoadjuvant immunotherapy for resectable esophageal cancer","volume":"13","author":[{"family":"Li","given":"Qing"},{"family":"Liu","given":"Ting"},{"family":"Ding","given":"Zhenyu"}],"issued":{"date-parts":[["2022",12,8]]}}},{"id":1681,"uris":["http://zotero.org/users/15831584/items/7AP7GHSH"],"itemData":{"id":1681,"type":"article-journal","abstract":"Tumor immune microenvironment remodeling and prognosis of patients with esophageal squamous cell carcinoma after neoadjuvant chemotherapy with and without immunotherapy: a retrospective cohort study","container-title":"Journal of Thoracic Disease","DOI":"10.21037/jtd-24-828","ISSN":"20721439, 20776624","issue":"6","journalAbbreviation":"J Thorac Dis","language":"en","note":"5年影响因子: 2.5\nJCR分区: Q3\n中科院分区升级版: 医学4区\n南农高质量: D\n影响因子: 1.9","page":"3909-3922","publisher":"AME Publishing Company","source":"jtd.amegroups.org","title":"Tumor immune microenvironment remodeling and prognosis of patients with esophageal squamous cell carcinoma after neoadjuvant chemotherapy with and without immunotherapy: a retrospective cohort study","title-short":"Tumor immune microenvironment remodeling and prognosis of patients with esophageal squamous cell carcinoma after neoadjuvant chemotherapy with and without immunotherapy","volume":"16","author":[{"family":"Liu","given":"Lihong"},{"family":"Liu","given":"Yueping"},{"family":"Xu","given":"Li’ang"},{"family":"Ding","given":"Yan"},{"family":"Han","given":"Jing"},{"family":"Wang","given":"Qi"},{"family":"Chen","given":"Xiaoxi"},{"family":"Almhanna","given":"Khaldoun"},{"family":"Han","given":"Chun"},{"family":"Wang","given":"Lan"}],"issued":{"date-parts":[["2024",6]]}}}],"schema":"https://github.com/citation-style-language/schema/raw/master/csl-citation.json"} </w:instrText>
      </w:r>
      <w:r>
        <w:rPr>
          <w:rFonts w:hint="eastAsia" w:ascii="Times New Roman" w:hAnsi="Times New Roman"/>
          <w:color w:val="FF0000"/>
          <w:sz w:val="21"/>
          <w:szCs w:val="21"/>
          <w:lang w:val="en-US" w:eastAsia="zh-CN"/>
        </w:rPr>
        <w:fldChar w:fldCharType="separate"/>
      </w:r>
      <w:r>
        <w:rPr>
          <w:rFonts w:hint="default" w:ascii="Times New Roman" w:hAnsi="Times New Roman" w:cs="Times New Roman"/>
          <w:color w:val="FF0000"/>
          <w:sz w:val="21"/>
          <w:szCs w:val="24"/>
          <w:vertAlign w:val="superscript"/>
        </w:rPr>
        <w:t>[13,15]</w:t>
      </w:r>
      <w:r>
        <w:rPr>
          <w:rFonts w:hint="eastAsia" w:ascii="Times New Roman" w:hAnsi="Times New Roman"/>
          <w:color w:val="FF0000"/>
          <w:sz w:val="21"/>
          <w:szCs w:val="21"/>
          <w:lang w:val="en-US" w:eastAsia="zh-CN"/>
        </w:rPr>
        <w:fldChar w:fldCharType="end"/>
      </w:r>
      <w:r>
        <w:rPr>
          <w:rFonts w:hint="eastAsia" w:ascii="Times New Roman" w:hAnsi="Times New Roman"/>
          <w:color w:val="FF0000"/>
          <w:sz w:val="21"/>
          <w:szCs w:val="21"/>
          <w:lang w:val="en-US" w:eastAsia="zh-CN"/>
        </w:rPr>
        <w:t>。多重机制的协同叠加，使NICT有望在单一治疗模式基础上进一步改善局部晚期食管癌患者的预后。</w:t>
      </w:r>
    </w:p>
    <w:p w14:paraId="0C9FED9F">
      <w:pPr>
        <w:keepNext w:val="0"/>
        <w:keepLines w:val="0"/>
        <w:pageBreakBefore w:val="0"/>
        <w:widowControl w:val="0"/>
        <w:tabs>
          <w:tab w:val="left" w:pos="1200"/>
        </w:tabs>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olor w:val="FF0000"/>
          <w:sz w:val="21"/>
          <w:szCs w:val="21"/>
          <w:lang w:val="en-US" w:eastAsia="zh-CN"/>
        </w:rPr>
      </w:pPr>
      <w:r>
        <w:rPr>
          <w:rFonts w:hint="eastAsia" w:ascii="Times New Roman" w:hAnsi="Times New Roman"/>
          <w:color w:val="FF0000"/>
          <w:sz w:val="21"/>
          <w:szCs w:val="21"/>
          <w:lang w:val="en-US" w:eastAsia="zh-CN"/>
        </w:rPr>
        <w:t>目前NICT方案的循证证据多集中于短期病理缓解及安全性评价，长期生存随访数据仍较有限。ESCORT-NEO/NCCES01是首个评估食管癌NICT方案的Ⅲ期随机对照试验，该研究将卡瑞利珠单抗联合白蛋白紫杉醇及顺铂的新辅助方案对比单纯化疗，结果显示联合治疗组病理完全缓解率（Pathologic complete response, pCR）与主要病理学缓解率（Major pathologic response, MPR）分别达28.0%与59.1%，显著优于单纯化疗组的4.7%和20.9%，而两组3级及以上治疗相关不良事件（Treatment-related adverse events, TRAEs）发生率相当，联合治疗并未增加围手术期风险</w:t>
      </w:r>
      <w:r>
        <w:rPr>
          <w:rFonts w:hint="eastAsia" w:ascii="Times New Roman" w:hAnsi="Times New Roman"/>
          <w:color w:val="FF0000"/>
          <w:sz w:val="21"/>
          <w:szCs w:val="21"/>
          <w:lang w:val="en-US" w:eastAsia="zh-CN"/>
        </w:rPr>
        <w:fldChar w:fldCharType="begin"/>
      </w:r>
      <w:r>
        <w:rPr>
          <w:rFonts w:hint="eastAsia" w:ascii="Times New Roman" w:hAnsi="Times New Roman"/>
          <w:color w:val="FF0000"/>
          <w:sz w:val="21"/>
          <w:szCs w:val="21"/>
          <w:lang w:val="en-US" w:eastAsia="zh-CN"/>
        </w:rPr>
        <w:instrText xml:space="preserve"> ADDIN ZOTERO_ITEM CSL_CITATION {"citationID":"eZo7mHbE","properties":{"formattedCitation":"\\super [6]\\nosupersub{}","plainCitation":"[6]","noteIndex":0},"citationItems":[{"id":1397,"uris":["http://zotero.org/users/15831584/items/W7LXGNZJ"],"itemData":{"id":1397,"type":"article-journal","abstract":"Recent single-arm studies involving neoadjuvant camrelizumab, a PD-1 inhibitor, plus chemotherapy for resectable locally advanced esophageal squamous cell carcinoma (LA-ESCC) have shown promising results. This multicenter, randomized, open-label phase 3 trial aimed to further assess the efficacy and safety of neoadjuvant camrelizumab plus chemotherapy followed by adjuvant camrelizumab, compared to neoadjuvant chemotherapy alone. A total of 391 patients with resectable thoracic LA-ESCC (T1b-3N1-3M0 or T3N0M0) were stratified by clinical stage (I/II, III or IVA) and randomized in a 1:1:1 ratio to undergo two cycles of neoadjuvant therapy. Treatments included camrelizumab, albumin-bound paclitaxel and cisplatin (Cam+nab-TP group; n = 132); camrelizumab, paclitaxel and cisplatin (Cam+TP group; n = 130); and paclitaxel with cisplatin (TP group; n = 129), followed by surgical resection. Both the Cam+nab-TP and Cam+TP groups also received adjuvant camrelizumab. The dual primary endpoints were the rate of pathological complete response (pCR), as evaluated by a blind independent review committee, and event-free survival (EFS), as assessed by investigators. This study reports the final analysis of pCR rates. In the intention-to-treat population, the Cam+nab-TP and Cam+TP groups exhibited significantly higher pCR rates of 28.0% and 15.4%, respectively, compared to 4.7% in the TP group (Cam+nab-TP versus TP: difference 23.5%, 95% confidence interval (CI) 15.1-32.0, P &lt; 0.0001; Cam+TP versus TP: difference 10.9%, 95% CI 3.7-18.1, P = 0.0034). The study met its primary endpoint of pCR; however, EFS is not yet mature. The incidence of grade ≥3 treatment-related adverse events during neoadjuvant treatment was 34.1% for the Cam+nab-TP group, 29.2% for the Cam+TP group and 28.8% for the TP group; the postoperative complication rates were 34.2%, 38.8% and 32.0%, respectively. Neoadjuvant camrelizumab plus chemotherapy demonstrated superior pCR rates compared to chemotherapy alone for LA-ESCC, with a tolerable safety profile. Chinese Clinical Trial Registry identifier: ChiCTR2000040034 .","container-title":"Nature Medicine","DOI":"10.1038/s41591-024-03064-w","ISSN":"1546-170X","issue":"9","journalAbbreviation":"Nat. Med.","language":"en","note":"5年影响因子: 52.4\nJCR分区: Q1\nTLDR: The study met its primary endpoint of pCR; however, EFS is not yet mature; however, Neoadjuvant camrelizumab plus chemotherapy demonstrated superior pCR rates compared to chemotherapy alone for LA-ESCC, with a tolerable safety profile.\n中科院分区升级版: 医学1区\n南农高质量: A\n影响因子: 50.0","page":"2549-2557","PMID":"38956195","PMCID":"PMC11405280","source":"PubMed","title":"Neoadjuvant chemotherapy with or without camrelizumab in resectable esophageal squamous cell carcinoma: the randomized phase 3 ESCORT-NEO/NCCES01 trial","title-short":"Neoadjuvant chemotherapy with or without camrelizumab in resectable esophageal squamous cell carcinoma","volume":"30","author":[{"family":"Qin","given":"Jianjun"},{"family":"Xue","given":"Liyan"},{"family":"Hao","given":"Anlin"},{"family":"Guo","given":"Xiaofeng"},{"family":"Jiang","given":"Tao"},{"family":"Ni","given":"Yunfeng"},{"family":"Liu","given":"Shuoyan"},{"family":"Chen","given":"Yujie"},{"family":"Jiang","given":"Hongjing"},{"family":"Zhang","given":"Chen"},{"family":"Kang","given":"Mingqiang"},{"family":"Lin","given":"Jihong"},{"family":"Li","given":"Hecheng"},{"family":"Li","given":"Chengqiang"},{"family":"Tian","given":"Hui"},{"family":"Li","given":"Lin"},{"family":"Fu","given":"Junke"},{"family":"Zhang","given":"Yong"},{"family":"Ma","given":"Jianqun"},{"family":"Wang","given":"Xiaoyuan"},{"family":"Fu","given":"Maoyong"},{"family":"Yang","given":"Hao"},{"family":"Yang","given":"Zhaoyang"},{"family":"Han","given":"Yongtao"},{"family":"Chen","given":"Longqi"},{"family":"Tan","given":"Lijie"},{"family":"Dai","given":"Tianyang"},{"family":"Liao","given":"Yongde"},{"family":"Zhang","given":"Weiguo"},{"family":"Li","given":"Bin"},{"family":"Chen","given":"Qixun"},{"family":"Guo","given":"Shiping"},{"family":"Qi","given":"Yu"},{"family":"Wei","given":"Li"},{"family":"Li","given":"Zhigang"},{"family":"Tian","given":"Ziqiang"},{"family":"Kang","given":"Xiaozheng"},{"family":"Zhang","given":"Ruixiang"},{"family":"Li","given":"Yong"},{"family":"Wang","given":"Zhen"},{"family":"Chen","given":"Xiankai"},{"family":"Hou","given":"Zhiguo"},{"family":"Zheng","given":"Rongrong"},{"family":"Zhu","given":"Wenqing"},{"family":"He","given":"Jie"},{"family":"Li","given":"Yin"}],"issued":{"date-parts":[["2024",9]]}}}],"schema":"https://github.com/citation-style-language/schema/raw/master/csl-citation.json"} </w:instrText>
      </w:r>
      <w:r>
        <w:rPr>
          <w:rFonts w:hint="eastAsia" w:ascii="Times New Roman" w:hAnsi="Times New Roman"/>
          <w:color w:val="FF0000"/>
          <w:sz w:val="21"/>
          <w:szCs w:val="21"/>
          <w:lang w:val="en-US" w:eastAsia="zh-CN"/>
        </w:rPr>
        <w:fldChar w:fldCharType="separate"/>
      </w:r>
      <w:r>
        <w:rPr>
          <w:rFonts w:hint="default" w:ascii="Times New Roman" w:hAnsi="Times New Roman" w:cs="Times New Roman"/>
          <w:color w:val="FF0000"/>
          <w:sz w:val="21"/>
          <w:szCs w:val="24"/>
          <w:vertAlign w:val="superscript"/>
        </w:rPr>
        <w:t>[6]</w:t>
      </w:r>
      <w:r>
        <w:rPr>
          <w:rFonts w:hint="eastAsia" w:ascii="Times New Roman" w:hAnsi="Times New Roman"/>
          <w:color w:val="FF0000"/>
          <w:sz w:val="21"/>
          <w:szCs w:val="21"/>
          <w:lang w:val="en-US" w:eastAsia="zh-CN"/>
        </w:rPr>
        <w:fldChar w:fldCharType="end"/>
      </w:r>
      <w:r>
        <w:rPr>
          <w:rFonts w:hint="eastAsia" w:ascii="Times New Roman" w:hAnsi="Times New Roman"/>
          <w:color w:val="FF0000"/>
          <w:sz w:val="21"/>
          <w:szCs w:val="21"/>
          <w:lang w:val="en-US" w:eastAsia="zh-CN"/>
        </w:rPr>
        <w:t>。但该研究尚无成熟生存数据公布。REVO研究则将NICT与NCRT进行直接比较，两组pCR率相近（32.7% vs 34.6%），但NCRT组3级及以上TRAEs发生率及治疗中断率均更高，进一步提示NICT方案在疗效不劣于NCRT的同时具有更优的耐受性</w:t>
      </w:r>
      <w:r>
        <w:rPr>
          <w:rFonts w:hint="eastAsia" w:ascii="Times New Roman" w:hAnsi="Times New Roman"/>
          <w:color w:val="FF0000"/>
          <w:sz w:val="21"/>
          <w:szCs w:val="21"/>
          <w:lang w:val="en-US" w:eastAsia="zh-CN"/>
        </w:rPr>
        <w:fldChar w:fldCharType="begin"/>
      </w:r>
      <w:r>
        <w:rPr>
          <w:rFonts w:hint="eastAsia" w:ascii="Times New Roman" w:hAnsi="Times New Roman"/>
          <w:color w:val="FF0000"/>
          <w:sz w:val="21"/>
          <w:szCs w:val="21"/>
          <w:lang w:val="en-US" w:eastAsia="zh-CN"/>
        </w:rPr>
        <w:instrText xml:space="preserve"> ADDIN ZOTERO_ITEM CSL_CITATION {"citationID":"aI3tBq12","properties":{"formattedCitation":"\\super [16]\\nosupersub{}","plainCitation":"[16]","noteIndex":0},"citationItems":[{"id":1584,"uris":["http://zotero.org/users/15831584/items/GQ23BZHP"],"itemData":{"id":1584,"type":"article-journal","abstract":"Several studies have evaluated PD-1 inhibitors plus chemotherapy as neoadjuvant treatment for locally advanced esophageal squamous cell carcinoma (ESCC), but comparative data with chemoradiotherapy (CRT) remain limited. This multicenter, randomized, open-label, phase 2 non-inferiority trial (REVO, NCT05007145) assessed the efficacy and safety of neoadjuvant camrelizumab plus chemotherapy (ICT) versus CRT in patients with resectable, locally advanced ESCC. A total of 104 patients were randomized to ICT (camrelizumab, nab-paclitaxel, cisplatin) or CRT (nab-paclitaxel, cisplatin, radiotherapy). The primary endpoint was pathologic complete response (pCR). ICT achieved a pCR rate of 32.7% versus 34.6% with CRT (rate ratio 0.94, 90% CI 0.6-1.49), demonstrating non-inferiority and meeting the pre-specified primary endpoint. Major pathologic response was observed in 42.3% of ICT patients and 57.7% of CRT patients, with R0 resection achieved in 100% of both groups. 1-year disease-free survival was 89.1% versus 78.2%, and 1-year overall survival was 100% versus 92.3% for ICT and CRT, respectively. Grade ≥3 treatment-related adverse events occurred in 19.2% of ICT patients and 33.3% of CRT patients, and surgical complications were reported in 31.1% and 35.9%, respectively. These findings indicate that ICT is a safe and effective neoadjuvant strategy for resectable ESCC with a more favorable safety profile.","container-title":"Nature Communications","DOI":"10.1038/s41467-025-64660-z","ISSN":"2041-1723","issue":"1","journalAbbreviation":"Nat. Commun.","language":"en","note":"5年影响因子: 17.2\nJCR分区: Q1\n中科院分区升级版: 综合性期刊1区\n南农高质量: A\n影响因子: 15.7","page":"9676","PMID":"41184224","PMCID":"PMC12583711","source":"PubMed","title":"Camrelizumab plus chemotherapy versus chemoradiotherapy as neoadjuvant therapy for resectable esophageal squamous cell carcinoma: phase 2 randomized trial (REVO)","title-short":"Camrelizumab plus chemotherapy versus chemoradiotherapy as neoadjuvant therapy for resectable esophageal squamous cell carcinoma","volume":"16","author":[{"family":"Wang","given":"Peiyuan"},{"family":"Chen","given":"Yujie"},{"family":"Wang","given":"Feng"},{"family":"Chen","given":"Mingqiu"},{"family":"Zheng","given":"Buhong"},{"family":"Zhang","given":"Derong"},{"family":"Zheng","given":"Qingfeng"},{"family":"Wang","given":"Jiezhong"},{"family":"Chen","given":"Junqiang"},{"family":"Cai","given":"Huaxin"},{"family":"Liu","given":"Junhua"},{"family":"Zhang","given":"Wenshan"},{"family":"Lian","given":"Changhong"},{"family":"Chen","given":"Juhui"},{"family":"Lin","given":"Yu"},{"family":"Xu","given":"Yuanji"},{"family":"Huang","given":"Rongfang"},{"family":"Lei","given":"Mengxia"},{"family":"Chen","given":"Peng"},{"family":"He","given":"Hao"},{"family":"Lin","given":"Hui"},{"family":"Chen","given":"Xiaofeng"},{"family":"Zhou","given":"Hang"},{"family":"Chen","given":"Weijie"},{"family":"Wei","given":"Wenwei"},{"family":"Zhuang","given":"Fengnian"},{"family":"Lin","given":"Junpeng"},{"family":"Huang","given":"Canhua"},{"family":"Guan","given":"Ni"},{"family":"Yan","given":"Jin"},{"family":"Liang","given":"Shujun"},{"family":"Liu","given":"Shuoyan"},{"family":"Li","given":"Jiancheng"}],"issued":{"date-parts":[["2025",11,3]]}}}],"schema":"https://github.com/citation-style-language/schema/raw/master/csl-citation.json"} </w:instrText>
      </w:r>
      <w:r>
        <w:rPr>
          <w:rFonts w:hint="eastAsia" w:ascii="Times New Roman" w:hAnsi="Times New Roman"/>
          <w:color w:val="FF0000"/>
          <w:sz w:val="21"/>
          <w:szCs w:val="21"/>
          <w:lang w:val="en-US" w:eastAsia="zh-CN"/>
        </w:rPr>
        <w:fldChar w:fldCharType="separate"/>
      </w:r>
      <w:r>
        <w:rPr>
          <w:rFonts w:hint="default" w:ascii="Times New Roman" w:hAnsi="Times New Roman" w:cs="Times New Roman"/>
          <w:color w:val="FF0000"/>
          <w:sz w:val="21"/>
          <w:szCs w:val="24"/>
          <w:vertAlign w:val="superscript"/>
        </w:rPr>
        <w:t>[16]</w:t>
      </w:r>
      <w:r>
        <w:rPr>
          <w:rFonts w:hint="eastAsia" w:ascii="Times New Roman" w:hAnsi="Times New Roman"/>
          <w:color w:val="FF0000"/>
          <w:sz w:val="21"/>
          <w:szCs w:val="21"/>
          <w:lang w:val="en-US" w:eastAsia="zh-CN"/>
        </w:rPr>
        <w:fldChar w:fldCharType="end"/>
      </w:r>
      <w:r>
        <w:rPr>
          <w:rFonts w:hint="eastAsia" w:ascii="Times New Roman" w:hAnsi="Times New Roman"/>
          <w:color w:val="FF0000"/>
          <w:sz w:val="21"/>
          <w:szCs w:val="21"/>
          <w:lang w:val="en-US" w:eastAsia="zh-CN"/>
        </w:rPr>
        <w:t>。在生存获益层面，初步证据正逐步积累。HCHTOG1909研究期中分析显示，特瑞普利单抗联合化疗组1年无事件生存（Event-free survival, EFS）率达77.9%，显著优于单纯化疗组的64.3%，1年总生存（Overall survival, OS）率也呈现明确优势（94.1% vs 83.0%）</w:t>
      </w:r>
      <w:r>
        <w:rPr>
          <w:rFonts w:hint="eastAsia" w:ascii="Times New Roman" w:hAnsi="Times New Roman"/>
          <w:color w:val="FF0000"/>
          <w:sz w:val="21"/>
          <w:szCs w:val="21"/>
          <w:lang w:val="en-US" w:eastAsia="zh-CN"/>
        </w:rPr>
        <w:fldChar w:fldCharType="begin"/>
      </w:r>
      <w:r>
        <w:rPr>
          <w:rFonts w:hint="eastAsia" w:ascii="Times New Roman" w:hAnsi="Times New Roman"/>
          <w:color w:val="FF0000"/>
          <w:sz w:val="21"/>
          <w:szCs w:val="21"/>
          <w:lang w:val="en-US" w:eastAsia="zh-CN"/>
        </w:rPr>
        <w:instrText xml:space="preserve"> ADDIN ZOTERO_ITEM CSL_CITATION {"citationID":"4oSahECl","properties":{"formattedCitation":"\\super [17]\\nosupersub{}","plainCitation":"[17]","noteIndex":0},"citationItems":[{"id":1439,"uris":["http://zotero.org/users/15831584/items/UV3HDNZ5"],"itemData":{"id":1439,"type":"article-journal","abstract":"Abstract\n            \n              Background\n              In the era of immunotherapy, neoadjuvant immunochemotherapy (NAIC) for the treatment of locally advanced esophageal squamous cell carcinoma (ESCC) is used clinically but lacks of high‐level clinical evidence. This study aimed to compare the safety and long‐term efficacy of NAIC followed by minimally invasive esophagectomy (MIE) with those of neoadjuvant chemotherapy (NAC) followed by MIE.\n            \n            \n              Methods\n              \n                A prospective, single‐center, open‐label, randomized phase III clinical trial was conducted at Henan Cancer Hospital, Zhengzhou, China. Patients were randomly assigned to receive either neoadjuvant toripalimab (240 mg) plus paclitaxel (175 mg/m\n                2\n                ) + cisplatin (75 mg/m\n                2\n                ) (toripalimab group) or paclitaxel + cisplatin alone (chemotherapy group) every 3 weeks for 2 cycles. After surgery, the toripalimab group received toripalimab (240 mg every 3 weeks for up to 6 months). The primary endpoint was event‐free survival (EFS). The pathological complete response (pCR) and overall survival (OS) were key secondary endpoints. Adverse events (AEs) and quality of life were also assessed.\n              \n            \n            \n              Results\n              \n                Between May 15, 2020 and August 13, 2021, 252 ESCC patients ranging from T1N1‐3M0 to T2‐3N0‐3M0 were enrolled for interim analysis, with 127 in the toripalimab group and 125 in the chemotherapy group. The 1‐year EFS rate was 77.9% in the toripalimab group compared to 64.3% in the chemotherapy group (hazard ratio [HR] = 0.62; 95% confidence interval [CI] = 0.39 to 1.00;\n                P\n                = 0.05). The 1‐year OS rates were 94.1% and 83.0% in the toripalimab and chemotherapy groups, respectively (HR = 0.48; 95% CI = 0.24 to 0.97;\n                P =\n                0.037). The patients in the toripalimab group had a higher pCR rate (18.6% vs. 4.6%;\n                P\n                = 0.001). The rates of postoperative Clavien‐Dindo grade IIIb or higher morbidity were 9.8% in the toripalimab group and 6.8% in the chemotherapy group, with no significant difference observed (\n                P\n                = 0.460). The rates of grade 3 or 4 treatment‐related AEs did not differ between the two groups (12.5% versus 12.4%).\n              \n            \n            \n              Conclusions\n              The interim results of this ongoing trial showed that in resectable ESCC, the addition of perioperative toripalimab to NAC is safe, may improve OS and might change the standard treatment in the future.","container-title":"Cancer Communications","DOI":"10.1002/cac2.12604","ISSN":"2523-3548, 2523-3548","issue":"10","journalAbbreviation":"Cancer Commun.","language":"en","license":"© 2024 The Author(s). Cancer Communications published by John Wiley &amp; Sons Australia, Ltd on behalf of Sun Yat-sen University Cancer Center.","note":"_eprint: https://onlinelibrary.wiley.com/doi/pdf/10.1002/cac2.12604\n5年影响因子: 22.2\nCSCD: 核心库\nJCR分区: Q1\nTLDR: This study aimed to compare the safety and long‐term efficacy of NAIC followed by minimally invasive esophagectomy (MIE) with those of neoadjuvant chemotherapy (NAC) followed by MIE.\n中科院分区升级版: 医学1区\n影响因子: 24.9\n南农高质量: A","page":"1214-1227","source":"Wiley Online Library","title":"Perioperative toripalimab plus neoadjuvant chemotherapy might improve outcomes in resectable esophageal cancer: an interim analysis of a phase III randomized clinical trial","title-short":"Perioperative toripalimab plus neoadjuvant chemotherapy might improve outcomes in resectable esophageal cancer","volume":"44","author":[{"family":"Zheng","given":"Yan"},{"family":"Liang","given":"Guanghui"},{"family":"Yuan","given":"Dongfeng"},{"family":"Liu","given":"Xianben"},{"family":"Ba","given":"Yufeng"},{"family":"Qin","given":"Zimin"},{"family":"Shen","given":"Sining"},{"family":"Li","given":"Zhenxuan"},{"family":"Sun","given":"Haibo"},{"family":"Liu","given":"Baoxing"},{"family":"Gao","given":"Quanli"},{"family":"Li","given":"Peng"},{"family":"Wang","given":"Zongfei"},{"family":"Liu","given":"Shilei"},{"family":"Zhu","given":"Jianping"},{"family":"Wang","given":"Haoran"},{"family":"Ma","given":"Haibo"},{"family":"Liu","given":"Zhenzhen"},{"family":"Zhao","given":"Fei"},{"family":"Zhang","given":"Jun"},{"family":"Zhang","given":"He"},{"family":"Wu","given":"Daoyuan"},{"family":"Qu","given":"Jinrong"},{"family":"Ma","given":"Jie"},{"family":"Zhang","given":"Peng"},{"family":"Ma","given":"Wenjie"},{"family":"Yan","given":"Ming"},{"family":"Yu","given":"Yongkui"},{"family":"Li","given":"Qing"},{"family":"Zhang","given":"Jiangong"},{"family":"Xing","given":"Wenqun"}],"issued":{"date-parts":[["2024",10]]}}}],"schema":"https://github.com/citation-style-language/schema/raw/master/csl-citation.json"} </w:instrText>
      </w:r>
      <w:r>
        <w:rPr>
          <w:rFonts w:hint="eastAsia" w:ascii="Times New Roman" w:hAnsi="Times New Roman"/>
          <w:color w:val="FF0000"/>
          <w:sz w:val="21"/>
          <w:szCs w:val="21"/>
          <w:lang w:val="en-US" w:eastAsia="zh-CN"/>
        </w:rPr>
        <w:fldChar w:fldCharType="separate"/>
      </w:r>
      <w:r>
        <w:rPr>
          <w:rFonts w:hint="default" w:ascii="Times New Roman" w:hAnsi="Times New Roman" w:cs="Times New Roman"/>
          <w:color w:val="FF0000"/>
          <w:sz w:val="21"/>
          <w:szCs w:val="24"/>
          <w:vertAlign w:val="superscript"/>
        </w:rPr>
        <w:t>[17]</w:t>
      </w:r>
      <w:r>
        <w:rPr>
          <w:rFonts w:hint="eastAsia" w:ascii="Times New Roman" w:hAnsi="Times New Roman"/>
          <w:color w:val="FF0000"/>
          <w:sz w:val="21"/>
          <w:szCs w:val="21"/>
          <w:lang w:val="en-US" w:eastAsia="zh-CN"/>
        </w:rPr>
        <w:fldChar w:fldCharType="end"/>
      </w:r>
      <w:r>
        <w:rPr>
          <w:rFonts w:hint="eastAsia" w:ascii="Times New Roman" w:hAnsi="Times New Roman"/>
          <w:color w:val="FF0000"/>
          <w:sz w:val="21"/>
          <w:szCs w:val="21"/>
          <w:lang w:val="en-US" w:eastAsia="zh-CN"/>
        </w:rPr>
        <w:t>。REVO研究的初步随访结果显示，NICT组在1年无病生存（Disease-free survival, DFS）率（89.1% vs 78.2%）及2年OS率（86.3% vs 81.6%）方面均优于NCRT组</w:t>
      </w:r>
      <w:r>
        <w:rPr>
          <w:rFonts w:hint="eastAsia" w:ascii="Times New Roman" w:hAnsi="Times New Roman"/>
          <w:color w:val="FF0000"/>
          <w:sz w:val="21"/>
          <w:szCs w:val="21"/>
          <w:lang w:val="en-US" w:eastAsia="zh-CN"/>
        </w:rPr>
        <w:fldChar w:fldCharType="begin"/>
      </w:r>
      <w:r>
        <w:rPr>
          <w:rFonts w:hint="eastAsia" w:ascii="Times New Roman" w:hAnsi="Times New Roman"/>
          <w:color w:val="FF0000"/>
          <w:sz w:val="21"/>
          <w:szCs w:val="21"/>
          <w:lang w:val="en-US" w:eastAsia="zh-CN"/>
        </w:rPr>
        <w:instrText xml:space="preserve"> ADDIN ZOTERO_ITEM CSL_CITATION {"citationID":"cVcSuIUd","properties":{"formattedCitation":"\\super [16]\\nosupersub{}","plainCitation":"[16]","noteIndex":0},"citationItems":[{"id":1584,"uris":["http://zotero.org/users/15831584/items/GQ23BZHP"],"itemData":{"id":1584,"type":"article-journal","abstract":"Several studies have evaluated PD-1 inhibitors plus chemotherapy as neoadjuvant treatment for locally advanced esophageal squamous cell carcinoma (ESCC), but comparative data with chemoradiotherapy (CRT) remain limited. This multicenter, randomized, open-label, phase 2 non-inferiority trial (REVO, NCT05007145) assessed the efficacy and safety of neoadjuvant camrelizumab plus chemotherapy (ICT) versus CRT in patients with resectable, locally advanced ESCC. A total of 104 patients were randomized to ICT (camrelizumab, nab-paclitaxel, cisplatin) or CRT (nab-paclitaxel, cisplatin, radiotherapy). The primary endpoint was pathologic complete response (pCR). ICT achieved a pCR rate of 32.7% versus 34.6% with CRT (rate ratio 0.94, 90% CI 0.6-1.49), demonstrating non-inferiority and meeting the pre-specified primary endpoint. Major pathologic response was observed in 42.3% of ICT patients and 57.7% of CRT patients, with R0 resection achieved in 100% of both groups. 1-year disease-free survival was 89.1% versus 78.2%, and 1-year overall survival was 100% versus 92.3% for ICT and CRT, respectively. Grade ≥3 treatment-related adverse events occurred in 19.2% of ICT patients and 33.3% of CRT patients, and surgical complications were reported in 31.1% and 35.9%, respectively. These findings indicate that ICT is a safe and effective neoadjuvant strategy for resectable ESCC with a more favorable safety profile.","container-title":"Nature Communications","DOI":"10.1038/s41467-025-64660-z","ISSN":"2041-1723","issue":"1","journalAbbreviation":"Nat. Commun.","language":"en","note":"5年影响因子: 17.2\nJCR分区: Q1\n中科院分区升级版: 综合性期刊1区\n南农高质量: A\n影响因子: 15.7","page":"9676","PMID":"41184224","PMCID":"PMC12583711","source":"PubMed","title":"Camrelizumab plus chemotherapy versus chemoradiotherapy as neoadjuvant therapy for resectable esophageal squamous cell carcinoma: phase 2 randomized trial (REVO)","title-short":"Camrelizumab plus chemotherapy versus chemoradiotherapy as neoadjuvant therapy for resectable esophageal squamous cell carcinoma","volume":"16","author":[{"family":"Wang","given":"Peiyuan"},{"family":"Chen","given":"Yujie"},{"family":"Wang","given":"Feng"},{"family":"Chen","given":"Mingqiu"},{"family":"Zheng","given":"Buhong"},{"family":"Zhang","given":"Derong"},{"family":"Zheng","given":"Qingfeng"},{"family":"Wang","given":"Jiezhong"},{"family":"Chen","given":"Junqiang"},{"family":"Cai","given":"Huaxin"},{"family":"Liu","given":"Junhua"},{"family":"Zhang","given":"Wenshan"},{"family":"Lian","given":"Changhong"},{"family":"Chen","given":"Juhui"},{"family":"Lin","given":"Yu"},{"family":"Xu","given":"Yuanji"},{"family":"Huang","given":"Rongfang"},{"family":"Lei","given":"Mengxia"},{"family":"Chen","given":"Peng"},{"family":"He","given":"Hao"},{"family":"Lin","given":"Hui"},{"family":"Chen","given":"Xiaofeng"},{"family":"Zhou","given":"Hang"},{"family":"Chen","given":"Weijie"},{"family":"Wei","given":"Wenwei"},{"family":"Zhuang","given":"Fengnian"},{"family":"Lin","given":"Junpeng"},{"family":"Huang","given":"Canhua"},{"family":"Guan","given":"Ni"},{"family":"Yan","given":"Jin"},{"family":"Liang","given":"Shujun"},{"family":"Liu","given":"Shuoyan"},{"family":"Li","given":"Jiancheng"}],"issued":{"date-parts":[["2025",11,3]]}}}],"schema":"https://github.com/citation-style-language/schema/raw/master/csl-citation.json"} </w:instrText>
      </w:r>
      <w:r>
        <w:rPr>
          <w:rFonts w:hint="eastAsia" w:ascii="Times New Roman" w:hAnsi="Times New Roman"/>
          <w:color w:val="FF0000"/>
          <w:sz w:val="21"/>
          <w:szCs w:val="21"/>
          <w:lang w:val="en-US" w:eastAsia="zh-CN"/>
        </w:rPr>
        <w:fldChar w:fldCharType="separate"/>
      </w:r>
      <w:r>
        <w:rPr>
          <w:rFonts w:hint="default" w:ascii="Times New Roman" w:hAnsi="Times New Roman" w:cs="Times New Roman"/>
          <w:color w:val="FF0000"/>
          <w:sz w:val="21"/>
          <w:szCs w:val="24"/>
          <w:vertAlign w:val="superscript"/>
        </w:rPr>
        <w:t>[16]</w:t>
      </w:r>
      <w:r>
        <w:rPr>
          <w:rFonts w:hint="eastAsia" w:ascii="Times New Roman" w:hAnsi="Times New Roman"/>
          <w:color w:val="FF0000"/>
          <w:sz w:val="21"/>
          <w:szCs w:val="21"/>
          <w:lang w:val="en-US" w:eastAsia="zh-CN"/>
        </w:rPr>
        <w:fldChar w:fldCharType="end"/>
      </w:r>
      <w:r>
        <w:rPr>
          <w:rFonts w:hint="eastAsia" w:ascii="Times New Roman" w:hAnsi="Times New Roman"/>
          <w:color w:val="FF0000"/>
          <w:sz w:val="21"/>
          <w:szCs w:val="21"/>
          <w:lang w:val="en-US" w:eastAsia="zh-CN"/>
        </w:rPr>
        <w:t>。尽管上述研究已为NICT方案的可行性与有效性提供了初步的循证支持，但其在临床决策中的最优实施路径尚未明确，诸多实践层面的关键问题仍待解答。</w:t>
      </w:r>
    </w:p>
    <w:p w14:paraId="76DF3DD4">
      <w:pPr>
        <w:pStyle w:val="3"/>
        <w:bidi w:val="0"/>
        <w:rPr>
          <w:rFonts w:hint="eastAsia" w:ascii="Times New Roman" w:hAnsi="Times New Roman" w:eastAsia="微软雅黑" w:cs="微软雅黑"/>
          <w:b w:val="0"/>
          <w:bCs/>
          <w:sz w:val="21"/>
          <w:szCs w:val="21"/>
          <w:lang w:val="en-US" w:eastAsia="zh-CN"/>
        </w:rPr>
      </w:pPr>
      <w:r>
        <w:rPr>
          <w:rFonts w:hint="eastAsia" w:ascii="Times New Roman" w:hAnsi="Times New Roman" w:eastAsia="微软雅黑" w:cs="微软雅黑"/>
          <w:b w:val="0"/>
          <w:bCs/>
          <w:sz w:val="21"/>
          <w:szCs w:val="21"/>
          <w:lang w:val="en-US" w:eastAsia="zh-CN"/>
        </w:rPr>
        <w:t>2 患者筛选与个体化决策</w:t>
      </w:r>
    </w:p>
    <w:p w14:paraId="6607C1F0">
      <w:pPr>
        <w:pStyle w:val="4"/>
        <w:bidi w:val="0"/>
        <w:rPr>
          <w:rFonts w:hint="eastAsia" w:ascii="Times New Roman" w:hAnsi="Times New Roman" w:eastAsia="楷体" w:cs="楷体"/>
          <w:b w:val="0"/>
          <w:bCs/>
          <w:sz w:val="21"/>
          <w:szCs w:val="21"/>
          <w:lang w:val="en-US" w:eastAsia="zh-CN"/>
        </w:rPr>
      </w:pPr>
      <w:r>
        <w:rPr>
          <w:rFonts w:hint="eastAsia" w:ascii="Times New Roman" w:hAnsi="Times New Roman" w:eastAsia="楷体" w:cs="楷体"/>
          <w:b w:val="0"/>
          <w:bCs/>
          <w:sz w:val="21"/>
          <w:szCs w:val="21"/>
          <w:lang w:val="en-US" w:eastAsia="zh-CN"/>
        </w:rPr>
        <w:t>2.1 组织学亚型差异</w:t>
      </w:r>
    </w:p>
    <w:p w14:paraId="55D44596">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Times New Roman" w:hAnsi="Times New Roman"/>
          <w:sz w:val="21"/>
          <w:szCs w:val="21"/>
          <w:lang w:val="en-US" w:eastAsia="zh-CN"/>
        </w:rPr>
      </w:pPr>
      <w:r>
        <w:rPr>
          <w:rFonts w:hint="default" w:ascii="Times New Roman" w:hAnsi="Times New Roman"/>
          <w:sz w:val="21"/>
          <w:szCs w:val="21"/>
          <w:lang w:val="en-US" w:eastAsia="zh-CN"/>
        </w:rPr>
        <w:t>食管鳞状细胞癌（Esophageal Squamous Cell Carcinoma, ESCC）</w:t>
      </w:r>
      <w:r>
        <w:rPr>
          <w:rFonts w:hint="eastAsia" w:ascii="Times New Roman" w:hAnsi="Times New Roman"/>
          <w:sz w:val="21"/>
          <w:szCs w:val="21"/>
          <w:lang w:val="en-US" w:eastAsia="zh-CN"/>
        </w:rPr>
        <w:t>与</w:t>
      </w:r>
      <w:r>
        <w:rPr>
          <w:rFonts w:hint="default" w:ascii="Times New Roman" w:hAnsi="Times New Roman"/>
          <w:sz w:val="21"/>
          <w:szCs w:val="21"/>
          <w:lang w:val="en-US" w:eastAsia="zh-CN"/>
        </w:rPr>
        <w:t>食管腺癌（Esophageal Adenocarcinoma, EAC）在流行病学特征、致病因素、分子分型及治疗</w:t>
      </w:r>
      <w:r>
        <w:rPr>
          <w:rFonts w:hint="eastAsia" w:ascii="Times New Roman" w:hAnsi="Times New Roman"/>
          <w:sz w:val="21"/>
          <w:szCs w:val="21"/>
          <w:lang w:val="en-US" w:eastAsia="zh-CN"/>
        </w:rPr>
        <w:t>应答</w:t>
      </w:r>
      <w:r>
        <w:rPr>
          <w:rFonts w:hint="default" w:ascii="Times New Roman" w:hAnsi="Times New Roman"/>
          <w:sz w:val="21"/>
          <w:szCs w:val="21"/>
          <w:lang w:val="en-US" w:eastAsia="zh-CN"/>
        </w:rPr>
        <w:t>方面存在较大差异，这种生物学异质性构成了制定新辅助免疫治疗策略的关键依据。</w:t>
      </w:r>
      <w:r>
        <w:rPr>
          <w:rFonts w:hint="eastAsia" w:ascii="Times New Roman" w:hAnsi="Times New Roman"/>
          <w:sz w:val="21"/>
          <w:szCs w:val="21"/>
          <w:lang w:val="en-US" w:eastAsia="zh-CN"/>
        </w:rPr>
        <w:t>在全球范围内，ESCC是主要的组织学亚型，尤其在中国等东亚地区的发病率远高于EAC</w:t>
      </w:r>
      <w:r>
        <w:rPr>
          <w:rFonts w:hint="eastAsia" w:ascii="Times New Roman" w:hAnsi="Times New Roman"/>
          <w:sz w:val="21"/>
          <w:szCs w:val="21"/>
          <w:lang w:val="en-US" w:eastAsia="zh-CN"/>
        </w:rPr>
        <w:fldChar w:fldCharType="begin"/>
      </w:r>
      <w:r>
        <w:rPr>
          <w:rFonts w:hint="eastAsia" w:ascii="Times New Roman" w:hAnsi="Times New Roman"/>
          <w:sz w:val="21"/>
          <w:szCs w:val="21"/>
          <w:lang w:val="en-US" w:eastAsia="zh-CN"/>
        </w:rPr>
        <w:instrText xml:space="preserve"> ADDIN ZOTERO_ITEM CSL_CITATION {"citationID":"IEYU7bgv","properties":{"formattedCitation":"\\super [18]\\nosupersub{}","plainCitation":"[18]","noteIndex":0},"citationItems":[{"id":1510,"uris":["http://zotero.org/users/15831584/items/H4MQI97C"],"itemData":{"id":1510,"type":"article-journal","abstract":"BACKGROUND &amp; AIMS: The aim of this study was to provide an overview of the burden of esophageal cancer in 185 countries in 2020 and projections for the year 2040.\nMETHODS: Estimates of esophageal cancer cases and deaths were extracted from the GLOBOCAN database for 2020. Age-standardized incidence and mortality rates were calculated overall, by sex, histologic subtype (adenocarcinoma [AC] and squamous cell carcinoma [SCC]), country, and level of human development for 185 countries. The predicted burden of incidence and mortality in 2040 was calculated based on global demographic projections.\nRESULTS: Globally, there were an estimated 604,100 new cases of, and 544,100 deaths from, esophageal cancer in 2020, corresponding to age-standardized incidence and mortality rates of 6.3 and 5.6 per 100,000, respectively. Most cases were SCCs (85% [512,500 cases]) and 14% (85,700 cases) were ACs. Incidence and mortality rates were 2- to 3-fold higher in male (9.3 and 8.2, respectively) compared with female (3.6 and 3.2, respectively) individuals. Global variations in incidence and mortality were observed across countries and world regions; the highest rates occurred in Eastern Asia and Southern and Eastern Africa and the lowest occurred in Western Africa and Central America regions. If rates remain stable, 957,000 new cases (141,300 AC cases and 806,000 SCC cases) and 880,000 deaths from esophageal cancer are expected in 2040.\nCONCLUSIONS: These updated estimates of the global burden of esophageal cancer represent an important baseline for setting priorities in policy making and developing and accelerating cancer control initiatives to reduce the current and projected burden. Although primary prevention remains key, screening and early detection represent important components of esophageal cancer control in high-risk populations.","container-title":"Gastroenterology","DOI":"10.1053/j.gastro.2022.05.054","ISSN":"00165085","issue":"3","journalAbbreviation":"Gastroenterology","language":"en","note":"5年影响因子: 27.1\nJCR分区: Q1\nTLDR: These updated estimates of the global burden of esophageal cancer represent an important baseline for setting priorities in policymaking and developing and accelerating cancer control initiatives to reduce the current and projected burden.\n中科院分区升级版: 医学1区\n南农高质量: A\n影响因子: 25.9","page":"649-658.e2","PMID":"35671803","source":"PubMed","title":"The global landscape of esophageal squamous cell carcinoma and esophageal adenocarcinoma incidence and mortality in 2020 and projections to 2040: new estimates from GLOBOCAN 2020","title-short":"The global landscape of esophageal squamous cell carcinoma and esophageal adenocarcinoma incidence and mortality in 2020 and projections to 2040","volume":"163","author":[{"family":"Morgan","given":"Eileen"},{"family":"Soerjomataram","given":"Isabelle"},{"family":"Rumgay","given":"Harriet"},{"family":"Coleman","given":"Helen G."},{"family":"Thrift","given":"Aaron P."},{"family":"Vignat","given":"Jérôme"},{"family":"Laversanne","given":"Mathieu"},{"family":"Ferlay","given":"Jacques"},{"family":"Arnold","given":"Melina"}],"issued":{"date-parts":[["2022",9]]}}}],"schema":"https://github.com/citation-style-language/schema/raw/master/csl-citation.json"} </w:instrText>
      </w:r>
      <w:r>
        <w:rPr>
          <w:rFonts w:hint="eastAsia" w:ascii="Times New Roman" w:hAnsi="Times New Roman"/>
          <w:sz w:val="21"/>
          <w:szCs w:val="21"/>
          <w:lang w:val="en-US" w:eastAsia="zh-CN"/>
        </w:rPr>
        <w:fldChar w:fldCharType="separate"/>
      </w:r>
      <w:r>
        <w:rPr>
          <w:rFonts w:hint="default" w:ascii="Times New Roman" w:hAnsi="Times New Roman" w:cs="Times New Roman"/>
          <w:sz w:val="21"/>
          <w:szCs w:val="24"/>
          <w:vertAlign w:val="superscript"/>
        </w:rPr>
        <w:t>[18]</w:t>
      </w:r>
      <w:r>
        <w:rPr>
          <w:rFonts w:hint="eastAsia" w:ascii="Times New Roman" w:hAnsi="Times New Roman"/>
          <w:sz w:val="21"/>
          <w:szCs w:val="21"/>
          <w:lang w:val="en-US" w:eastAsia="zh-CN"/>
        </w:rPr>
        <w:fldChar w:fldCharType="end"/>
      </w:r>
      <w:r>
        <w:rPr>
          <w:rFonts w:hint="eastAsia" w:ascii="Times New Roman" w:hAnsi="Times New Roman"/>
          <w:sz w:val="21"/>
          <w:szCs w:val="21"/>
          <w:lang w:val="en-US" w:eastAsia="zh-CN"/>
        </w:rPr>
        <w:t>。ESCC的发生主要与吸烟、饮酒及不良饮食习惯相关，其肿瘤突变负荷及PD-L1表达水平通常较高，被认为更易从ICIs治疗中获益</w:t>
      </w:r>
      <w:r>
        <w:rPr>
          <w:rFonts w:hint="eastAsia" w:ascii="Times New Roman" w:hAnsi="Times New Roman"/>
          <w:sz w:val="21"/>
          <w:szCs w:val="21"/>
          <w:lang w:val="en-US" w:eastAsia="zh-CN"/>
        </w:rPr>
        <w:fldChar w:fldCharType="begin"/>
      </w:r>
      <w:r>
        <w:rPr>
          <w:rFonts w:hint="eastAsia" w:ascii="Times New Roman" w:hAnsi="Times New Roman"/>
          <w:sz w:val="21"/>
          <w:szCs w:val="21"/>
          <w:lang w:val="en-US" w:eastAsia="zh-CN"/>
        </w:rPr>
        <w:instrText xml:space="preserve"> ADDIN ZOTERO_ITEM CSL_CITATION {"citationID":"kKsK4lwq","properties":{"formattedCitation":"\\super [19,20]\\nosupersub{}","plainCitation":"[19,20]","noteIndex":0},"citationItems":[{"id":1513,"uris":["http://zotero.org/users/15831584/items/5NAM7K5U"],"itemData":{"id":1513,"type":"article-journal","abstract":"Esophageal squamous cell carcinoma (ESCC) accounts for about 90% of the 456,000 incident esophageal cancers each year. Regions of high incidence include Eastern to Central Asia, along the Rift Valley in East Africa, and into South Africa. There are many causes of ESCC, which vary among regions. Early studies in France associated smoking cigarettes and heavy alcohol consumption with high rates of ESCC, but these factors can’t explain the high incidence in other regions. We discuss other risk factors for ESCC, including polycyclic aromatic hydrocarbons from a variety of sources, high-temperature foods, diet, and oral health and the microbiome—all require further research. A growing list of defined genomic regions affect susceptibility, but large genome-wide association studies have been conducted only with ethnic Chinese subjects; more studies are called for in the rest of Asia and Africa. ESCC has been understudied, but growing infrastructure in more high-incidence countries will allow rapid progress in our understanding.","container-title":"Gastroenterology","DOI":"10.1053/j.gastro.2017.08.023","ISSN":"00165085","issue":"2","journalAbbreviation":"Gastroenterology","language":"en","note":"5年影响因子: 27.1\nJCR分区: Q1\nTLDR: Esophageal squamous cell carcinoma has been understudied, but growing infrastructure in more high-incidence countries will allow rapid progress in understanding, and large genome-wide association studies have been conducted with ethnic Chinese subjects only; more studies are called for in the rest of Asia and Africa.\n中科院分区升级版: 医学1区\n南农高质量: A\n影响因子: 25.9","page":"360-373","PMID":"28823862","PMCID":"PMC5836473","source":"PubMed Central","title":"Epidemiology of esophageal squamous cell carcinoma","volume":"154","author":[{"family":"Abnet","given":"Christian C."},{"family":"Arnold","given":"Melina"},{"family":"Wei","given":"Wen-Qiang"}],"issued":{"date-parts":[["2018",1]]}}},{"id":1523,"uris":["http://zotero.org/users/15831584/items/X3ECEVG4"],"itemData":{"id":1523,"type":"article-journal","abstract":"Esophageal squamous cell carcinoma (ESCC) is the main prevalent histological type of esophageal cancer, predominantly constituting 90% of cases worldwide. Despite the development of multidisciplinary therapeutic approaches, its prognosis remains unfavorable. Recently, the development of monoclonal antibodies inhibiting programmed death 1 (PD-1) or programmed death-ligand 1 (PD-L1) has led to marked therapeutic responses among multiple malignancies including ESCC. However, only a few patients achieved clinical benefits due to resistance. Therefore, precise and accurate predictive biomarkers should be identified for personalized immunotherapy in clinical settings. Because the tumor immune microenvironment can potentially influence the patient's response to immune checkpoint inhibitors, tumor immunity, such as PD-L1 expression on tumors, tumor-infiltrating lymphocytes, tumor-associated macrophages, and myeloid-derived suppressor cells, in ESCC should be further investigated. In this review, accumulated evidence regarding the tumor immune microenvironment and immune checkpoint inhibitors in ESCC are summarized.","container-title":"Cancer Science","DOI":"10.1111/cas.14541","ISSN":"1349-7006","issue":"9","journalAbbreviation":"Cancer Sci.","language":"en","license":"© 2020 The Authors. Cancer Science published by John Wiley &amp; Sons Australia, Ltd on behalf of Japanese Cancer Association.","note":"_eprint: https://onlinelibrary.wiley.com/doi/pdf/10.1111/cas.14541\n5年影响因子: 5.1\nJCR分区: Q2\nTLDR: Accumulated evidence regarding the tumor immune microenvironment and immune checkpoint inhibitors in ESCC are summarized and tumor immunity, such as PD‐L1 expression on tumors, tumor‐infiltrating lymphocytes, tumor-associated macrophages, and myeloid‐derived suppressor cells, should be investigated.\n中科院分区升级版: 医学2区\n南农高质量: B\n影响因子: 4.3","page":"3132-3141","source":"Wiley Online Library","title":"Tumor immune microenvironment and immune checkpoint inhibitors in esophageal squamous cell carcinoma","volume":"111","author":[{"family":"Baba","given":"Yoshifumi"},{"family":"Nomoto","given":"Daichi"},{"family":"Okadome","given":"Kazuo"},{"family":"Ishimoto","given":"Takatsugu"},{"family":"Iwatsuki","given":"Masaaki"},{"family":"Miyamoto","given":"Yuji"},{"family":"Yoshida","given":"Naoya"},{"family":"Baba","given":"Hideo"}],"issued":{"date-parts":[["2020"]]}}}],"schema":"https://github.com/citation-style-language/schema/raw/master/csl-citation.json"} </w:instrText>
      </w:r>
      <w:r>
        <w:rPr>
          <w:rFonts w:hint="eastAsia" w:ascii="Times New Roman" w:hAnsi="Times New Roman"/>
          <w:sz w:val="21"/>
          <w:szCs w:val="21"/>
          <w:lang w:val="en-US" w:eastAsia="zh-CN"/>
        </w:rPr>
        <w:fldChar w:fldCharType="separate"/>
      </w:r>
      <w:r>
        <w:rPr>
          <w:rFonts w:hint="default" w:ascii="Times New Roman" w:hAnsi="Times New Roman" w:cs="Times New Roman"/>
          <w:sz w:val="21"/>
          <w:szCs w:val="24"/>
          <w:vertAlign w:val="superscript"/>
        </w:rPr>
        <w:t>[19,20]</w:t>
      </w:r>
      <w:r>
        <w:rPr>
          <w:rFonts w:hint="eastAsia" w:ascii="Times New Roman" w:hAnsi="Times New Roman"/>
          <w:sz w:val="21"/>
          <w:szCs w:val="21"/>
          <w:lang w:val="en-US" w:eastAsia="zh-CN"/>
        </w:rPr>
        <w:fldChar w:fldCharType="end"/>
      </w:r>
      <w:r>
        <w:rPr>
          <w:rFonts w:hint="eastAsia" w:ascii="Times New Roman" w:hAnsi="Times New Roman"/>
          <w:sz w:val="21"/>
          <w:szCs w:val="21"/>
          <w:lang w:val="en-US" w:eastAsia="zh-CN"/>
        </w:rPr>
        <w:t>。相较之下，EAC在西方国家发病率呈上升趋势，主要危险因素包括胃食管反流病、肥胖及巴雷特食管</w:t>
      </w:r>
      <w:r>
        <w:rPr>
          <w:rFonts w:hint="eastAsia" w:ascii="Times New Roman" w:hAnsi="Times New Roman"/>
          <w:sz w:val="21"/>
          <w:szCs w:val="21"/>
          <w:lang w:val="en-US" w:eastAsia="zh-CN"/>
        </w:rPr>
        <w:fldChar w:fldCharType="begin"/>
      </w:r>
      <w:r>
        <w:rPr>
          <w:rFonts w:hint="eastAsia" w:ascii="Times New Roman" w:hAnsi="Times New Roman"/>
          <w:sz w:val="21"/>
          <w:szCs w:val="21"/>
          <w:lang w:val="en-US" w:eastAsia="zh-CN"/>
        </w:rPr>
        <w:instrText xml:space="preserve"> ADDIN ZOTERO_ITEM CSL_CITATION {"citationID":"uYhxsYOL","properties":{"formattedCitation":"\\super [21]\\nosupersub{}","plainCitation":"[21]","noteIndex":0},"citationItems":[{"id":1526,"uris":["http://zotero.org/users/15831584/items/MNN3XMHE"],"itemData":{"id":1526,"type":"article-journal","abstract":"Both obesity and esophageal adenocarcinoma (EAC) rates have increased sharply in the United States and Western Europe in recent years. EAC is a classic example of obesity-related cancer where the risk of EAC increases with increasing body mass index. Pathologically altered visceral fat in obesity appears to play a key role in this process. Visceral obesity may promote EAC by directly affecting gastroesophageal reflux disease and Barrett's esophagus (BE), as well as a less reflux-dependent effect, including the release of pro-inflammatory adipokines and insulin resistance. Deregulation of adipokine production, such as the shift to an increased amount of leptin relative to \"protective\" adiponectin, has been implicated in the pathogenesis of BE and EAC. This review discusses not only the epidemiology and pathophysiology of obesity in BE and EAC, but also molecular alterations at the level of mRNA and proteins associated with these esophageal pathologies and the potential role of adipokines and myokines in these disorders. Particular attention is given to discussing the possible crosstalk of adipokines and myokines during exercise. It is concluded that lifestyle interventions to increase regular physical activity could be helpful as a promising strategy for preventing the development of BE and EAC.","container-title":"International journal of molecular sciences","DOI":"10.3390/ijms23073942","ISSN":"1422-0067","issue":"7","journalAbbreviation":"Int. J. Mol. Sci.","language":"en","note":"5年影响因子: 5.7\nJCR分区: Q1\nTLDR: It is concluded that lifestyle interventions to increase regular physical activity could be helpful as a promising strategy for preventing the development of BE and EAC.\n中科院分区升级版: 生物学3区\n影响因子: 4.9","page":"3942","PMID":"35409299","PMCID":"PMC8999972","source":"PubMed","title":"Role of obesity, physical exercise, adipose tissue-skeletal muscle crosstalk and molecular advances in barrett's esophagus and esophageal adenocarcinoma","volume":"23","author":[{"family":"Bilski","given":"Jan"},{"family":"Pinkas","given":"Monika"},{"family":"Wojcik-Grzybek","given":"Dagmara"},{"family":"Magierowski","given":"Marcin"},{"family":"Korbut","given":"Edyta"},{"family":"Mazur-Bialy","given":"Agnieszka"},{"family":"Krzysiek-Maczka","given":"Gracjana"},{"family":"Kwiecien","given":"Slawomir"},{"family":"Magierowska","given":"Katarzyna"},{"family":"Brzozowski","given":"Tomasz"}],"issued":{"date-parts":[["2022",4,1]]}}}],"schema":"https://github.com/citation-style-language/schema/raw/master/csl-citation.json"} </w:instrText>
      </w:r>
      <w:r>
        <w:rPr>
          <w:rFonts w:hint="eastAsia" w:ascii="Times New Roman" w:hAnsi="Times New Roman"/>
          <w:sz w:val="21"/>
          <w:szCs w:val="21"/>
          <w:lang w:val="en-US" w:eastAsia="zh-CN"/>
        </w:rPr>
        <w:fldChar w:fldCharType="separate"/>
      </w:r>
      <w:r>
        <w:rPr>
          <w:rFonts w:hint="default" w:ascii="Times New Roman" w:hAnsi="Times New Roman" w:cs="Times New Roman"/>
          <w:sz w:val="21"/>
          <w:szCs w:val="24"/>
          <w:vertAlign w:val="superscript"/>
        </w:rPr>
        <w:t>[21]</w:t>
      </w:r>
      <w:r>
        <w:rPr>
          <w:rFonts w:hint="eastAsia" w:ascii="Times New Roman" w:hAnsi="Times New Roman"/>
          <w:sz w:val="21"/>
          <w:szCs w:val="21"/>
          <w:lang w:val="en-US" w:eastAsia="zh-CN"/>
        </w:rPr>
        <w:fldChar w:fldCharType="end"/>
      </w:r>
      <w:r>
        <w:rPr>
          <w:rFonts w:hint="eastAsia" w:ascii="Times New Roman" w:hAnsi="Times New Roman"/>
          <w:sz w:val="21"/>
          <w:szCs w:val="21"/>
          <w:lang w:val="en-US" w:eastAsia="zh-CN"/>
        </w:rPr>
        <w:t>。EAC的PD-L1阳性率总体偏低，提示其整体免疫敏感性可能不如ESCC</w:t>
      </w:r>
      <w:r>
        <w:rPr>
          <w:rFonts w:hint="eastAsia" w:ascii="Times New Roman" w:hAnsi="Times New Roman"/>
          <w:sz w:val="21"/>
          <w:szCs w:val="21"/>
          <w:lang w:val="en-US" w:eastAsia="zh-CN"/>
        </w:rPr>
        <w:fldChar w:fldCharType="begin"/>
      </w:r>
      <w:r>
        <w:rPr>
          <w:rFonts w:hint="eastAsia" w:ascii="Times New Roman" w:hAnsi="Times New Roman"/>
          <w:sz w:val="21"/>
          <w:szCs w:val="21"/>
          <w:lang w:val="en-US" w:eastAsia="zh-CN"/>
        </w:rPr>
        <w:instrText xml:space="preserve"> ADDIN ZOTERO_ITEM CSL_CITATION {"citationID":"kvAgzvaj","properties":{"formattedCitation":"\\super [22]\\nosupersub{}","plainCitation":"[22]","noteIndex":0},"citationItems":[{"id":1652,"uris":["http://zotero.org/users/15831584/items/WAKBINBL"],"itemData":{"id":1652,"type":"article-journal","abstract":"Abstract\n            \n              Background\n              Gastroesophageal cancers are often grouped together even though cancers that originate in the esophagus often exhibit different histological features, geographical distribution, risk factors, and clinical characteristics than those originating in the stomach. Herein, we aimed to compare the molecular characteristics of three different gastroesophageal cancer types: esophageal squamous cell carcinoma (ESCC), esophageal adenocarcinoma (EAC), and gastric adenocarcinoma (GAC).\n            \n            \n              Subjects, Materials, and Methods\n              In total, 3,342 gastroesophageal cancers were examined. Next-generation sequencing was performed on genomic DNA isolated from formalin-fixed paraffin-embedded tumor samples using the NextSeq platform. Tumor mutational burden was measured by counting all nonsynonymous missense mutations, and microsatellite instability was examined at over 7,000 target microsatellite loci. Immunohistochemistry and in situ hybridization techniques were also performed.\n            \n            \n              Results\n              When compared with EAC and GAC, ESCC showed significantly lower mutational rates within APC, ARID1A, CDH1, KRAS, PTEN, and SMAD4, whereas more frequent mutations were observed in BAP1, CDKN2A, FOXO3, KMT2D, MSH6, NOTCH1, RB1, and SETD2. Human epidermal growth receptor 2 (HER2) overexpression was observed in 13% of EAC compared with 6% of GAC and 1% of ESCC (p &amp;lt; .0001). Compared with EAC and GAC, ESCC exhibited higher expression of programmed death-ligand 1 (PD-L1) (27.7% vs. 7.5% vs. 7.7%, p &amp;lt; .0001). We observed that FGF3, FGF4, FGF19, CCND1 (co-localized on 11q13), and FGFR1 were significantly more amplified in ESCC compared with EAC and GAC (p &amp;lt; .0001).\n            \n            \n              Conclusion\n              Molecular comparisons between ESCC, EAC, and GAC revealed distinct differences between squamous cell carcinomas and adenocarcinomas in each platform tested. Different prevalence of HER2/neu overexpression and amplification, and immune-related biomarkers between ESCC, EAC, and GAC, suggests different sensitivity to HER2-targeted therapy and immune checkpoint inhibition. These findings bring into question the validity of grouping patients with EAC and ESCC together in clinical trials and provide insight into molecular features that may represent novel therapeutic targets.\n            \n            \n              Implications for Practice\n              This study highlights the genomic heterogeneity of gastroesophageal cancers, showing striking molecular differences between tumors originating from different locations. Moreover, this study showed that esophageal squamous cell carcinomas exhibit a unique molecular profile, whereas gastric adenocarcinomas and esophageal adenocarcinomas have some similarities, supporting the fact that adenocarcinomas and squamous cell carcinomas are completely different diseases, irrespective of the tumor location. This raises the question of whether treatment of gastroesophageal tumors should be determined according to histological subtype and molecular targets rather than anatomical site. These findings provide insights that could enable physicians to better select patients and inform therapeutic choices in order to improve clinical outcome.","container-title":"The Oncologist","DOI":"10.1634/theoncologist.2018-0143","ISSN":"1083-7159, 1549-490X","issue":"11","journalAbbreviation":"Oncologist","language":"en","note":"TLDR: The genomic heterogeneity of gastroesophageal cancers is highlighted, showing striking molecular differences between tumors originating from different locations, supporting the fact that adenocarcinomas and squamous cell carcinomas are completely different diseases, irrespective of the tumor location.\nJCR分区: Q2\n中科院分区升级版: 医学2区\n影响因子: 4.2\n5年影响因子: 5.0","page":"1319-1327","PMID":"29866946","PMCID":"PMC6291329","source":"PubMed Central","title":"Comparative Molecular Analyses of Esophageal Squamous Cell Carcinoma, Esophageal Adenocarcinoma, and Gastric Adenocarcinoma","volume":"23","author":[{"family":"Salem","given":"Mohamed E."},{"family":"Puccini","given":"Alberto"},{"family":"Xiu","given":"Joanne"},{"family":"Raghavan","given":"Derek"},{"family":"Lenz","given":"Heinz-Josef"},{"family":"Korn","given":"W. Michael"},{"family":"Shields","given":"Anthony F."},{"family":"Philip","given":"Philip A."},{"family":"Marshall","given":"John L."},{"family":"Goldberg","given":"Richard M."}],"issued":{"date-parts":[["2018",11,1]]}}}],"schema":"https://github.com/citation-style-language/schema/raw/master/csl-citation.json"} </w:instrText>
      </w:r>
      <w:r>
        <w:rPr>
          <w:rFonts w:hint="eastAsia" w:ascii="Times New Roman" w:hAnsi="Times New Roman"/>
          <w:sz w:val="21"/>
          <w:szCs w:val="21"/>
          <w:lang w:val="en-US" w:eastAsia="zh-CN"/>
        </w:rPr>
        <w:fldChar w:fldCharType="separate"/>
      </w:r>
      <w:r>
        <w:rPr>
          <w:rFonts w:hint="default" w:ascii="Times New Roman" w:hAnsi="Times New Roman" w:cs="Times New Roman"/>
          <w:sz w:val="21"/>
          <w:szCs w:val="24"/>
          <w:vertAlign w:val="superscript"/>
        </w:rPr>
        <w:t>[22]</w:t>
      </w:r>
      <w:r>
        <w:rPr>
          <w:rFonts w:hint="eastAsia" w:ascii="Times New Roman" w:hAnsi="Times New Roman"/>
          <w:sz w:val="21"/>
          <w:szCs w:val="21"/>
          <w:lang w:val="en-US" w:eastAsia="zh-CN"/>
        </w:rPr>
        <w:fldChar w:fldCharType="end"/>
      </w:r>
      <w:r>
        <w:rPr>
          <w:rFonts w:hint="eastAsia" w:ascii="Times New Roman" w:hAnsi="Times New Roman"/>
          <w:sz w:val="21"/>
          <w:szCs w:val="21"/>
          <w:lang w:val="en-US" w:eastAsia="zh-CN"/>
        </w:rPr>
        <w:t>。但在伴有高微卫星不稳定（MSI-H）或错配修复缺陷（dMMR）的胃食管结合部腺癌（Gastroesophageal junction adenocarcinoma, GEJA）患者中，可观察到较强的免疫应答，这与NCCN指南推荐一致</w:t>
      </w:r>
      <w:r>
        <w:rPr>
          <w:rFonts w:hint="eastAsia" w:ascii="Times New Roman" w:hAnsi="Times New Roman"/>
          <w:sz w:val="21"/>
          <w:szCs w:val="21"/>
          <w:lang w:val="en-US" w:eastAsia="zh-CN"/>
        </w:rPr>
        <w:fldChar w:fldCharType="begin"/>
      </w:r>
      <w:r>
        <w:rPr>
          <w:rFonts w:hint="eastAsia" w:ascii="Times New Roman" w:hAnsi="Times New Roman"/>
          <w:sz w:val="21"/>
          <w:szCs w:val="21"/>
          <w:lang w:val="en-US" w:eastAsia="zh-CN"/>
        </w:rPr>
        <w:instrText xml:space="preserve"> ADDIN ZOTERO_ITEM CSL_CITATION {"citationID":"sWUIAD4h","properties":{"formattedCitation":"\\super [10,23]\\nosupersub{}","plainCitation":"[10,23]","noteIndex":0},"citationItems":[{"id":1665,"uris":["http://zotero.org/users/15831584/items/LA5M223X"],"itemData":{"id":1665,"type":"article-journal","abstract":"Abstract\n            Esophageal cancer is the sixth leading cause of cancer-related deaths worldwide. Squamous cell carcinoma is the most common histology in Eastern Europe and Asia, and adenocarcinoma is most common in North America and Western Europe. Surgery is a major component of treatment of locally advanced resectable esophageal and esophagogastric junction (EGJ) cancer, and randomized trials have shown that the addition of preoperative chemoradiation or perioperative chemotherapy to surgery significantly improves survival. Targeted therapies including trastuzumab, ramucirumab, and pembrolizumab have produced encouraging results in the treatment of patients with advanced or metastatic disease. Multidisciplinary team management is essential for all patients with esophageal and EGJ cancers. This selection from the NCCN Guidelines for Esophageal and Esophagogastric Junction Cancers focuses on recommendations for the management of locally advanced and metastatic adenocarcinoma of the esophagus and EGJ.","container-title":"Journal of the National Comprehensive Cancer Network","DOI":"10.6004/jnccn.2019.0033","ISSN":"1540-1405, 1540-1413","issue":"7","journalAbbreviation":"J. Natl. Compr. Canc. Netw.","language":"en","note":"JCR分区: Q1\n中科院分区升级版: 医学2区\n影响因子: 16.4\n5年影响因子: 13.2\n南农高质量: A","page":"855-883","PMID":"31319389","source":"PubMed","title":"Esophageal and Esophagogastric Junction Cancers, Version 2.2019, NCCN Clinical Practice Guidelines in Oncology","volume":"17","author":[{"family":"Ajani","given":"Jaffer A."},{"family":"D’Amico","given":"Thomas A."},{"family":"Bentrem","given":"David J."},{"family":"Chao","given":"Joseph"},{"family":"Corvera","given":"Carlos"},{"family":"Das","given":"Prajnan"},{"family":"Denlinger","given":"Crystal S."},{"family":"Enzinger","given":"Peter C."},{"family":"Fanta","given":"Paul"},{"family":"Farjah","given":"Farhood"},{"family":"Gerdes","given":"Hans"},{"family":"Gibson","given":"Michael"},{"family":"Glasgow","given":"Robert E."},{"family":"Hayman","given":"James A."},{"family":"Hochwald","given":"Steven"},{"family":"Hofstetter","given":"Wayne L."},{"family":"Ilson","given":"David H."},{"family":"Jaroszewski","given":"Dawn"},{"family":"Johung","given":"Kimberly L."},{"family":"Keswani","given":"Rajesh N."},{"family":"Kleinberg","given":"Lawrence R."},{"family":"Leong","given":"Stephen"},{"family":"Ly","given":"Quan P."},{"family":"Matkowskyj","given":"Kristina A."},{"family":"McNamara","given":"Michael"},{"family":"Mulcahy","given":"Mary F."},{"family":"Paluri","given":"Ravi K."},{"family":"Park","given":"Haeseong"},{"family":"Perry","given":"Kyle A."},{"family":"Pimiento","given":"Jose"},{"family":"Poultsides","given":"George A."},{"family":"Roses","given":"Robert"},{"family":"Strong","given":"Vivian E."},{"family":"Wiesner","given":"Georgia"},{"family":"Willett","given":"Christopher G."},{"family":"Wright","given":"Cameron D."},{"family":"McMillian","given":"Nicole R."},{"family":"Pluchino","given":"Lenora A."}],"issued":{"date-parts":[["2019",7]]}}},{"id":1532,"uris":["http://zotero.org/users/15831584/items/KI36532M"],"itemData":{"id":1532,"type":"article-journal","abstract":"PURPOSE\n              In patients with resectable gastric/gastroesophageal junction (GEJ) adenocarcinoma, surgery plus perioperative platinum-based chemotherapy is the standard of care. Perioperative chemotherapy remains debatable for gastric/GEJ adenocarcinoma with deficient mismatch repair (dMMR)/microsatellite instability–high (MSI-H).\n            \n            \n              PATIENTS AND METHODS\n              NEONIPIGA (ClinicalTrials.gov identifier: NCT04006262 ) phase II study evaluated neoadjuvant nivolumab 240 mg once every two weeks ×6 and ipilimumab 1 mg/kg once every six weeks ×2, followed by surgery and adjuvant nivolumab 480 mg once every four weeks (nine injections) in patients with locally advanced resectable dMMR/MSI-H, clinical (c) tumor (T)2-T4 node (N)x metastasis (M)0 gastric/GEJ adenocarcinoma. The primary end point was a pathological complete response (pCR) rate.\n            \n            \n              RESULTS\n              Between October 2019 and June 2021, 32 patients with dMMR/MSI-H gastric/GEJ adenocarcinoma were enrolled. The median age was 65.5 years (range, 40-80). Clinical stages were cT2-T3N0 (n = 9), cT2-T3N1 (n = 22), and cT3N1M1 (n = 1, wrongly included). With a median follow-up of 14.9 months (95% CI, 10.6 to 17.6), 32 patients received neoadjuvant immunotherapy (27 patients completed all cycles). Neoadjuvant therapy-related grade 3/4 adverse events occurred in six patients (19%). Twenty-nine patients underwent surgery; three did not have surgery and had complete endoscopic response with tumor-free biopsies and a normal computed tomography scan (two refused surgery and one had metastasis at inclusion). The rate of surgical morbidity (Clavien-Dindo classification) was 55% (one postoperative death occurred). All 29 patients had an R0 resection, and 17 (58.6%; 90% CI, 41.8 to 74.1) had pCR (pathological T0N0). Becker tumor regression grades 1a, 1b, 2, and 3 were observed in 17 patients, three (including two pathological T0N1), two, and seven patients, respectively. Of the 29 patients with surgery, 23 received adjuvant nivolumab. At database lock, no patient had relapse and one died without relapse.\n            \n            \n              CONCLUSION\n              Nivolumab and ipilimumab-based neoadjuvant therapy is feasible and associated with no unexpected toxicity and a high pCR rate in patients with dMMR/MSI-H resectable gastric/GEJ adenocarcinoma.","container-title":"Journal of Clinical Oncology","DOI":"10.1200/JCO.22.00686","ISSN":"0732-183X, 1527-7755","issue":"2","journalAbbreviation":"J. Clin. Oncol.","language":"en","note":"TLDR: Nivolumab and ipilimumab-based neoadjuvant therapy is feasible and associated with no unexpected toxicity and a high pCR rate in patients with dMMR/MSI-H resectable gastric/GEJ adenocarcinoma.\nJCR分区: Q1\n中科院分区升级版: 医学1区\n影响因子: 43.4\n5年影响因子: 38.2\n南农高质量: A","page":"255-265","PMID":"35969830","PMCID":"PMC9839243","source":"PubMed","title":"Neoadjuvant nivolumab plus ipilimumab and adjuvant nivolumab in localized deficient mismatch repair/microsatellite instability–high gastric or esophagogastric junction adenocarcinoma: the GERCOR NEONIPIGA phase II study","title-short":"Neoadjuvant nivolumab plus ipilimumab and adjuvant nivolumab in localized deficient mismatch repair/microsatellite instability–high gastric or esophagogastric junction adenocarcinoma","volume":"41","author":[{"family":"André","given":"Thierry"},{"family":"Tougeron","given":"David"},{"family":"Piessen","given":"Guillaume"},{"family":"De La Fouchardière","given":"Christelle"},{"family":"Louvet","given":"Christophe"},{"family":"Adenis","given":"Antoine"},{"family":"Jary","given":"Marine"},{"family":"Tournigand","given":"Christophe"},{"family":"Aparicio","given":"Thomas"},{"family":"Desrame","given":"Jérôme"},{"family":"Lièvre","given":"Astrid"},{"family":"Garcia-Larnicol","given":"Marie-Line"},{"family":"Pudlarz","given":"Thomas"},{"family":"Cohen","given":"Romain"},{"family":"Memmi","given":"Salomé"},{"family":"Vernerey","given":"Dewi"},{"family":"Henriques","given":"Julie"},{"family":"Lefevre","given":"Jérémie H."},{"family":"Svrcek","given":"Magali"}],"issued":{"date-parts":[["2023",1,10]]}}}],"schema":"https://github.com/citation-style-language/schema/raw/master/csl-citation.json"} </w:instrText>
      </w:r>
      <w:r>
        <w:rPr>
          <w:rFonts w:hint="eastAsia" w:ascii="Times New Roman" w:hAnsi="Times New Roman"/>
          <w:sz w:val="21"/>
          <w:szCs w:val="21"/>
          <w:lang w:val="en-US" w:eastAsia="zh-CN"/>
        </w:rPr>
        <w:fldChar w:fldCharType="separate"/>
      </w:r>
      <w:r>
        <w:rPr>
          <w:rFonts w:hint="default" w:ascii="Times New Roman" w:hAnsi="Times New Roman" w:cs="Times New Roman"/>
          <w:sz w:val="21"/>
          <w:szCs w:val="24"/>
          <w:vertAlign w:val="superscript"/>
        </w:rPr>
        <w:t>[10,23]</w:t>
      </w:r>
      <w:r>
        <w:rPr>
          <w:rFonts w:hint="eastAsia" w:ascii="Times New Roman" w:hAnsi="Times New Roman"/>
          <w:sz w:val="21"/>
          <w:szCs w:val="21"/>
          <w:lang w:val="en-US" w:eastAsia="zh-CN"/>
        </w:rPr>
        <w:fldChar w:fldCharType="end"/>
      </w:r>
      <w:r>
        <w:rPr>
          <w:rFonts w:hint="eastAsia" w:ascii="Times New Roman" w:hAnsi="Times New Roman"/>
          <w:sz w:val="21"/>
          <w:szCs w:val="21"/>
          <w:lang w:val="en-US" w:eastAsia="zh-CN"/>
        </w:rPr>
        <w:t>。</w:t>
      </w:r>
    </w:p>
    <w:p w14:paraId="6519B68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sz w:val="21"/>
          <w:szCs w:val="21"/>
          <w:lang w:val="en-US" w:eastAsia="zh-CN"/>
        </w:rPr>
      </w:pPr>
      <w:r>
        <w:rPr>
          <w:rFonts w:hint="eastAsia" w:ascii="Times New Roman" w:hAnsi="Times New Roman"/>
          <w:sz w:val="21"/>
          <w:szCs w:val="21"/>
          <w:lang w:val="en-US" w:eastAsia="zh-CN"/>
        </w:rPr>
        <w:t>这些差异同样体现在NICT的疗效研究中。目前绝大多数III期NICT方案临床试验证据来源于ESCC人群，针对EAC的研究多将胃癌及GEJA一并纳入，缺乏直接对比两种组织学疗效的高质量研究。一项针对可切除食管癌NICT疗效的荟萃分析显示，ESCC的pCR率达32.4%，高于EAC的25.2%</w:t>
      </w:r>
      <w:r>
        <w:rPr>
          <w:rFonts w:hint="eastAsia" w:ascii="Times New Roman" w:hAnsi="Times New Roman"/>
          <w:sz w:val="21"/>
          <w:szCs w:val="21"/>
          <w:lang w:val="en-US" w:eastAsia="zh-CN"/>
        </w:rPr>
        <w:fldChar w:fldCharType="begin"/>
      </w:r>
      <w:r>
        <w:rPr>
          <w:rFonts w:hint="eastAsia" w:ascii="Times New Roman" w:hAnsi="Times New Roman"/>
          <w:sz w:val="21"/>
          <w:szCs w:val="21"/>
          <w:lang w:val="en-US" w:eastAsia="zh-CN"/>
        </w:rPr>
        <w:instrText xml:space="preserve"> ADDIN ZOTERO_ITEM CSL_CITATION {"citationID":"y3wska4x","properties":{"formattedCitation":"\\super [24]\\nosupersub{}","plainCitation":"[24]","noteIndex":0},"citationItems":[{"id":1492,"uris":["http://zotero.org/users/15831584/items/SNUDQG78"],"itemData":{"id":1492,"type":"article-journal","abstract":"Importance\n              A considerable number of clinical trials of neoadjuvant immunotherapy for patients with resectable esophageal cancer are emerging. However, systematic evaluations of these studies are lacking.\n            \n            \n              Objective\n              To provide state-of-the-art evidence and normative theoretical support for neoadjuvant immunotherapy for locally advanced resectable esophageal cancer.\n            \n            \n              Data Sources\n              PubMed, Embase, Cochrane Library, and ClinicalTrials.gov databases were searched for relevant original articles and conference proceedings that were published in English through April 1, 2022.\n            \n            \n              Study Selection\n              Published phase 2 or 3 clinical trials that included patients with resectable stage I to IV esophageal cancer who received immune checkpoint inhibitors (ICIs) before surgery as monotherapy or in combination with other therapies.\n            \n            \n              Data Extraction and Synthesis\n              \n                The Preferred Reporting Items for Systematic Reviews and Meta-analyses and the Meta-analysis of Observational Studies in Epidemiology guidelines for meta-analysis were followed to extract data. A random-effects model was adopted if the heterogeneity was significant (\n                I\n                2\n                statistic &amp;amp;gt;50%); otherwise, the common-effects model was used. Data analyses were conducted from April 2 to 8, 2022.\n              \n            \n            \n              Main Outcomes and Measures\n              Pathological complete response (pCR) rate and major pathological response (MPR) rate were considered to be the primary outcomes calculated for the clinical outcomes of neoadjuvant immunotherapy. Incidence of treatment-related severe adverse events was set as the major measure for the safety outcome. The rate of R0 surgical resection was summarized. Subgroup analyses were conducted according to histologic subtype and ICI types.\n            \n            \n              Results\n              A total of 27 clinical trials with 815 patients were included. Pooled rates were 31.4% (95% CI, 27.6%-35.3%) for pCR and 48.9% (95% CI, 42.0-55.9%) for MCR in patients with esophageal cancer. In terms of safety, the pooled incidence of treatment-related severe adverse events was 26.9% (95% CI, 16.7%-38.3%). Most patients achieved R0 surgical resection (98.6%; 95% CI, 97.1%-99.6%). Regarding histologic subtypes, the pooled pCR rates were 32.4% (95% CI, 28.2%-36.8%) in esophageal squamous cell carcinoma and 25.2% (95% CI, 16.3%-35.1%) in esophageal adenocarcinoma. The pooled MPR rate was 49.4% (95% CI, 42.1%-56.7%) in esophageal squamous cell carcinoma.\n            \n            \n              Conclusions and Relevance\n              This study found that neoadjuvant immunotherapy with chemotherapy had promising clinical and safety outcomes for patients with resectable esophageal cancer. Randomized clinical trials with long-term follow-up are warranted to validate the findings and benefits of ICIs.","container-title":"JAMA Network Open","DOI":"10.1001/jamanetworkopen.2022.39778","ISSN":"2574-3805","issue":"11","journalAbbreviation":"Jama Netw. Open","language":"en","note":"5年影响因子: 10.7\nJCR分区: Q1\n中科院分区升级版: 医学1区\n南农高质量: A\n影响因子: 9.7","page":"e2239778","PMID":"36322089","PMCID":"PMC9631099","source":"PubMed Central","title":"Evaluation of clinical and safety outcomes of neoadjuvant immunotherapy combined with chemotherapy for patients with resectable esophageal cancer: a systematic review and meta-analysis","title-short":"Evaluation of clinical and safety outcomes of neoadjuvant immunotherapy combined with chemotherapy for patients with resectable esophageal cancer","volume":"5","author":[{"family":"Ge","given":"Fan"},{"family":"Huo","given":"Zhenyu"},{"family":"Cai","given":"Xiuyu"},{"family":"Hu","given":"Qiyuan"},{"family":"Chen","given":"Wenhao"},{"family":"Lin","given":"Guo"},{"family":"Zhong","given":"Ran"},{"family":"You","given":"Zhending"},{"family":"Wang","given":"Rui"},{"family":"Lu","given":"Yi"},{"family":"Wang","given":"Runchen"},{"family":"Huang","given":"Qinhong"},{"family":"Zhang","given":"Haotian"},{"family":"Song","given":"Aiqi"},{"family":"Li","given":"Caichen"},{"family":"Wen","given":"Yaokai"},{"family":"Jiang","given":"Yu"},{"family":"Liang","given":"Hengrui"},{"family":"He","given":"Jianxing"},{"family":"Liang","given":"Wenhua"},{"family":"Liu","given":"Jun"}],"issued":{"date-parts":[["2022",11,2]]}}}],"schema":"https://github.com/citation-style-language/schema/raw/master/csl-citation.json"} </w:instrText>
      </w:r>
      <w:r>
        <w:rPr>
          <w:rFonts w:hint="eastAsia" w:ascii="Times New Roman" w:hAnsi="Times New Roman"/>
          <w:sz w:val="21"/>
          <w:szCs w:val="21"/>
          <w:lang w:val="en-US" w:eastAsia="zh-CN"/>
        </w:rPr>
        <w:fldChar w:fldCharType="separate"/>
      </w:r>
      <w:r>
        <w:rPr>
          <w:rFonts w:hint="default" w:ascii="Times New Roman" w:hAnsi="Times New Roman" w:cs="Times New Roman"/>
          <w:sz w:val="21"/>
          <w:szCs w:val="24"/>
          <w:vertAlign w:val="superscript"/>
        </w:rPr>
        <w:t>[24]</w:t>
      </w:r>
      <w:r>
        <w:rPr>
          <w:rFonts w:hint="eastAsia" w:ascii="Times New Roman" w:hAnsi="Times New Roman"/>
          <w:sz w:val="21"/>
          <w:szCs w:val="21"/>
          <w:lang w:val="en-US" w:eastAsia="zh-CN"/>
        </w:rPr>
        <w:fldChar w:fldCharType="end"/>
      </w:r>
      <w:r>
        <w:rPr>
          <w:rFonts w:hint="eastAsia" w:ascii="Times New Roman" w:hAnsi="Times New Roman"/>
          <w:sz w:val="21"/>
          <w:szCs w:val="21"/>
          <w:lang w:val="en-US" w:eastAsia="zh-CN"/>
        </w:rPr>
        <w:t>。</w:t>
      </w:r>
      <w:r>
        <w:rPr>
          <w:rFonts w:hint="eastAsia" w:ascii="Times New Roman" w:hAnsi="Times New Roman"/>
          <w:color w:val="FF0000"/>
          <w:sz w:val="21"/>
          <w:szCs w:val="21"/>
          <w:lang w:val="en-US" w:eastAsia="zh-CN"/>
        </w:rPr>
        <w:t>需要指出的是，组织学亚组证据量的不均衡也可能放大上述差异。</w:t>
      </w:r>
      <w:r>
        <w:rPr>
          <w:rFonts w:hint="eastAsia" w:ascii="Times New Roman" w:hAnsi="Times New Roman"/>
          <w:sz w:val="21"/>
          <w:szCs w:val="21"/>
          <w:lang w:val="en-US" w:eastAsia="zh-CN"/>
        </w:rPr>
        <w:t>另一项荟萃分析则从相对效应角度表明，与非免疫新辅助方案相比，采用新辅助免疫方案时在ESCC与EAC亚组中均呈现pCR率改善的趋势</w:t>
      </w:r>
      <w:r>
        <w:rPr>
          <w:rFonts w:hint="eastAsia" w:ascii="Times New Roman" w:hAnsi="Times New Roman"/>
          <w:sz w:val="21"/>
          <w:szCs w:val="21"/>
          <w:lang w:val="en-US" w:eastAsia="zh-CN"/>
        </w:rPr>
        <w:fldChar w:fldCharType="begin"/>
      </w:r>
      <w:r>
        <w:rPr>
          <w:rFonts w:hint="eastAsia" w:ascii="Times New Roman" w:hAnsi="Times New Roman"/>
          <w:sz w:val="21"/>
          <w:szCs w:val="21"/>
          <w:lang w:val="en-US" w:eastAsia="zh-CN"/>
        </w:rPr>
        <w:instrText xml:space="preserve"> ADDIN ZOTERO_ITEM CSL_CITATION {"citationID":"Mzg0lHwQ","properties":{"formattedCitation":"\\super [25]\\nosupersub{}","plainCitation":"[25]","noteIndex":0},"citationItems":[{"id":1494,"uris":["http://zotero.org/users/15831584/items/Y8KGEE4Y"],"itemData":{"id":1494,"type":"article-journal","abstract":"Background\n              The neoadjuvant use of immune checkpoint inhibitor combined with chemotherapy (nICT) or chemoradiotherapy (nICRT) in locally advanced esophageal cancer (EC) is currently an area of active ongoing research. Therefore, we carried out a comprehensive meta-analysis to compare the efficacy and safety of the new strategy with routine neoadjuvant strategy, which included neoadjuvant chemotherapy (nCT) and neoadjuvant chemoradiotherapy (nCRT).\n            \n            \n              Patients and methods\n              MEDLINE (via PubMed), Embase (via OVID), ISI Web of Science database and Cochrane Library were included. And, all of them were searched for eligible studies between January, 2000 and February, 2023. The pathological complete response (pCR) and major pathological response (MPR) were primary outcome of our study. The second outcome of interest was R0 resection rate. Odds ratio (OR) and associated 95% CI were used as the effect indicators comparing the safety and efficiency of the neoadjuvant immunotherapy with the routine neoadjuvant therapy. Fixed-effect model (Inverse Variance) or random-effect model (Mantel-Haenszel method) was performed depending on the statistically heterogeneity.\n            \n            \n              Results\n              \n                There were eight trials with 652 patients were included in our meta-analysis. The estimated pCR rate was higher in the neoadjuvant immunotherapy group (OR =1.86; 95% CI, 1.25–2.75; I\n                2\n                = 32.8%,\n                P\n                =0.166). The different results were found in the esophageal squamous cell carcinoma (ESCC) and esophageal adenocarcinoma (EAC) subgroups, the estimated OR was 2.35 (95%CI, 1.00–2.72; I\n                2\n                = 30.9%,\n                P\n                =0.215) in the EAC subgroup, and 2.35 (95% CI, 1.20–4.54; I\n                2\n                = 45.3%,\n                P\n                =0.161) in the ESCC subgroup, respectively. The neoadjuvant immunotherapy also showed the advantage in the MPR rates (OR =2.66; 95% CI, 1.69–4.19; I\n                2\n                = 24.3%,\n                P\n                =0.252). There was no obvious difference between the neoadjuvant immunotherapy and routine neoadjuvant therapy with respect to surgical resection rate, R0 resection rate, surgical delay rate; while more treatment-related adverse events were observed for the neoadjuvant immunotherapy for pneumonitis/pneumonia (OR=3.46, 95% CI, 1.31–9.16; I\n                2\n                = 67.3%,\n                P\n                =0.005) and thyroid dysfunction (OR=4.69, 95% CI, 1.53–14.36; I\n                2\n                = 56.5%,\n                P\n                =0.032).\n              \n            \n            \n              Conclusion\n              The pooled correlations indicated that the neoadjuvant immunotherapy (both nICT and nICRT) could significantly increase the rates of pCR and MPR, compared with routine neoadjuvant therapy (both nCT and nCRT) in the treatment of locally advanced EC. The neoadjuvant immunotherapy and routine neoadjuvant therapy were with acceptable toxicity. However, randomized studies with larger groups of patients need to performed to confirm these results.\n            \n            \n              Systematic review registration\n              \n                https://www.crd.york.ac.uk/prospero/\n                , identifier CRD42020155802.","container-title":"Frontiers in Immunology","DOI":"10.3389/fimmu.2023.1108213","ISSN":"1664-3224","journalAbbreviation":"Front. Immunol.","language":"en","note":"5年影响因子: 6.8\nJCR分区: Q1\nTLDR: The pooled correlations indicated that the neoadjuvant immunotherapy (both nICT and nICRT) could significantly increase the rates of pCR and MPR, compared with routine neoadedjuvant therapy ( both nCT and nCRT) in the treatment of locally advanced EC.\n中科院分区升级版: 医学2区\n南农高质量: A\n影响因子: 5.9","page":"1108213","PMID":"37033991","PMCID":"PMC10076616","source":"PubMed Central","title":"Comparison of neoadjuvant immunotherapy versus routine neoadjuvant therapy for patients with locally advanced esophageal cancer: a systematic review and meta-analysis","title-short":"Comparison of neoadjuvant immunotherapy versus routine neoadjuvant therapy for patients with locally advanced esophageal cancer","volume":"14","author":[{"family":"Qin","given":"Hao"},{"family":"Liu","given":"Futao"},{"family":"Zhang","given":"Yaozhong"},{"family":"Liang","given":"Yuxiang"},{"family":"Mi","given":"Yuan"},{"family":"Yu","given":"Fan"},{"family":"Xu","given":"Haidi"},{"family":"Li","given":"Kuankuan"},{"family":"Lin","given":"Chenxi"},{"family":"Li","given":"Lei"},{"family":"Tian","given":"Ziqiang"},{"family":"Wang","given":"Lei"}],"issued":{"date-parts":[["2023",3,23]]}}}],"schema":"https://github.com/citation-style-language/schema/raw/master/csl-citation.json"} </w:instrText>
      </w:r>
      <w:r>
        <w:rPr>
          <w:rFonts w:hint="eastAsia" w:ascii="Times New Roman" w:hAnsi="Times New Roman"/>
          <w:sz w:val="21"/>
          <w:szCs w:val="21"/>
          <w:lang w:val="en-US" w:eastAsia="zh-CN"/>
        </w:rPr>
        <w:fldChar w:fldCharType="separate"/>
      </w:r>
      <w:r>
        <w:rPr>
          <w:rFonts w:hint="default" w:ascii="Times New Roman" w:hAnsi="Times New Roman" w:cs="Times New Roman"/>
          <w:sz w:val="21"/>
          <w:szCs w:val="24"/>
          <w:vertAlign w:val="superscript"/>
        </w:rPr>
        <w:t>[25]</w:t>
      </w:r>
      <w:r>
        <w:rPr>
          <w:rFonts w:hint="eastAsia" w:ascii="Times New Roman" w:hAnsi="Times New Roman"/>
          <w:sz w:val="21"/>
          <w:szCs w:val="21"/>
          <w:lang w:val="en-US" w:eastAsia="zh-CN"/>
        </w:rPr>
        <w:fldChar w:fldCharType="end"/>
      </w:r>
      <w:r>
        <w:rPr>
          <w:rFonts w:hint="eastAsia" w:ascii="Times New Roman" w:hAnsi="Times New Roman"/>
          <w:sz w:val="21"/>
          <w:szCs w:val="21"/>
          <w:lang w:val="en-US" w:eastAsia="zh-CN"/>
        </w:rPr>
        <w:t>。正因上述差异，多数围手术期临床试验在设计之初即对组织学类型进行限制性入组，致使不同研究在人群构成、治疗方案及终点评价方面存在差异。这种设计层面的异质性限制了鳞癌与腺癌疗效的直接横向对比，也提示在不同组织学亚型间外推研究结论时需保持谨慎。</w:t>
      </w:r>
    </w:p>
    <w:p w14:paraId="7EFEFA8C">
      <w:pPr>
        <w:pStyle w:val="4"/>
        <w:bidi w:val="0"/>
        <w:rPr>
          <w:rFonts w:hint="eastAsia" w:ascii="Times New Roman" w:hAnsi="Times New Roman" w:eastAsia="楷体" w:cs="楷体"/>
          <w:b w:val="0"/>
          <w:bCs/>
          <w:sz w:val="21"/>
          <w:szCs w:val="21"/>
          <w:lang w:val="en-US" w:eastAsia="zh-CN"/>
        </w:rPr>
      </w:pPr>
      <w:r>
        <w:rPr>
          <w:rFonts w:hint="eastAsia" w:ascii="Times New Roman" w:hAnsi="Times New Roman" w:eastAsia="楷体" w:cs="楷体"/>
          <w:b w:val="0"/>
          <w:bCs/>
          <w:sz w:val="21"/>
          <w:szCs w:val="21"/>
          <w:lang w:val="en-US" w:eastAsia="zh-CN"/>
        </w:rPr>
        <w:t>2.2 分期与可切除性评估</w:t>
      </w:r>
    </w:p>
    <w:p w14:paraId="59E555B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Times New Roman" w:hAnsi="Times New Roman"/>
          <w:sz w:val="21"/>
          <w:szCs w:val="21"/>
          <w:lang w:val="en-US" w:eastAsia="zh-CN"/>
        </w:rPr>
      </w:pPr>
      <w:r>
        <w:rPr>
          <w:rFonts w:hint="default" w:ascii="Times New Roman" w:hAnsi="Times New Roman"/>
          <w:sz w:val="21"/>
          <w:szCs w:val="21"/>
          <w:lang w:val="en-US" w:eastAsia="zh-CN"/>
        </w:rPr>
        <w:t>肿瘤分期及手术可切除性是确定食管癌围手术期治疗方案的核心依据。多项研究显示，在局部晚期可切除食管癌患者中</w:t>
      </w:r>
      <w:r>
        <w:rPr>
          <w:rFonts w:hint="eastAsia" w:ascii="Times New Roman" w:hAnsi="Times New Roman"/>
          <w:sz w:val="21"/>
          <w:szCs w:val="21"/>
          <w:lang w:val="en-US" w:eastAsia="zh-CN"/>
        </w:rPr>
        <w:t>，</w:t>
      </w:r>
      <w:r>
        <w:rPr>
          <w:rFonts w:hint="default" w:ascii="Times New Roman" w:hAnsi="Times New Roman"/>
          <w:sz w:val="21"/>
          <w:szCs w:val="21"/>
          <w:lang w:val="en-US" w:eastAsia="zh-CN"/>
        </w:rPr>
        <w:t>基线临床分期较早者接受NICT后的pCR</w:t>
      </w:r>
      <w:r>
        <w:rPr>
          <w:rFonts w:hint="eastAsia" w:ascii="Times New Roman" w:hAnsi="Times New Roman"/>
          <w:sz w:val="21"/>
          <w:szCs w:val="21"/>
          <w:lang w:val="en-US" w:eastAsia="zh-CN"/>
        </w:rPr>
        <w:t>率</w:t>
      </w:r>
      <w:r>
        <w:rPr>
          <w:rFonts w:hint="default" w:ascii="Times New Roman" w:hAnsi="Times New Roman"/>
          <w:sz w:val="21"/>
          <w:szCs w:val="21"/>
          <w:lang w:val="en-US" w:eastAsia="zh-CN"/>
        </w:rPr>
        <w:t>及长期生存结局均优于分期更晚人群</w:t>
      </w:r>
      <w:r>
        <w:rPr>
          <w:rFonts w:hint="default" w:ascii="Times New Roman" w:hAnsi="Times New Roman"/>
          <w:sz w:val="21"/>
          <w:szCs w:val="21"/>
          <w:lang w:val="en-US" w:eastAsia="zh-CN"/>
        </w:rPr>
        <w:fldChar w:fldCharType="begin"/>
      </w:r>
      <w:r>
        <w:rPr>
          <w:rFonts w:hint="eastAsia" w:ascii="Times New Roman" w:hAnsi="Times New Roman"/>
          <w:sz w:val="21"/>
          <w:szCs w:val="21"/>
          <w:lang w:val="en-US" w:eastAsia="zh-CN"/>
        </w:rPr>
        <w:instrText xml:space="preserve"> ADDIN ZOTERO_ITEM CSL_CITATION {"citationID":"Nst9uw5B","properties":{"formattedCitation":"\\super [6,26,27]\\nosupersub{}","plainCitation":"[6,26,27]","noteIndex":0},"citationItems":[{"id":1397,"uris":["http://zotero.org/users/15831584/items/W7LXGNZJ"],"itemData":{"id":1397,"type":"article-journal","abstract":"Recent single-arm studies involving neoadjuvant camrelizumab, a PD-1 inhibitor, plus chemotherapy for resectable locally advanced esophageal squamous cell carcinoma (LA-ESCC) have shown promising results. This multicenter, randomized, open-label phase 3 trial aimed to further assess the efficacy and safety of neoadjuvant camrelizumab plus chemotherapy followed by adjuvant camrelizumab, compared to neoadjuvant chemotherapy alone. A total of 391 patients with resectable thoracic LA-ESCC (T1b-3N1-3M0 or T3N0M0) were stratified by clinical stage (I/II, III or IVA) and randomized in a 1:1:1 ratio to undergo two cycles of neoadjuvant therapy. Treatments included camrelizumab, albumin-bound paclitaxel and cisplatin (Cam+nab-TP group; n = 132); camrelizumab, paclitaxel and cisplatin (Cam+TP group; n = 130); and paclitaxel with cisplatin (TP group; n = 129), followed by surgical resection. Both the Cam+nab-TP and Cam+TP groups also received adjuvant camrelizumab. The dual primary endpoints were the rate of pathological complete response (pCR), as evaluated by a blind independent review committee, and event-free survival (EFS), as assessed by investigators. This study reports the final analysis of pCR rates. In the intention-to-treat population, the Cam+nab-TP and Cam+TP groups exhibited significantly higher pCR rates of 28.0% and 15.4%, respectively, compared to 4.7% in the TP group (Cam+nab-TP versus TP: difference 23.5%, 95% confidence interval (CI) 15.1-32.0, P &lt; 0.0001; Cam+TP versus TP: difference 10.9%, 95% CI 3.7-18.1, P = 0.0034). The study met its primary endpoint of pCR; however, EFS is not yet mature. The incidence of grade ≥3 treatment-related adverse events during neoadjuvant treatment was 34.1% for the Cam+nab-TP group, 29.2% for the Cam+TP group and 28.8% for the TP group; the postoperative complication rates were 34.2%, 38.8% and 32.0%, respectively. Neoadjuvant camrelizumab plus chemotherapy demonstrated superior pCR rates compared to chemotherapy alone for LA-ESCC, with a tolerable safety profile. Chinese Clinical Trial Registry identifier: ChiCTR2000040034 .","container-title":"Nature Medicine","DOI":"10.1038/s41591-024-03064-w","ISSN":"1546-170X","issue":"9","journalAbbreviation":"Nat. Med.","language":"en","note":"5年影响因子: 52.4\nJCR分区: Q1\nTLDR: The study met its primary endpoint of pCR; however, EFS is not yet mature; however, Neoadjuvant camrelizumab plus chemotherapy demonstrated superior pCR rates compared to chemotherapy alone for LA-ESCC, with a tolerable safety profile.\n中科院分区升级版: 医学1区\n南农高质量: A\n影响因子: 50.0","page":"2549-2557","PMID":"38956195","PMCID":"PMC11405280","source":"PubMed","title":"Neoadjuvant chemotherapy with or without camrelizumab in resectable esophageal squamous cell carcinoma: the randomized phase 3 ESCORT-NEO/NCCES01 trial","title-short":"Neoadjuvant chemotherapy with or without camrelizumab in resectable esophageal squamous cell carcinoma","volume":"30","author":[{"family":"Qin","given":"Jianjun"},{"family":"Xue","given":"Liyan"},{"family":"Hao","given":"Anlin"},{"family":"Guo","given":"Xiaofeng"},{"family":"Jiang","given":"Tao"},{"family":"Ni","given":"Yunfeng"},{"family":"Liu","given":"Shuoyan"},{"family":"Chen","given":"Yujie"},{"family":"Jiang","given":"Hongjing"},{"family":"Zhang","given":"Chen"},{"family":"Kang","given":"Mingqiang"},{"family":"Lin","given":"Jihong"},{"family":"Li","given":"Hecheng"},{"family":"Li","given":"Chengqiang"},{"family":"Tian","given":"Hui"},{"family":"Li","given":"Lin"},{"family":"Fu","given":"Junke"},{"family":"Zhang","given":"Yong"},{"family":"Ma","given":"Jianqun"},{"family":"Wang","given":"Xiaoyuan"},{"family":"Fu","given":"Maoyong"},{"family":"Yang","given":"Hao"},{"family":"Yang","given":"Zhaoyang"},{"family":"Han","given":"Yongtao"},{"family":"Chen","given":"Longqi"},{"family":"Tan","given":"Lijie"},{"family":"Dai","given":"Tianyang"},{"family":"Liao","given":"Yongde"},{"family":"Zhang","given":"Weiguo"},{"family":"Li","given":"Bin"},{"family":"Chen","given":"Qixun"},{"family":"Guo","given":"Shiping"},{"family":"Qi","given":"Yu"},{"family":"Wei","given":"Li"},{"family":"Li","given":"Zhigang"},{"family":"Tian","given":"Ziqiang"},{"family":"Kang","given":"Xiaozheng"},{"family":"Zhang","given":"Ruixiang"},{"family":"Li","given":"Yong"},{"family":"Wang","given":"Zhen"},{"family":"Chen","given":"Xiankai"},{"family":"Hou","given":"Zhiguo"},{"family":"Zheng","given":"Rongrong"},{"family":"Zhu","given":"Wenqing"},{"family":"He","given":"Jie"},{"family":"Li","given":"Yin"}],"issued":{"date-parts":[["2024",9]]}}},{"id":1656,"uris":["http://zotero.org/users/15831584/items/NK9WIAQY"],"itemData":{"id":1656,"type":"article-journal","abstract":"ABSTRACT\n            \n              Objective:\n              To evaluate the efficacy and safety of neoadjuvant chemoimmunotherapy (NICT) in treating locally advanced resectable esophageal squamous cell carcinoma (ESCC).\n            \n            \n              Materials and Methods:\n              This retrospective analysis included 379 patients, who received NICT (PD-1 inhibitors + chemotherapy) before surgery at Shandong Cancer Hospital from January 1, 2020, to January 1, 2025. Pathological responses were assessed using standardized criteria, including pathological complete response (pCR), major pathological response (MPR), and tumor regression grade (TRG). Survival analysis was performed using Kaplan–Meier methods, and multivariate Cox regression models were constructed to evaluate the relationship between NICT and survival outcomes.\n            \n            \n              Results:\n              \n                The pCR, MPR, and significant tumor reduction rates were 27.2%, 41.8%, and 81.6%, respectively. Poor tumor differentiation and early clinical stage were associated with improved treatment responses. Patients achieving pCR, MPR, or TRG0-1 had significantly better overall survival rates compared with other groups (\n                P\n                &lt; 0.0001). NICT demonstrated acceptable toxicity, with anastomotic leakage (9.0%) and pneumonia (17.9%) being the primary complications.\n              \n            \n            \n              Conclusion:\n              NICT significantly improves pathological response and survival rates in patients with locally advanced resectable ESCC, with a favorable safety profile. These findings highlight the potential of NICT to transform the treatment landscape of ESCC. Future research should focus on the optimizing treatment regimens, identifying predictive biomarkers, and reducing toxicity to improve clinical outcomes and achieve personalized treatment.","container-title":"Journal of Cancer Research and Therapeutics","DOI":"10.4103/jcrt.jcrt_583_25","ISSN":"0973-1482, 1998-4138","issue":"4","journalAbbreviation":"J. Cancer Res. Ther.","language":"en","note":"TLDR: NICT significantly improves pathological response and survival rates in patients with locally advanced resectable ESCC, with a favorable safety profile, and highlight the potential of NICT to transform the treatment landscape of ESCC.\nJCR分区: Q4\n中科院分区升级版: 医学4区\n影响因子: 1.3\n5年影响因子: 1.4\n南农高质量: D","page":"934-940","PMID":"40905877","source":"PubMed","title":"Efficacy of neoadjuvant chemoimmunotherapy in locally advanced resectable esophageal cancer","volume":"21","author":[{"family":"Yi","given":"Yan"},{"family":"Cao","given":"Qiang"},{"family":"Zhang","given":"Hongmei"},{"family":"Zhang","given":"Bin"},{"family":"Zhang","given":"Ruidan"},{"family":"Li","given":"Xinwei"},{"family":"Kong","given":"Lingshuo"},{"family":"Li","given":"Baosheng"}],"issued":{"date-parts":[["2025",9]]}}},{"id":1546,"uris":["http://zotero.org/users/15831584/items/TK3LBWNK"],"itemData":{"id":1546,"type":"article-journal","abstract":"A clinical nomogram for predicting tumor regression grade in esophageal squamous-cell carcinoma treated with immune neoadjuvant immunotherapy","container-title":"Annals of Translational Medicine","DOI":"10.21037/atm-22-78","ISSN":"23055839, 23055847","issue":"2","journalAbbreviation":"Ann. Transl. Med.","language":"en","note":"TLDR: A response [tumor regression grade (TRG)] prediction model is developed using the least absolute shrinkage and selection operator (LASSO) regression incorporating factors associated with response that can predict the likelihood of TRG in patients with esophageal squamous cell cancer after immunotherapy combined with neoadjuvant chemotherapy.","page":"102-102","publisher":"AME Publishing Company","source":"atm.amegroups.org","title":"A clinical nomogram for predicting tumor regression grade in esophageal squamous-cell carcinoma treated with immune neoadjuvant immunotherapy","volume":"10","author":[{"family":"Yu","given":"Yongkui"},{"family":"Wang","given":"Wei"},{"family":"Qin","given":"Zimin"},{"family":"Li","given":"Haomiao"},{"family":"Liu","given":"Qi"},{"family":"Ma","given":"Haibo"},{"family":"Sun","given":"Haibo"},{"family":"Bauer","given":"Thomas L."},{"family":"Pimiento","given":"Jose M."},{"family":"Gabriel","given":"Emmanuel"},{"family":"Birdas","given":"Thomas"},{"family":"Li","given":"Yin"},{"family":"Xing","given":"Wenqun"}],"issued":{"date-parts":[["2022",1]]}}}],"schema":"https://github.com/citation-style-language/schema/raw/master/csl-citation.json"} </w:instrText>
      </w:r>
      <w:r>
        <w:rPr>
          <w:rFonts w:hint="default" w:ascii="Times New Roman" w:hAnsi="Times New Roman"/>
          <w:sz w:val="21"/>
          <w:szCs w:val="21"/>
          <w:lang w:val="en-US" w:eastAsia="zh-CN"/>
        </w:rPr>
        <w:fldChar w:fldCharType="separate"/>
      </w:r>
      <w:r>
        <w:rPr>
          <w:rFonts w:hint="default" w:ascii="Times New Roman" w:hAnsi="Times New Roman" w:cs="Times New Roman"/>
          <w:sz w:val="21"/>
          <w:szCs w:val="24"/>
          <w:vertAlign w:val="superscript"/>
        </w:rPr>
        <w:t>[6,26,27]</w:t>
      </w:r>
      <w:r>
        <w:rPr>
          <w:rFonts w:hint="default" w:ascii="Times New Roman" w:hAnsi="Times New Roman"/>
          <w:sz w:val="21"/>
          <w:szCs w:val="21"/>
          <w:lang w:val="en-US" w:eastAsia="zh-CN"/>
        </w:rPr>
        <w:fldChar w:fldCharType="end"/>
      </w:r>
      <w:r>
        <w:rPr>
          <w:rFonts w:hint="default" w:ascii="Times New Roman" w:hAnsi="Times New Roman"/>
          <w:sz w:val="21"/>
          <w:szCs w:val="21"/>
          <w:lang w:val="en-US" w:eastAsia="zh-CN"/>
        </w:rPr>
        <w:t>。因此准确的初始临床分期是制定合理治疗策略的前提。</w:t>
      </w:r>
      <w:r>
        <w:rPr>
          <w:rFonts w:hint="eastAsia" w:ascii="Times New Roman" w:hAnsi="Times New Roman"/>
          <w:sz w:val="21"/>
          <w:szCs w:val="21"/>
          <w:lang w:val="en-US" w:eastAsia="zh-CN"/>
        </w:rPr>
        <w:t>目前食管癌分期评估主要依赖增强CT、内镜超声、磁共振成像及PET-CT等影像学手段</w:t>
      </w:r>
      <w:r>
        <w:rPr>
          <w:rFonts w:hint="default" w:ascii="Times New Roman" w:hAnsi="Times New Roman"/>
          <w:sz w:val="21"/>
          <w:szCs w:val="21"/>
          <w:lang w:val="en-US" w:eastAsia="zh-CN"/>
        </w:rPr>
        <w:t>。</w:t>
      </w:r>
      <w:r>
        <w:rPr>
          <w:rFonts w:hint="eastAsia" w:ascii="Times New Roman" w:hAnsi="Times New Roman"/>
          <w:sz w:val="21"/>
          <w:szCs w:val="21"/>
          <w:lang w:val="en-US" w:eastAsia="zh-CN"/>
        </w:rPr>
        <w:t>鉴于各项影像技术</w:t>
      </w:r>
      <w:r>
        <w:rPr>
          <w:rFonts w:hint="default" w:ascii="Times New Roman" w:hAnsi="Times New Roman"/>
          <w:sz w:val="21"/>
          <w:szCs w:val="21"/>
          <w:lang w:val="en-US" w:eastAsia="zh-CN"/>
        </w:rPr>
        <w:t>在T、N、M分期</w:t>
      </w:r>
      <w:r>
        <w:rPr>
          <w:rFonts w:hint="eastAsia" w:ascii="Times New Roman" w:hAnsi="Times New Roman"/>
          <w:sz w:val="21"/>
          <w:szCs w:val="21"/>
          <w:lang w:val="en-US" w:eastAsia="zh-CN"/>
        </w:rPr>
        <w:t>判定</w:t>
      </w:r>
      <w:r>
        <w:rPr>
          <w:rFonts w:hint="default" w:ascii="Times New Roman" w:hAnsi="Times New Roman"/>
          <w:sz w:val="21"/>
          <w:szCs w:val="21"/>
          <w:lang w:val="en-US" w:eastAsia="zh-CN"/>
        </w:rPr>
        <w:t>中各有优势</w:t>
      </w:r>
      <w:r>
        <w:rPr>
          <w:rFonts w:hint="eastAsia" w:ascii="Times New Roman" w:hAnsi="Times New Roman"/>
          <w:sz w:val="21"/>
          <w:szCs w:val="21"/>
          <w:lang w:val="en-US" w:eastAsia="zh-CN"/>
        </w:rPr>
        <w:t>及</w:t>
      </w:r>
      <w:r>
        <w:rPr>
          <w:rFonts w:hint="default" w:ascii="Times New Roman" w:hAnsi="Times New Roman"/>
          <w:sz w:val="21"/>
          <w:szCs w:val="21"/>
          <w:lang w:val="en-US" w:eastAsia="zh-CN"/>
        </w:rPr>
        <w:t>局限，多模态联合评估已成为临床指南的推荐方案</w:t>
      </w:r>
      <w:r>
        <w:rPr>
          <w:rFonts w:hint="default" w:ascii="Times New Roman" w:hAnsi="Times New Roman"/>
          <w:sz w:val="21"/>
          <w:szCs w:val="21"/>
          <w:lang w:val="en-US" w:eastAsia="zh-CN"/>
        </w:rPr>
        <w:fldChar w:fldCharType="begin"/>
      </w:r>
      <w:r>
        <w:rPr>
          <w:rFonts w:hint="eastAsia" w:ascii="Times New Roman" w:hAnsi="Times New Roman"/>
          <w:sz w:val="21"/>
          <w:szCs w:val="21"/>
          <w:lang w:val="en-US" w:eastAsia="zh-CN"/>
        </w:rPr>
        <w:instrText xml:space="preserve"> ADDIN ZOTERO_ITEM CSL_CITATION {"citationID":"6XAxEEkj","properties":{"formattedCitation":"\\super [28,29]\\nosupersub{}","plainCitation":"[28,29]","noteIndex":0},"citationItems":[{"id":1548,"uris":["http://zotero.org/users/15831584/items/9YZSWWJQ"],"itemData":{"id":1548,"type":"article-journal","abstract":"This review provides an in-depth analysis and comprehensive overview of recent advancements in MRI techniques for evaluating esophageal cancer (EC). It discusses the specific MRI acquisition protocols and parameters that enhance image quality and diagnostic accuracy. The review highlights MRI’s role and performance in the initial TNM staging and its potential to refine treatment strategies by improving tumor delineation and characterization. Additionally, the paper explores MRI utility in restaging after NAT, focusing on its accuracy in assessing treatment response and detecting residual or recurrent disease. Comparisons with other imaging modalities currently used—such as endoscopic ultrasound (EUS), contrast-enhanced computed tomography (CE-CT), and 18F-fluorodeoxyglucose (FDG) positron emission tomography/CT (PET/CT)—are included to highlight the strengths and limitations of each method. Illustrated with numerous Figures, this article proposes a novel MRI-based strategy for EC staging and restaging. It aims to integrate MRI into clinical practice by leveraging its superior soft-tissue contrast and functional imaging capabilities to enhance diagnostic precision and improve patient outcomes. Through this comprehensive evaluation, the review underscores the potential of MRI to become a cornerstone in the precision diagnosis and management of EC.","container-title":"Cancers","DOI":"10.3390/cancers17081351","ISSN":"2072-6694","issue":"8","journalAbbreviation":"Cancers","language":"en","note":"5年影响因子: 4.8\nJCR分区: Q2\n中科院分区升级版: 医学3区\n南农高质量: B\n影响因子: 4.4","page":"1351","PMID":"40282527","PMCID":"PMC12026097","source":"PubMed","title":"Advancing esophageal cancer staging and restaging: the role of MRI in precision diagnosis","title-short":"Advancing esophageal cancer staging and restaging","volume":"17","author":[{"family":"Haefliger","given":"Laura"},{"family":"Chapellier","given":"Pauline"},{"family":"Vietti Violi","given":"Naik"},{"family":"Ledoux","given":"Jean-Baptiste"},{"family":"Mantziari","given":"Styliani"},{"family":"Schäfer","given":"Markus"},{"family":"Dromain","given":"Clarisse"}],"issued":{"date-parts":[["2025",4,17]]}}},{"id":1550,"uris":["http://zotero.org/users/15831584/items/V9NJMETC"],"itemData":{"id":1550,"type":"article-journal","abstract":"This document provides recommendations regarding the role of imaging in the staging and follow-up of esophageal cancer. For initial clinical staging, locoregional extent and nodal disease are typically assessed with esophagogastroduodenoscopy and esophageal ultrasound. FDG-PET/CT or CT of the chest and abdomen is usually appropriate for use in initial clinical staging as they provide additional information regarding distant nodal and metastatic disease. The detection of metastatic disease is critical in the initial evaluation of patients with esophageal cancer because it will direct patients to a treatment pathway centered on palliative radiation rather than surgery. For imaging during treatment, particularly neoadjuvant chemotherapy, FDG-PET/CT is usually appropriate, because some studies have found that it can provide information regarding primary lesion response, but more importantly it can be used to detect metastases that have developed since the induction of treatment. For patients who have completed treatment, FDG-PET/CT or CT of the chest and abdomen is usually appropriate for evaluating the presence and extent of metastases in patients with no suspected or known recurrence and in those with a suspected or known recurrence. The ACR Appropriateness Criteria are evidence-based guidelines for specific clinical conditions that are reviewed annually by a multidisciplinary expert panel. The guideline development and revision process support the systematic analysis of the medical literature from peer reviewed journals. Established methodology principles such as Grading of Recommendations Assessment, Development, and Evaluation or GRADE are adapted to evaluate the evidence. The RAND/UCLA Appropriateness Method User Manual provides the methodology to determine the appropriateness of imaging and treatment procedures for specific clinical scenarios. In those instances where peer reviewed literature is lacking or equivocal, experts may be the primary evidentiary source available to formulate a recommendation.","container-title":"Journal of the American College of Radiology","DOI":"10.1016/j.jacr.2022.09.008","ISSN":"15461440","issue":"11","journalAbbreviation":"J. Am. Coll. Radiol.","language":"en","note":"5年影响因子: 4.5\nJCR分区: Q1\nTLDR: This document provides recommendations regarding the role of imaging in the staging and follow-up of esophageal cancer and the appropriateness of imaging and treatment procedures for specific clinical scenarios.\n中科院分区升级版: 医学2区\n南农高质量: A\n影响因子: 5.1","page":"S462-S472","source":"ScienceDirect","title":"ACR appropriateness criteria® staging and follow-up of esophageal cancer","volume":"19","author":[{"family":"Raptis","given":"Constantine A."},{"family":"Goldstein","given":"Alan"},{"family":"Henry","given":"Travis S."},{"family":"Porter","given":"Kristin K."},{"family":"Catenacci","given":"Daniel"},{"family":"Kelly","given":"Aine Marie"},{"family":"Kuzniewski","given":"Christopher T."},{"family":"Lai","given":"Andrew R."},{"family":"Lee","given":"Elizabeth"},{"family":"Long","given":"Jason M."},{"family":"Martin","given":"Maria D."},{"family":"Morris","given":"Michael F."},{"family":"Sandler","given":"Kim L."},{"family":"Sirajuddin","given":"Arlene"},{"family":"Surasi","given":"Devaki Shilpa"},{"family":"Wallace","given":"Graham W."},{"family":"Kamel","given":"Ihab R."},{"family":"Donnelly","given":"Edwin F."}],"issued":{"date-parts":[["2022",11]]}}}],"schema":"https://github.com/citation-style-language/schema/raw/master/csl-citation.json"} </w:instrText>
      </w:r>
      <w:r>
        <w:rPr>
          <w:rFonts w:hint="default" w:ascii="Times New Roman" w:hAnsi="Times New Roman"/>
          <w:sz w:val="21"/>
          <w:szCs w:val="21"/>
          <w:lang w:val="en-US" w:eastAsia="zh-CN"/>
        </w:rPr>
        <w:fldChar w:fldCharType="separate"/>
      </w:r>
      <w:r>
        <w:rPr>
          <w:rFonts w:hint="default" w:ascii="Times New Roman" w:hAnsi="Times New Roman" w:cs="Times New Roman"/>
          <w:sz w:val="21"/>
          <w:szCs w:val="24"/>
          <w:vertAlign w:val="superscript"/>
        </w:rPr>
        <w:t>[28,29]</w:t>
      </w:r>
      <w:r>
        <w:rPr>
          <w:rFonts w:hint="default" w:ascii="Times New Roman" w:hAnsi="Times New Roman"/>
          <w:sz w:val="21"/>
          <w:szCs w:val="21"/>
          <w:lang w:val="en-US" w:eastAsia="zh-CN"/>
        </w:rPr>
        <w:fldChar w:fldCharType="end"/>
      </w:r>
      <w:r>
        <w:rPr>
          <w:rFonts w:hint="default" w:ascii="Times New Roman" w:hAnsi="Times New Roman"/>
          <w:sz w:val="21"/>
          <w:szCs w:val="21"/>
          <w:lang w:val="en-US" w:eastAsia="zh-CN"/>
        </w:rPr>
        <w:t>。</w:t>
      </w:r>
      <w:r>
        <w:rPr>
          <w:rFonts w:hint="eastAsia" w:ascii="Times New Roman" w:hAnsi="Times New Roman"/>
          <w:sz w:val="21"/>
          <w:szCs w:val="21"/>
          <w:lang w:val="en-US" w:eastAsia="zh-CN"/>
        </w:rPr>
        <w:t>相关研究进一步指出，</w:t>
      </w:r>
      <w:r>
        <w:rPr>
          <w:rFonts w:hint="default" w:ascii="Times New Roman" w:hAnsi="Times New Roman"/>
          <w:sz w:val="21"/>
          <w:szCs w:val="21"/>
          <w:lang w:val="en-US" w:eastAsia="zh-CN"/>
        </w:rPr>
        <w:t>合理</w:t>
      </w:r>
      <w:r>
        <w:rPr>
          <w:rFonts w:hint="eastAsia" w:ascii="Times New Roman" w:hAnsi="Times New Roman"/>
          <w:sz w:val="21"/>
          <w:szCs w:val="21"/>
          <w:lang w:val="en-US" w:eastAsia="zh-CN"/>
        </w:rPr>
        <w:t>组合</w:t>
      </w:r>
      <w:r>
        <w:rPr>
          <w:rFonts w:hint="default" w:ascii="Times New Roman" w:hAnsi="Times New Roman"/>
          <w:sz w:val="21"/>
          <w:szCs w:val="21"/>
          <w:lang w:val="en-US" w:eastAsia="zh-CN"/>
        </w:rPr>
        <w:t>不同影像技术</w:t>
      </w:r>
      <w:r>
        <w:rPr>
          <w:rFonts w:hint="eastAsia" w:ascii="Times New Roman" w:hAnsi="Times New Roman"/>
          <w:sz w:val="21"/>
          <w:szCs w:val="21"/>
          <w:lang w:val="en-US" w:eastAsia="zh-CN"/>
        </w:rPr>
        <w:t>既能提升初始分期准确性，又可在维持诊断效能的同时减少辐射暴露</w:t>
      </w:r>
      <w:r>
        <w:rPr>
          <w:rFonts w:hint="eastAsia" w:ascii="Times New Roman" w:hAnsi="Times New Roman"/>
          <w:sz w:val="21"/>
          <w:szCs w:val="21"/>
          <w:lang w:val="en-US" w:eastAsia="zh-CN"/>
        </w:rPr>
        <w:fldChar w:fldCharType="begin"/>
      </w:r>
      <w:r>
        <w:rPr>
          <w:rFonts w:hint="eastAsia" w:ascii="Times New Roman" w:hAnsi="Times New Roman"/>
          <w:sz w:val="21"/>
          <w:szCs w:val="21"/>
          <w:lang w:val="en-US" w:eastAsia="zh-CN"/>
        </w:rPr>
        <w:instrText xml:space="preserve"> ADDIN ZOTERO_ITEM CSL_CITATION {"citationID":"Wa5b1Lgw","properties":{"formattedCitation":"\\super [30,31]\\nosupersub{}","plainCitation":"[30,31]","noteIndex":0},"citationItems":[{"id":1555,"uris":["http://zotero.org/users/15831584/items/8LITQZ58"],"itemData":{"id":1555,"type":"article-journal","abstract":"Abstract\n            \n              Objectives\n              To compare the diagnostic accuracy of MRI and PET/CT combined versus standard staging methods (CT, endoscopic ultrasound [EUS], and PET/CT) for initial staging of esophageal cancer (EC).\n            \n            \n              Materials and methods\n              This study included patients newly diagnosed with histologically proven EC between 2017 and 2021. Patients underwent a 3-T esophageal MRI alongside standard staging (CT, EUS, PET/CT) prior to treatment. TNM-stages were assessed by two independent reviewers for MRI, CT, and PET/CT, with EUS evaluated by one operator. Discrepancies were resolved by a third reviewer. Patients were categorized based on treatment management: surgery (T1-T2N0M0), neoadjuvant (radio)chemotherapy (T3-T4a and/or N1-N2-N3M0), and palliative chemotherapy (T4b and/or M1). The reference standard was histopathology from surgical specimens or TNM staging from tumor board discussions. The area under the curve (AUC) was calculated for each imaging combination.\n            \n            \n              Results\n              \n                60 patients newly diagnosed with EC (50M/10F; mean age 66.5 years) were prospectively enrolled. MRI + PET/CT combination exhibited the highest AUC (0.92, 95% CI: 0.79–1) for differentiating curative versus palliative patients, without statistically significant difference compared to CT + EUS (0.80, 95% CI: 0.56–1,\n                p\n                 = 0.34), CT + PET/CT (0.77, 95% CI: 0.53–1,\n                p\n                 = 0.42), and CT + EUS + PET/CT (0.78, 95% CI: 0.58–0.97,\n                p\n                 = 0.26). In term of differentiating patients eligible for upfront surgery from those with indication for neoadjuvant (radio)chemotherapy, the combination of CT + EUS + PET/CT demonstrated the highest AUC (0.90, 95% CI: 0.75–1) without statistically significant difference compared to CT + EUS (0.82, 95% CI: 0.56–1,\n                p\n                 = 0.49), CT + PET/CT (0.79, 95% CI: 0.46–1,\n                p\n                 = 0.36), and MRI + PET/CT (0.83, 95% CI: 0.65–1,\n                p\n                 = 0.59).\n              \n            \n            \n              Conclusion\n              MRI + PET/CT combination is highly accurate for initial EC staging and non-inferior to standard methods, offering less invasiveness and reduced radiation exposure.\n            \n            \n              Key Points\n              \n                \n                  Question\n                \n                Can MRI help improve the TNM staging of esophageal cancer?\n              \n              \n                \n                  Findings\n                \n                MRI + PET/CT showed no statistically significant difference compared to endoscopic ultrasound (EUS) + CT + PET/CT in identifying curative vs palliative patients but with a tendency for improved staging\n                .\n              \n              \n                \n                  Clinical relevance\n                \n                Thoraco-abdominal MRI can provide added value (as a replacement of CT and EUS) in initial staging of esophagus cancer, particularly in cases of stenotic or advanced tumors.\n              \n            \n            \n              Graphical Abstract","container-title":"European Radiology","DOI":"10.1007/s00330-025-11549-6","ISSN":"1432-1084","issue":"11","journalAbbreviation":"Eur. Radio.","language":"en","note":"5年影响因子: 5.3\nJCR分区: Q1\nTLDR: MRI’s+ PET/CT combination is highly accurate for initial EC staging and non-inferior to standard methods, offering less invasiveness and reduced radiation exposure.\n中科院分区升级版: 医学2区\n南农高质量: A\n影响因子: 4.7","page":"6917-6927","PMID":"40379940","PMCID":"PMC12559062","source":"PubMed","title":"Evaluation of MRI for initial staging of esophageal cancer: the STIRMCO study","title-short":"Evaluation of MRI for initial staging of esophageal cancer","volume":"35","author":[{"family":"Levy","given":"Vincent"},{"family":"Jreige","given":"Mario"},{"family":"Haefliger","given":"Laura"},{"family":"Du Pasquier","given":"Celine"},{"family":"Noirot","given":"Camille"},{"family":"Dorothea Wagner","given":"Anna"},{"family":"Mantziari","given":"Styliani"},{"family":"Schäfer","given":"Markus"},{"family":"Vietti-Violi","given":"Naik"},{"family":"Dromain","given":"Clarisse"}],"issued":{"date-parts":[["2025",5,16]]}}},{"id":1659,"uris":["http://zotero.org/users/15831584/items/4A8ECN6E"],"itemData":{"id":1659,"type":"article-journal","abstract":"Abstract\n            \n              Purpose\n              To evaluate the staging performance of positron emission tomography/magnetic resonance imaging (PET/MRI) for confirmed esophageal cancer based on the TNM classification system as well as compare it to other alternative modalities (e.g., endoscopic ultrasonography (EUS), computed tomography (CT), MRI, and PET/CT) in a full head-to-head manner.\n            \n            \n              Methods\n              \n                Protocol was pre-registered a priori at (\n                http://osf.io/6qj5m/\n                ). We searched PubMed, Web of Science, Embase, and Cochrane Library for studies until September 10, 2024. The risk of bias was assessed using Modified Quality Assessment of Diagnostic Accuracy Studies (QUADAS-2) and Quality Assessment of Diagnostic Accuracy Studies–Comparative (QUADAS-C). The classification performance of PET/MRI in T, N, and M staging of esophageal cancer and resectability status were evaluated and compared to other relative modalities. Grading of Recommendations, Assessment, Development, and Evaluations (GRADE) was used for certainty evaluation.\n              \n            \n            \n              Results\n              Nine studies were included with 245 esophageal cancer patients. For T, N, and M staging, PET/MRI showed 9.1%, 2.0%, and 10.7% upstaging than the histopathological evaluation while these numbers were 19.4%, 12.4%, and 5.3% for downstaging. For direct comparison with PET/CT, PET/MRI showed 0.7% and 5.6% less downstaging and upstaging for N staging and 2.5% and 4.0% for M staging. As for predicting resectability status, pre-ADCmean and post-ADCmean were promising, unlike other parameters (i.e., ΔADCmean, pre-SUVmax, post-SUVmax, and ΔSUVmax).\n            \n            \n              Conclusion\n              With protocol adjustments, PET/MRI might be utilized in the future for preoperative staging of esophageal cancer.\n            \n            \n              Clinical trial number\n              N/A.","container-title":"BMC Medical Imaging","DOI":"10.1186/s12880-025-01565-9","ISSN":"1471-2342","issue":"1","journalAbbreviation":"BMC Med Imaging","language":"en","note":"TLDR: PET/MRI might be utilized in the future for preoperative staging of esophageal cancer, and pre-ADCmean and post-ADCmean were promising, unlike other parameters (i.e., ΔADCmean, pre-SUVmax, post-SUVmax, and ΔSUVmax).\nJCR分区: Q1\n中科院分区升级版: 医学3区\n影响因子: 3.2\n5年影响因子: 3.1\n南农高质量: C","page":"32","PMID":"39885424","PMCID":"PMC11783729","source":"PubMed Central","title":"Staging of esophageal cancer using PET/MRI: a systematic review with head-to-head comparison","title-short":"Staging of esophageal cancer using PET/MRI","volume":"25","author":[{"family":"Mohebbi","given":"Alisa"},{"family":"Mohammadzadeh","given":"Saeed"},{"family":"Moradi","given":"Zahra"},{"family":"Mohammadi","given":"Afshin"},{"family":"Poustchi","given":"Hossein"},{"family":"Tavangar","given":"Seyed Mohammad"}],"issued":{"date-parts":[["2025",1,30]]}}}],"schema":"https://github.com/citation-style-language/schema/raw/master/csl-citation.json"} </w:instrText>
      </w:r>
      <w:r>
        <w:rPr>
          <w:rFonts w:hint="eastAsia" w:ascii="Times New Roman" w:hAnsi="Times New Roman"/>
          <w:sz w:val="21"/>
          <w:szCs w:val="21"/>
          <w:lang w:val="en-US" w:eastAsia="zh-CN"/>
        </w:rPr>
        <w:fldChar w:fldCharType="separate"/>
      </w:r>
      <w:r>
        <w:rPr>
          <w:rFonts w:hint="default" w:ascii="Times New Roman" w:hAnsi="Times New Roman" w:cs="Times New Roman"/>
          <w:sz w:val="21"/>
          <w:szCs w:val="24"/>
          <w:vertAlign w:val="superscript"/>
        </w:rPr>
        <w:t>[30,31]</w:t>
      </w:r>
      <w:r>
        <w:rPr>
          <w:rFonts w:hint="eastAsia" w:ascii="Times New Roman" w:hAnsi="Times New Roman"/>
          <w:sz w:val="21"/>
          <w:szCs w:val="21"/>
          <w:lang w:val="en-US" w:eastAsia="zh-CN"/>
        </w:rPr>
        <w:fldChar w:fldCharType="end"/>
      </w:r>
      <w:r>
        <w:rPr>
          <w:rFonts w:hint="eastAsia" w:ascii="Times New Roman" w:hAnsi="Times New Roman"/>
          <w:sz w:val="21"/>
          <w:szCs w:val="21"/>
          <w:lang w:val="en-US" w:eastAsia="zh-CN"/>
        </w:rPr>
        <w:t>。然而，新辅助治疗后的再分期仍存在困难：治疗后肿瘤体积缩小、坏死及纤维化改变，使影像学难以精准区分残余肿瘤与治疗相关反应，进而导致临床影像分期与术后病理分期之间出现偏差</w:t>
      </w:r>
      <w:r>
        <w:rPr>
          <w:rFonts w:hint="eastAsia" w:ascii="Times New Roman" w:hAnsi="Times New Roman"/>
          <w:sz w:val="21"/>
          <w:szCs w:val="21"/>
          <w:lang w:val="en-US" w:eastAsia="zh-CN"/>
        </w:rPr>
        <w:fldChar w:fldCharType="begin"/>
      </w:r>
      <w:r>
        <w:rPr>
          <w:rFonts w:hint="eastAsia" w:ascii="Times New Roman" w:hAnsi="Times New Roman"/>
          <w:sz w:val="21"/>
          <w:szCs w:val="21"/>
          <w:lang w:val="en-US" w:eastAsia="zh-CN"/>
        </w:rPr>
        <w:instrText xml:space="preserve"> ADDIN ZOTERO_ITEM CSL_CITATION {"citationID":"dToXbqtz","properties":{"formattedCitation":"\\super [28]\\nosupersub{}","plainCitation":"[28]","noteIndex":0},"citationItems":[{"id":1548,"uris":["http://zotero.org/users/15831584/items/9YZSWWJQ"],"itemData":{"id":1548,"type":"article-journal","abstract":"This review provides an in-depth analysis and comprehensive overview of recent advancements in MRI techniques for evaluating esophageal cancer (EC). It discusses the specific MRI acquisition protocols and parameters that enhance image quality and diagnostic accuracy. The review highlights MRI’s role and performance in the initial TNM staging and its potential to refine treatment strategies by improving tumor delineation and characterization. Additionally, the paper explores MRI utility in restaging after NAT, focusing on its accuracy in assessing treatment response and detecting residual or recurrent disease. Comparisons with other imaging modalities currently used—such as endoscopic ultrasound (EUS), contrast-enhanced computed tomography (CE-CT), and 18F-fluorodeoxyglucose (FDG) positron emission tomography/CT (PET/CT)—are included to highlight the strengths and limitations of each method. Illustrated with numerous Figures, this article proposes a novel MRI-based strategy for EC staging and restaging. It aims to integrate MRI into clinical practice by leveraging its superior soft-tissue contrast and functional imaging capabilities to enhance diagnostic precision and improve patient outcomes. Through this comprehensive evaluation, the review underscores the potential of MRI to become a cornerstone in the precision diagnosis and management of EC.","container-title":"Cancers","DOI":"10.3390/cancers17081351","ISSN":"2072-6694","issue":"8","journalAbbreviation":"Cancers","language":"en","note":"5年影响因子: 4.8\nJCR分区: Q2\n中科院分区升级版: 医学3区\n南农高质量: B\n影响因子: 4.4","page":"1351","PMID":"40282527","PMCID":"PMC12026097","source":"PubMed","title":"Advancing esophageal cancer staging and restaging: the role of MRI in precision diagnosis","title-short":"Advancing esophageal cancer staging and restaging","volume":"17","author":[{"family":"Haefliger","given":"Laura"},{"family":"Chapellier","given":"Pauline"},{"family":"Vietti Violi","given":"Naik"},{"family":"Ledoux","given":"Jean-Baptiste"},{"family":"Mantziari","given":"Styliani"},{"family":"Schäfer","given":"Markus"},{"family":"Dromain","given":"Clarisse"}],"issued":{"date-parts":[["2025",4,17]]}}}],"schema":"https://github.com/citation-style-language/schema/raw/master/csl-citation.json"} </w:instrText>
      </w:r>
      <w:r>
        <w:rPr>
          <w:rFonts w:hint="eastAsia" w:ascii="Times New Roman" w:hAnsi="Times New Roman"/>
          <w:sz w:val="21"/>
          <w:szCs w:val="21"/>
          <w:lang w:val="en-US" w:eastAsia="zh-CN"/>
        </w:rPr>
        <w:fldChar w:fldCharType="separate"/>
      </w:r>
      <w:r>
        <w:rPr>
          <w:rFonts w:hint="default" w:ascii="Times New Roman" w:hAnsi="Times New Roman" w:cs="Times New Roman"/>
          <w:sz w:val="21"/>
          <w:szCs w:val="24"/>
          <w:vertAlign w:val="superscript"/>
        </w:rPr>
        <w:t>[28]</w:t>
      </w:r>
      <w:r>
        <w:rPr>
          <w:rFonts w:hint="eastAsia" w:ascii="Times New Roman" w:hAnsi="Times New Roman"/>
          <w:sz w:val="21"/>
          <w:szCs w:val="21"/>
          <w:lang w:val="en-US" w:eastAsia="zh-CN"/>
        </w:rPr>
        <w:fldChar w:fldCharType="end"/>
      </w:r>
      <w:r>
        <w:rPr>
          <w:rFonts w:hint="eastAsia" w:ascii="Times New Roman" w:hAnsi="Times New Roman"/>
          <w:sz w:val="21"/>
          <w:szCs w:val="21"/>
          <w:lang w:val="en-US" w:eastAsia="zh-CN"/>
        </w:rPr>
        <w:t>。因此，新辅助治疗后残余病灶及其可切除性的准确判断仍是临床实践与影像学研究的重点。</w:t>
      </w:r>
    </w:p>
    <w:p w14:paraId="2B21D38F">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Times New Roman" w:hAnsi="Times New Roman"/>
          <w:sz w:val="21"/>
          <w:szCs w:val="21"/>
          <w:lang w:val="en-US" w:eastAsia="zh-CN"/>
        </w:rPr>
      </w:pPr>
      <w:r>
        <w:rPr>
          <w:rFonts w:hint="default" w:ascii="Times New Roman" w:hAnsi="Times New Roman"/>
          <w:sz w:val="21"/>
          <w:szCs w:val="21"/>
          <w:lang w:val="en-US" w:eastAsia="zh-CN"/>
        </w:rPr>
        <w:t>根据第8版AJCC TNM分期系统，cT1b</w:t>
      </w:r>
      <w:r>
        <w:rPr>
          <w:rFonts w:hint="eastAsia" w:ascii="Times New Roman" w:hAnsi="Times New Roman"/>
          <w:sz w:val="21"/>
          <w:szCs w:val="21"/>
          <w:lang w:val="en-US" w:eastAsia="zh-CN"/>
        </w:rPr>
        <w:t>-</w:t>
      </w:r>
      <w:r>
        <w:rPr>
          <w:rFonts w:hint="default" w:ascii="Times New Roman" w:hAnsi="Times New Roman"/>
          <w:sz w:val="21"/>
          <w:szCs w:val="21"/>
          <w:lang w:val="en-US" w:eastAsia="zh-CN"/>
        </w:rPr>
        <w:t>T4aN0</w:t>
      </w:r>
      <w:r>
        <w:rPr>
          <w:rFonts w:hint="eastAsia" w:ascii="Times New Roman" w:hAnsi="Times New Roman"/>
          <w:sz w:val="21"/>
          <w:szCs w:val="21"/>
          <w:lang w:val="en-US" w:eastAsia="zh-CN"/>
        </w:rPr>
        <w:t>-</w:t>
      </w:r>
      <w:r>
        <w:rPr>
          <w:rFonts w:hint="default" w:ascii="Times New Roman" w:hAnsi="Times New Roman"/>
          <w:sz w:val="21"/>
          <w:szCs w:val="21"/>
          <w:lang w:val="en-US" w:eastAsia="zh-CN"/>
        </w:rPr>
        <w:t>3M0的局部</w:t>
      </w:r>
      <w:r>
        <w:rPr>
          <w:rFonts w:hint="eastAsia" w:ascii="Times New Roman" w:hAnsi="Times New Roman"/>
          <w:sz w:val="21"/>
          <w:szCs w:val="21"/>
          <w:lang w:val="en-US" w:eastAsia="zh-CN"/>
        </w:rPr>
        <w:t>晚</w:t>
      </w:r>
      <w:r>
        <w:rPr>
          <w:rFonts w:hint="default" w:ascii="Times New Roman" w:hAnsi="Times New Roman"/>
          <w:sz w:val="21"/>
          <w:szCs w:val="21"/>
          <w:lang w:val="en-US" w:eastAsia="zh-CN"/>
        </w:rPr>
        <w:t>期</w:t>
      </w:r>
      <w:r>
        <w:rPr>
          <w:rFonts w:hint="eastAsia" w:ascii="Times New Roman" w:hAnsi="Times New Roman"/>
          <w:sz w:val="21"/>
          <w:szCs w:val="21"/>
          <w:lang w:val="en-US" w:eastAsia="zh-CN"/>
        </w:rPr>
        <w:t>食管癌</w:t>
      </w:r>
      <w:r>
        <w:rPr>
          <w:rFonts w:hint="default" w:ascii="Times New Roman" w:hAnsi="Times New Roman"/>
          <w:sz w:val="21"/>
          <w:szCs w:val="21"/>
          <w:lang w:val="en-US" w:eastAsia="zh-CN"/>
        </w:rPr>
        <w:t>通常被视为可</w:t>
      </w:r>
      <w:r>
        <w:rPr>
          <w:rFonts w:hint="eastAsia" w:ascii="Times New Roman" w:hAnsi="Times New Roman"/>
          <w:sz w:val="21"/>
          <w:szCs w:val="21"/>
          <w:lang w:val="en-US" w:eastAsia="zh-CN"/>
        </w:rPr>
        <w:t>切除人群，是当前新辅助治疗研究的主要对象。然而各NICT试验对“局部晚期可切除”的界定标准并不一致。例如ESCORT-NEO纳入胸段T1b-3N1-3M0或T3N0M0患者，KEYSTONE-002限定为cT1N2M0或cT2-3N0-2M0，而TD-NICE研究采用更为宽泛的标准</w:t>
      </w:r>
      <w:r>
        <w:rPr>
          <w:rFonts w:hint="eastAsia" w:ascii="Times New Roman" w:hAnsi="Times New Roman"/>
          <w:sz w:val="21"/>
          <w:szCs w:val="21"/>
          <w:lang w:val="en-US" w:eastAsia="zh-CN"/>
        </w:rPr>
        <w:fldChar w:fldCharType="begin"/>
      </w:r>
      <w:r>
        <w:rPr>
          <w:rFonts w:hint="eastAsia" w:ascii="Times New Roman" w:hAnsi="Times New Roman"/>
          <w:sz w:val="21"/>
          <w:szCs w:val="21"/>
          <w:lang w:val="en-US" w:eastAsia="zh-CN"/>
        </w:rPr>
        <w:instrText xml:space="preserve"> ADDIN ZOTERO_ITEM CSL_CITATION {"citationID":"68jlfp2n","properties":{"formattedCitation":"\\super [6,7,32]\\nosupersub{}","plainCitation":"[6,7,32]","noteIndex":0},"citationItems":[{"id":1397,"uris":["http://zotero.org/users/15831584/items/W7LXGNZJ"],"itemData":{"id":1397,"type":"article-journal","abstract":"Recent single-arm studies involving neoadjuvant camrelizumab, a PD-1 inhibitor, plus chemotherapy for resectable locally advanced esophageal squamous cell carcinoma (LA-ESCC) have shown promising results. This multicenter, randomized, open-label phase 3 trial aimed to further assess the efficacy and safety of neoadjuvant camrelizumab plus chemotherapy followed by adjuvant camrelizumab, compared to neoadjuvant chemotherapy alone. A total of 391 patients with resectable thoracic LA-ESCC (T1b-3N1-3M0 or T3N0M0) were stratified by clinical stage (I/II, III or IVA) and randomized in a 1:1:1 ratio to undergo two cycles of neoadjuvant therapy. Treatments included camrelizumab, albumin-bound paclitaxel and cisplatin (Cam+nab-TP group; n = 132); camrelizumab, paclitaxel and cisplatin (Cam+TP group; n = 130); and paclitaxel with cisplatin (TP group; n = 129), followed by surgical resection. Both the Cam+nab-TP and Cam+TP groups also received adjuvant camrelizumab. The dual primary endpoints were the rate of pathological complete response (pCR), as evaluated by a blind independent review committee, and event-free survival (EFS), as assessed by investigators. This study reports the final analysis of pCR rates. In the intention-to-treat population, the Cam+nab-TP and Cam+TP groups exhibited significantly higher pCR rates of 28.0% and 15.4%, respectively, compared to 4.7% in the TP group (Cam+nab-TP versus TP: difference 23.5%, 95% confidence interval (CI) 15.1-32.0, P &lt; 0.0001; Cam+TP versus TP: difference 10.9%, 95% CI 3.7-18.1, P = 0.0034). The study met its primary endpoint of pCR; however, EFS is not yet mature. The incidence of grade ≥3 treatment-related adverse events during neoadjuvant treatment was 34.1% for the Cam+nab-TP group, 29.2% for the Cam+TP group and 28.8% for the TP group; the postoperative complication rates were 34.2%, 38.8% and 32.0%, respectively. Neoadjuvant camrelizumab plus chemotherapy demonstrated superior pCR rates compared to chemotherapy alone for LA-ESCC, with a tolerable safety profile. Chinese Clinical Trial Registry identifier: ChiCTR2000040034 .","container-title":"Nature Medicine","DOI":"10.1038/s41591-024-03064-w","ISSN":"1546-170X","issue":"9","journalAbbreviation":"Nat. Med.","language":"en","note":"5年影响因子: 52.4\nJCR分区: Q1\nTLDR: The study met its primary endpoint of pCR; however, EFS is not yet mature; however, Neoadjuvant camrelizumab plus chemotherapy demonstrated superior pCR rates compared to chemotherapy alone for LA-ESCC, with a tolerable safety profile.\n中科院分区升级版: 医学1区\n南农高质量: A\n影响因子: 50.0","page":"2549-2557","PMID":"38956195","PMCID":"PMC11405280","source":"PubMed","title":"Neoadjuvant chemotherapy with or without camrelizumab in resectable esophageal squamous cell carcinoma: the randomized phase 3 ESCORT-NEO/NCCES01 trial","title-short":"Neoadjuvant chemotherapy with or without camrelizumab in resectable esophageal squamous cell carcinoma","volume":"30","author":[{"family":"Qin","given":"Jianjun"},{"family":"Xue","given":"Liyan"},{"family":"Hao","given":"Anlin"},{"family":"Guo","given":"Xiaofeng"},{"family":"Jiang","given":"Tao"},{"family":"Ni","given":"Yunfeng"},{"family":"Liu","given":"Shuoyan"},{"family":"Chen","given":"Yujie"},{"family":"Jiang","given":"Hongjing"},{"family":"Zhang","given":"Chen"},{"family":"Kang","given":"Mingqiang"},{"family":"Lin","given":"Jihong"},{"family":"Li","given":"Hecheng"},{"family":"Li","given":"Chengqiang"},{"family":"Tian","given":"Hui"},{"family":"Li","given":"Lin"},{"family":"Fu","given":"Junke"},{"family":"Zhang","given":"Yong"},{"family":"Ma","given":"Jianqun"},{"family":"Wang","given":"Xiaoyuan"},{"family":"Fu","given":"Maoyong"},{"family":"Yang","given":"Hao"},{"family":"Yang","given":"Zhaoyang"},{"family":"Han","given":"Yongtao"},{"family":"Chen","given":"Longqi"},{"family":"Tan","given":"Lijie"},{"family":"Dai","given":"Tianyang"},{"family":"Liao","given":"Yongde"},{"family":"Zhang","given":"Weiguo"},{"family":"Li","given":"Bin"},{"family":"Chen","given":"Qixun"},{"family":"Guo","given":"Shiping"},{"family":"Qi","given":"Yu"},{"family":"Wei","given":"Li"},{"family":"Li","given":"Zhigang"},{"family":"Tian","given":"Ziqiang"},{"family":"Kang","given":"Xiaozheng"},{"family":"Zhang","given":"Ruixiang"},{"family":"Li","given":"Yong"},{"family":"Wang","given":"Zhen"},{"family":"Chen","given":"Xiankai"},{"family":"Hou","given":"Zhiguo"},{"family":"Zheng","given":"Rongrong"},{"family":"Zhu","given":"Wenqing"},{"family":"He","given":"Jie"},{"family":"Li","given":"Yin"}],"issued":{"date-parts":[["2024",9]]}}},{"id":1430,"uris":["http://zotero.org/users/15831584/items/F7LUHAQT"],"itemData":{"id":1430,"type":"article-journal","abstract":"BACKGROUND: Clinical benefit of neoadjuvant immunotherapy in resectable esophageal squamous cell carcinoma (ESCC). remains unclear. This study evaluated the efficacy and safety of the programmed death 1 (PD-1) inhibitor tislelizumab combined with chemotherapy as neoadjuvant therapy in patients with resectable ESCC.\nMETHODS: Treatment-naïve patients were enrolled and eligible patients received 3 cycles of neoadjuvant therapy with tislelizumab, carboplatin, and nab-paclitaxel. The primary endpoint was surgery patients major pathological response (MPR). Subgroup analysis was stratified by tumor downstaging, circumferential resection margin (CRM), PD-ligand 1 (PD-L1) expression, and tumor mutation burden (TMB). Safety was assessed by adverse events (AEs) and postoperative complications.\nRESULTS: Between September 2020 and March 2021, 45 patients were enrolled. Thirty-six (80.0%) of 45 patients underwent surgery, and 29 (80.5%) underwent successful R0 resection. MPR and pathological complete response (pCR) for surgery patients were 72.0% and 50.0%, respectively. Intention to treatment (ITT) patients MPR and PCR were 57.5% and 40%. Downgrading occurred in 75% of 36 patients. MPR and pCR were identified to be associated with tumor downstaging and CRM but not PD-L1 expression or TMB. TPS levels in MPR and pCR group were significantly higher than that in Non-MPR and Non-pCR group, respectively. Treatment-related AEs of grade 3-4 and immune-related AEs occurred in 42.2% and 22.2% of 45 patients, respectively, and postoperative complications occurred in 77.8% of 36 patients. No treatment-related surgical delay or death occurred. No associations between gene mutation and pathological efficacy were observed.\nCONCLUSIONS: Tislelizumab plus chemotherapy as neoadjuvant therapy demonstrates promising antitumor activity for resectable ESCC with high rates of MPR, pCR, and R0 resection, as well as acceptable tolerability.","container-title":"International Journal of Surgery","DOI":"10.1016/j.ijsu.2022.106680","ISSN":"17439191","journalAbbreviation":"Int. J. Surg.","language":"en","note":"5年影响因子: 10.4\nJCR分区: Q1\nTLDR: Tislelizumab plus chemotherapy as neoadjuvant therapy demonstrates promising antitumor activity for resectable ESCC with high rates of MPR, pCR, and R0 resection, as well as acceptable tolerability.\n中科院分区升级版: 医学2区\n影响因子: 10.3\n南农高质量: A","page":"106680","PMID":"35595021","source":"PubMed","title":"Tislelizumab combined with chemotherapy as neoadjuvant therapy for surgically resectable esophageal cancer: a prospective, single-arm, phase II study (TD-NICE)","title-short":"Tislelizumab combined with chemotherapy as neoadjuvant therapy for surgically resectable esophageal cancer","volume":"103","author":[{"family":"Yan","given":"Xiaolong"},{"family":"Duan","given":"Hongtao"},{"family":"Ni","given":"Yunfeng"},{"family":"Zhou","given":"Yongan"},{"family":"Wang","given":"Xiaoping"},{"family":"Qi","given":"Haini"},{"family":"Gong","given":"Li"},{"family":"Liu","given":"Honggang"},{"family":"Tian","given":"Feng"},{"family":"Lu","given":"Qiang"},{"family":"Sun","given":"Jianyong"},{"family":"Yang","given":"Ende"},{"family":"Zhong","given":"Daixing"},{"family":"Wang","given":"Tao"},{"family":"Huang","given":"Lijun"},{"family":"Wang","given":"Jian"},{"literal":"Chaoyang Wang"},{"family":"Wang","given":"Yuanyong"},{"family":"Wan","given":"Zhiyi"},{"family":"Lei","given":"Jie"},{"family":"Zhao","given":"Jinbo"},{"family":"Jiang","given":"Tao"}],"issued":{"date-parts":[["2022",7]]}}},{"id":1535,"uris":["http://zotero.org/users/15831584/items/6VM63747"],"itemData":{"id":1535,"type":"article-journal","abstract":"Background\n              To compare the efficacy and safety of pembrolizumab combined with neoadjuvant chemotherapy (neoCT) versus neoadjuvant chemoradiotherapy (neoCRT) followed by surgery for locally advanced resectable oesophageal squamous cell carcinoma (ESCC).\n            \n            \n              Methods\n              This study is a multicentre, prospective, randomized-controlled, phase III clinical study. Eligible ESCC (staging: cT1N2M0 or cT2-3N0-2M0 (stage II/III, high-risk lesions in T2N0M0)) patients will be randomly assigned to either the experimental group (pembrolizumab with neoCT, n = 228) or the control group (neoCRT, n = 114) at a ratio of 2:1. Within 4–6 weeks after preoperative therapy, the McKeown procedure will be performed. Patients in the experimental group will also receive pembrolizumab alone as adjuvant therapy after surgery until 1 year or until the radiographically confirmed PD or other condition indicated for premature termination is observed. The primary endpoint is event-free survival (EFS). The secondary endpoints are 1-, 3-, and 5-year overall survival (OS) and disease-free survival (DFS), short-term outcomes, and quality of life.\n            \n            \n              Discussion\n              This is the first prospectively randomized controlled trial designed to compare pembrolizumab plus chemotherapy and chemoradiotherapy as neoadjuvant therapy for resectable ESCC. According to our hypothesis, preoperative pembrolizumab combined with chemotherapy will result in a better tumour response and prolong the survival of patients, with acceptable toxicity. This study started in December 2021, and the enrolment time is estimated to be 2 years.\n            \n            \n              Trial Registration\n              \n                This prospective study has been registered at\n                ClinicalTrials.gov\n                (NCT04807673), March 2021.","container-title":"Frontiers in Oncology","DOI":"10.3389/fonc.2022.831345","ISSN":"2234-943X","journalAbbreviation":"Front. Oncol.","language":"en","note":"5年影响因子: 3.8\nJCR分区: Q2\nTLDR: According to the hypothesis, preoperative pembrolizumab combined with chemotherapy will result in a better tumour response and prolong the survival of patients, with acceptable toxicity, according to the first prospectively randomized controlled trial designed to compare pembrology plus chemotherapy and chemoradiotherapy as neoadjuvant therapy for resectable ESCC.\n中科院分区升级版: 医学3区\n南农高质量: B\n影响因子: 3.3","page":"831345","PMID":"35433421","PMCID":"PMC9008846","source":"PubMed","title":"Pembrolizumab combined with neoadjuvant chemotherapy versus neoadjuvant chemoradiotherapy followed by surgery for locally advanced oesophageal squamous cell carcinoma: protocol for a multicentre, prospective, randomized-controlled, phase III clinical study (keystone-002)","title-short":"Pembrolizumab combined with neoadjuvant chemotherapy versus neoadjuvant chemoradiotherapy followed by surgery for locally advanced oesophageal squamous cell carcinoma","volume":"12","author":[{"family":"Shang","given":"Xiaobin"},{"family":"Zhang","given":"Wencheng"},{"family":"Zhao","given":"Gang"},{"family":"Liang","given":"Fei"},{"family":"Zhang","given":"Chen"},{"family":"Yue","given":"Jie"},{"family":"Duan","given":"Xiaofeng"},{"family":"Ma","given":"Zhao"},{"family":"Chen","given":"Chuangui"},{"family":"Pang","given":"Qingsong"},{"family":"Zhang","given":"Weihong"},{"family":"Liu","given":"Liang"},{"family":"Ren","given":"Xiubao"},{"family":"Meng","given":"Bin"},{"family":"Zhang","given":"Peng"},{"family":"Ma","given":"Yegang"},{"family":"Zhang","given":"Lin"},{"family":"Li","given":"Hecheng"},{"family":"Kang","given":"Xiaozheng"},{"family":"Li","given":"Yin"},{"family":"Jiang","given":"Hongjing"}],"issued":{"date-parts":[["2022",3,31]]}}}],"schema":"https://github.com/citation-style-language/schema/raw/master/csl-citation.json"} </w:instrText>
      </w:r>
      <w:r>
        <w:rPr>
          <w:rFonts w:hint="eastAsia" w:ascii="Times New Roman" w:hAnsi="Times New Roman"/>
          <w:sz w:val="21"/>
          <w:szCs w:val="21"/>
          <w:lang w:val="en-US" w:eastAsia="zh-CN"/>
        </w:rPr>
        <w:fldChar w:fldCharType="separate"/>
      </w:r>
      <w:r>
        <w:rPr>
          <w:rFonts w:hint="default" w:ascii="Times New Roman" w:hAnsi="Times New Roman" w:cs="Times New Roman"/>
          <w:sz w:val="21"/>
          <w:szCs w:val="24"/>
          <w:vertAlign w:val="superscript"/>
        </w:rPr>
        <w:t>[6,7,32]</w:t>
      </w:r>
      <w:r>
        <w:rPr>
          <w:rFonts w:hint="eastAsia" w:ascii="Times New Roman" w:hAnsi="Times New Roman"/>
          <w:sz w:val="21"/>
          <w:szCs w:val="21"/>
          <w:lang w:val="en-US" w:eastAsia="zh-CN"/>
        </w:rPr>
        <w:fldChar w:fldCharType="end"/>
      </w:r>
      <w:r>
        <w:rPr>
          <w:rFonts w:hint="eastAsia" w:ascii="Times New Roman" w:hAnsi="Times New Roman"/>
          <w:sz w:val="21"/>
          <w:szCs w:val="21"/>
          <w:lang w:val="en-US" w:eastAsia="zh-CN"/>
        </w:rPr>
        <w:t>。上述入组差异既反映了研究者对可切除性判断的差异，也影响了疗效结果的外推性和跨试验比较的一致性。对于明确可切除病例，新辅助治疗核心目标在于降期、提高R0切除率并清除微转移灶；而对边界可切除肿瘤，则更侧重于将“不可切除”转化为“可切除”，为患者争取根治性手术机会。但在实际临床实践中，边界可切除状态的评估仍较为困难</w:t>
      </w:r>
      <w:r>
        <w:rPr>
          <w:rFonts w:hint="eastAsia" w:ascii="Times New Roman" w:hAnsi="Times New Roman"/>
          <w:sz w:val="21"/>
          <w:szCs w:val="21"/>
          <w:lang w:val="en-US" w:eastAsia="zh-CN"/>
        </w:rPr>
        <w:fldChar w:fldCharType="begin"/>
      </w:r>
      <w:r>
        <w:rPr>
          <w:rFonts w:hint="eastAsia" w:ascii="Times New Roman" w:hAnsi="Times New Roman"/>
          <w:sz w:val="21"/>
          <w:szCs w:val="21"/>
          <w:lang w:val="en-US" w:eastAsia="zh-CN"/>
        </w:rPr>
        <w:instrText xml:space="preserve"> ADDIN ZOTERO_ITEM CSL_CITATION {"citationID":"rqhrjOzn","properties":{"formattedCitation":"\\super [33]\\nosupersub{}","plainCitation":"[33]","noteIndex":0},"citationItems":[{"id":1564,"uris":["http://zotero.org/users/15831584/items/TLVBFCVF"],"itemData":{"id":1564,"type":"article-journal","abstract":"null 在食管癌的精准诊疗中，基于术前准确临床分期的个体化分层，对治疗策略的制订至关重要。当前国际广泛应用的食管癌TNM分期系统，根据原发肿瘤的可切除性，将T4期细分为cT4a期（可切除）与cT4b期（不可切除）。然而，在实际临床实践中，对于边界可切除的食管癌患者，仍面临概念界定不清晰、分期欠准确的问题，进而可能引发治疗决策偏差。日本食管疾病学会发布了第12版食管癌规约，提出cT3r期（可切除）和cT3br期（边界可切除）的概念，并给予相应的影像学评判标准，用于指导边界可切除食管癌的诊断。在精准医学时代，需要重新审视边界可切除食管癌的诊治策略。提高对边界可切除食管癌的认知水平，通过多学科团队讨论、多维度术前检查手段，明确肿瘤准确的临床分期，对进一步改善患者的预后至关重要。在免疫治疗蓬勃发展的同时，放疗在新辅助治疗中的价值需要被重视，这将为优化边界可切除食管癌的综合治疗模式提供重要工具。","container-title":"中华外科杂志","DOI":"10.3760/cma.j.cn112139-20250408-00183","ISSN":"0529-5815","issue":"11","journalAbbreviation":"中华外科杂志","language":"zh","license":"© 2022《中华医学杂志》社有限责任公司版权所有","note":"original-author:  Guo  Xufeng   \noriginal-title: Recognition of diagnosis and treatment of borderline resectable esophageal cancer\ncollect: 0\ncomment: 0\nCSCD: 核心库\ndownload: 13\nlike: 0\nshare: 0\nTLDR: The Japan Esophageal Society has released the 12th Edition of Japanese Classification of Esophageal Cancer, which for the first time proposes the staging concepts of resectable cT3r and borderline resectable cT3br, along with corresponding imaging evaluation criteria, to guide the diagnosis of borderline resectable esophageal cancer.\nview: 36\n中国科技核心期刊: 是\n中文核心期刊/北大核心: 是\n南农高质量: 三类\n复合影响因子: 1.675\n综合影响因子: 1.4","page":"988-991","publisher":"《中华医学杂志》社有限责任公司","source":"rs.yiigle.com","title":"边界可切除食管癌诊治的再思考","volume":"63","author":[{"literal":"郭旭峰"}],"issued":{"date-parts":[["2025",11,1]]}}}],"schema":"https://github.com/citation-style-language/schema/raw/master/csl-citation.json"} </w:instrText>
      </w:r>
      <w:r>
        <w:rPr>
          <w:rFonts w:hint="eastAsia" w:ascii="Times New Roman" w:hAnsi="Times New Roman"/>
          <w:sz w:val="21"/>
          <w:szCs w:val="21"/>
          <w:lang w:val="en-US" w:eastAsia="zh-CN"/>
        </w:rPr>
        <w:fldChar w:fldCharType="separate"/>
      </w:r>
      <w:r>
        <w:rPr>
          <w:rFonts w:hint="default" w:ascii="Times New Roman" w:hAnsi="Times New Roman" w:cs="Times New Roman"/>
          <w:sz w:val="21"/>
          <w:szCs w:val="24"/>
          <w:vertAlign w:val="superscript"/>
        </w:rPr>
        <w:t>[33]</w:t>
      </w:r>
      <w:r>
        <w:rPr>
          <w:rFonts w:hint="eastAsia" w:ascii="Times New Roman" w:hAnsi="Times New Roman"/>
          <w:sz w:val="21"/>
          <w:szCs w:val="21"/>
          <w:lang w:val="en-US" w:eastAsia="zh-CN"/>
        </w:rPr>
        <w:fldChar w:fldCharType="end"/>
      </w:r>
      <w:r>
        <w:rPr>
          <w:rFonts w:hint="eastAsia" w:ascii="Times New Roman" w:hAnsi="Times New Roman"/>
          <w:sz w:val="21"/>
          <w:szCs w:val="21"/>
          <w:lang w:val="en-US" w:eastAsia="zh-CN"/>
        </w:rPr>
        <w:t>。日本食管癌学会在其第12版食管癌分类中引入“可切除cT3r”和“边界可切除cT3br”的概念，试图提供更精细的影像学界定标准</w:t>
      </w:r>
      <w:r>
        <w:rPr>
          <w:rFonts w:hint="eastAsia" w:ascii="Times New Roman" w:hAnsi="Times New Roman"/>
          <w:sz w:val="21"/>
          <w:szCs w:val="21"/>
          <w:lang w:val="en-US" w:eastAsia="zh-CN"/>
        </w:rPr>
        <w:fldChar w:fldCharType="begin"/>
      </w:r>
      <w:r>
        <w:rPr>
          <w:rFonts w:hint="eastAsia" w:ascii="Times New Roman" w:hAnsi="Times New Roman"/>
          <w:sz w:val="21"/>
          <w:szCs w:val="21"/>
          <w:lang w:val="en-US" w:eastAsia="zh-CN"/>
        </w:rPr>
        <w:instrText xml:space="preserve"> ADDIN ZOTERO_ITEM CSL_CITATION {"citationID":"MhHzhDRj","properties":{"formattedCitation":"\\super [34]\\nosupersub{}","plainCitation":"[34]","noteIndex":0},"citationItems":[{"id":1569,"uris":["http://zotero.org/users/15831584/items/92XDLFMR"],"itemData":{"id":1569,"type":"article-journal","abstract":"Abstract\n            This is the first half of English edition of Japanese Classification of Esophageal Cancer, 12th Edition that was published by the Japan Esophageal Society in 2022.","container-title":"Esophagus","DOI":"10.1007/s10388-024-01054-y","ISSN":"1612-9059, 1612-9067","issue":"3","journalAbbreviation":"Esophagus","language":"en","note":"JCR分区: Q2\n中科院分区升级版: 医学3区\n影响因子: 3.8\n5年影响因子: 3.1\n南农高质量: D","page":"179-215","PMID":"38568243","PMCID":"PMC11199297","source":"PubMed","title":"Japanese classification of esophageal cancer, 12th edition: part I","title-short":"Japanese classification of esophageal cancer, 12th edition","volume":"21","author":[{"family":"Mine","given":"Shinji"},{"family":"Tanaka","given":"Koji"},{"family":"Kawachi","given":"Hiroshi"},{"family":"Shirakawa","given":"Yasuhiro"},{"family":"Kitagawa","given":"Yuko"},{"family":"Toh","given":"Yasushi"},{"family":"Yasuda","given":"Takushi"},{"family":"Watanabe","given":"Masayuki"},{"family":"Kamei","given":"Takashi"},{"family":"Oyama","given":"Tsuneo"},{"family":"Seto","given":"Yasuyuki"},{"family":"Murakami","given":"Kentaro"},{"family":"Arai","given":"Tomio"},{"family":"Muto","given":"Manabu"},{"family":"Doki","given":"Yuichiro"}],"issued":{"date-parts":[["2024",7]]}}}],"schema":"https://github.com/citation-style-language/schema/raw/master/csl-citation.json"} </w:instrText>
      </w:r>
      <w:r>
        <w:rPr>
          <w:rFonts w:hint="eastAsia" w:ascii="Times New Roman" w:hAnsi="Times New Roman"/>
          <w:sz w:val="21"/>
          <w:szCs w:val="21"/>
          <w:lang w:val="en-US" w:eastAsia="zh-CN"/>
        </w:rPr>
        <w:fldChar w:fldCharType="separate"/>
      </w:r>
      <w:r>
        <w:rPr>
          <w:rFonts w:hint="default" w:ascii="Times New Roman" w:hAnsi="Times New Roman" w:cs="Times New Roman"/>
          <w:sz w:val="21"/>
          <w:szCs w:val="24"/>
          <w:vertAlign w:val="superscript"/>
        </w:rPr>
        <w:t>[34]</w:t>
      </w:r>
      <w:r>
        <w:rPr>
          <w:rFonts w:hint="eastAsia" w:ascii="Times New Roman" w:hAnsi="Times New Roman"/>
          <w:sz w:val="21"/>
          <w:szCs w:val="21"/>
          <w:lang w:val="en-US" w:eastAsia="zh-CN"/>
        </w:rPr>
        <w:fldChar w:fldCharType="end"/>
      </w:r>
      <w:r>
        <w:rPr>
          <w:rFonts w:hint="eastAsia" w:ascii="Times New Roman" w:hAnsi="Times New Roman"/>
          <w:sz w:val="21"/>
          <w:szCs w:val="21"/>
          <w:lang w:val="en-US" w:eastAsia="zh-CN"/>
        </w:rPr>
        <w:t>。</w:t>
      </w:r>
      <w:r>
        <w:rPr>
          <w:rFonts w:hint="eastAsia" w:ascii="Times New Roman" w:hAnsi="Times New Roman"/>
          <w:color w:val="FF0000"/>
          <w:sz w:val="21"/>
          <w:szCs w:val="21"/>
          <w:lang w:val="en-US" w:eastAsia="zh-CN"/>
        </w:rPr>
        <w:t>一项针对临床分期为cT3br、尚未达到明确T4侵袭标准的边界可切除ESCC患者的回顾性研究显示，NICT与NCRT两组的R0切除率及pCR率相近（19.0% vs 26.2%），3年OS率（69.4% vs 55.7%）和DFS率（55.7% vs 49.7%）同样无显著差异，但NICT组术后严重并发症发生率显著更低</w:t>
      </w:r>
      <w:r>
        <w:rPr>
          <w:rFonts w:hint="eastAsia" w:ascii="Times New Roman" w:hAnsi="Times New Roman"/>
          <w:color w:val="FF0000"/>
          <w:sz w:val="21"/>
          <w:szCs w:val="21"/>
          <w:lang w:val="en-US" w:eastAsia="zh-CN"/>
        </w:rPr>
        <w:fldChar w:fldCharType="begin"/>
      </w:r>
      <w:r>
        <w:rPr>
          <w:rFonts w:hint="eastAsia" w:ascii="Times New Roman" w:hAnsi="Times New Roman"/>
          <w:color w:val="FF0000"/>
          <w:sz w:val="21"/>
          <w:szCs w:val="21"/>
          <w:lang w:val="en-US" w:eastAsia="zh-CN"/>
        </w:rPr>
        <w:instrText xml:space="preserve"> ADDIN ZOTERO_ITEM CSL_CITATION {"citationID":"TVhtCGjx","properties":{"formattedCitation":"\\super [35]\\nosupersub{}","plainCitation":"[35]","noteIndex":0},"citationItems":[{"id":1541,"uris":["http://zotero.org/users/15831584/items/2KU44F5G"],"itemData":{"id":1541,"type":"article-journal","abstract":"BACKGROUND: The optimal treatment strategy for patients with borderline resectable (cT3br) esophageal squamous cell carcinoma (ESCC) remains unclear. Thus, the aim of this study was to compare the perioperative outcomes and prognoses between neoadjuvant chemotherapy combined with immunotherapy (NACI) and neoadjuvant chemoradiotherapy (NCRT) in cT3br ESCC patients.\nMETHODS: In this retrospective cohort study, patients with cT3br ESCC who received either NACI or NCRT followed by surgery between January 2016 and December 2022 were identified. Propensity score matching (PSM) was used to minimize the influence of confounding factors. Survival curves were constructed and analyzed using Kaplan-Meier log-rank survival analysis.\nRESULTS: 97 patients with cT3br ESCC received NACI and 111 received NCRT. After PSM, the R0 resection rate (85.7% vs. 90.5%, P = 0.341) and pCR rate (19.0% vs. 26.2%, P = 0.269) were comparable between two groups, while the MPR rate in the NACI group was significantly lower than in the NCRT group (32.1% vs. 56.0%, P = 0.002). However, NCRT was associated with a greater risk of severe postoperative complications (21.4% vs. 6.0%, P = 0.004). The 3-year overall survival (69.4% vs. 55.7%, P = 0.242), disease-free survival (55.7% vs. 49.7%, P = 0.242), overall recurrence (32.1% vs. 29.8%, P = 0.739), and recurrence patterns were comparable between the NACI and NCRT groups.\nCONCLUSION: NACI followed by surgery appears to be a safe and effective treatment strategy for patients with borderline resectable ESCC.","container-title":"Journal of Translational Medicine","DOI":"10.1186/s12967-025-06672-3","ISSN":"1479-5876","issue":"1","journalAbbreviation":"J. Transl. Med.","language":"en","note":"5年影响因子: 7.0\nJCR分区: Q1\nTLDR: NACI followed by surgery appears to be a safe and effective treatment strategy for patients with borderline resectable ESCC.\n中科院分区升级版: 医学2区\n南农高质量: A\n影响因子: 7.5","page":"922","PMID":"40819038","PMCID":"PMC12357417","source":"PubMed","title":"Neoadjuvant chemoimmunotherapy versus neoadjuvant chemoradiotherapy in patients with borderline resectable esophageal squamous cell carcinoma","volume":"23","author":[{"family":"Lin","given":"Jun-Peng"},{"family":"Zhuang","given":"Feng-Nian"},{"family":"Chen","given":"Wei-Jie"},{"family":"Lin","given":"Zhou"},{"family":"Chen","given":"Yu-Jie"},{"family":"Chen","given":"Xiao-Feng"},{"family":"Lin","given":"Hui"},{"family":"He","given":"Hao"},{"family":"Wang","given":"Peiyuan"},{"family":"Zhou","given":"Hang"},{"family":"Wei","given":"Wen-Wei"},{"family":"Gao","given":"Peng-Qiang"},{"family":"Liu","given":"Shuo-Yan"},{"family":"Wang","given":"Feng"}],"issued":{"date-parts":[["2025",8,16]]}}}],"schema":"https://github.com/citation-style-language/schema/raw/master/csl-citation.json"} </w:instrText>
      </w:r>
      <w:r>
        <w:rPr>
          <w:rFonts w:hint="eastAsia" w:ascii="Times New Roman" w:hAnsi="Times New Roman"/>
          <w:color w:val="FF0000"/>
          <w:sz w:val="21"/>
          <w:szCs w:val="21"/>
          <w:lang w:val="en-US" w:eastAsia="zh-CN"/>
        </w:rPr>
        <w:fldChar w:fldCharType="separate"/>
      </w:r>
      <w:r>
        <w:rPr>
          <w:rFonts w:hint="default" w:ascii="Times New Roman" w:hAnsi="Times New Roman" w:cs="Times New Roman"/>
          <w:color w:val="FF0000"/>
          <w:sz w:val="21"/>
          <w:szCs w:val="24"/>
          <w:vertAlign w:val="superscript"/>
        </w:rPr>
        <w:t>[35]</w:t>
      </w:r>
      <w:r>
        <w:rPr>
          <w:rFonts w:hint="eastAsia" w:ascii="Times New Roman" w:hAnsi="Times New Roman"/>
          <w:color w:val="FF0000"/>
          <w:sz w:val="21"/>
          <w:szCs w:val="21"/>
          <w:lang w:val="en-US" w:eastAsia="zh-CN"/>
        </w:rPr>
        <w:fldChar w:fldCharType="end"/>
      </w:r>
      <w:r>
        <w:rPr>
          <w:rFonts w:hint="eastAsia" w:ascii="Times New Roman" w:hAnsi="Times New Roman"/>
          <w:color w:val="FF0000"/>
          <w:sz w:val="21"/>
          <w:szCs w:val="21"/>
          <w:lang w:val="en-US" w:eastAsia="zh-CN"/>
        </w:rPr>
        <w:t>。上述结果提示，在边界可切除人群中，NICT或可在不降低肿瘤学获益的前提下，进一步改善围手术期安全性。</w:t>
      </w:r>
      <w:r>
        <w:rPr>
          <w:rFonts w:hint="eastAsia" w:ascii="Times New Roman" w:hAnsi="Times New Roman"/>
          <w:sz w:val="21"/>
          <w:szCs w:val="21"/>
          <w:lang w:val="en-US" w:eastAsia="zh-CN"/>
        </w:rPr>
        <w:t>但无论是基线分期还是治疗后再评估，最终均需在多学科团队框架下，综合影像学、内镜、外科评估及全身状况等信息进行判定与决策</w:t>
      </w:r>
      <w:r>
        <w:rPr>
          <w:rFonts w:hint="eastAsia" w:ascii="Times New Roman" w:hAnsi="Times New Roman"/>
          <w:sz w:val="21"/>
          <w:szCs w:val="21"/>
          <w:lang w:val="en-US" w:eastAsia="zh-CN"/>
        </w:rPr>
        <w:fldChar w:fldCharType="begin"/>
      </w:r>
      <w:r>
        <w:rPr>
          <w:rFonts w:hint="eastAsia" w:ascii="Times New Roman" w:hAnsi="Times New Roman"/>
          <w:sz w:val="21"/>
          <w:szCs w:val="21"/>
          <w:lang w:val="en-US" w:eastAsia="zh-CN"/>
        </w:rPr>
        <w:instrText xml:space="preserve"> ADDIN ZOTERO_ITEM CSL_CITATION {"citationID":"FRuO0ejq","properties":{"formattedCitation":"\\super [36]\\nosupersub{}","plainCitation":"[36]","noteIndex":0},"citationItems":[{"id":1571,"uris":["http://zotero.org/users/15831584/items/Q4R7ER8G"],"itemData":{"id":1571,"type":"article-journal","abstract":"Cancers originating in the esophagus or esophagogastric junction constitute a major global health problem. Esophageal cancers are histologically classified as squamous cell carcinoma (SCC) or adenocarcinoma, which differ in their etiology, pathology, tumor location, therapeutics, and prognosis. In contrast to esophageal adenocarcinoma, which usually affects the lower esophagus, esophageal SCC is more likely to localize at or higher than the tracheal bifurcation. Systemic therapy can provide palliation, improved survival, and enhanced quality of life in patients with locally advanced or metastatic disease. The implementation of biomarker testing, especially analysis of HER2 status, microsatellite instability status, and the expression of programmed death-ligand 1, has had a significant impact on clinical practice and patient care. Targeted therapies including trastuzumab, nivolumab, ipilimumab, and pembrolizumab have produced encouraging results in clinical trials for the treatment of patients with locally advanced or metastatic disease. Palliative management, which may include systemic therapy, chemoradiation, and/or best supportive care, is recommended for all patients with unresectable or metastatic cancer. Multidisciplinary team management is essential for all patients with locally advanced esophageal or esophagogastric junction cancers. This selection from the NCCN Guidelines for Esophageal and Esophagogastric Junction Cancers focuses on the management of recurrent or metastatic disease.","container-title":"Journal of the National Comprehensive Cancer Network","DOI":"10.6004/jnccn.2023.0019","ISSN":"1540-1405, 1540-1413","issue":"4","journalAbbreviation":"J. Natl. Compr. Canc. Netw.","language":"en","note":"5年影响因子: 13.2\nJCR分区: Q1\nTLDR: Palliative management, which may include systemic therapy, chemoradiation, and/or best supportive care, is recommended for all patients with unresectable or metastatic cancer.\n中科院分区升级版: 医学2区\n南农高质量: A\n影响因子: 16.4","page":"393-422","source":"Mayo Clinic","title":"Esophageal and esophagogastric junction cancers, version 2.2023, NCCN clinical practice guidelines in oncology","volume":"21","author":[{"family":"Ajani","given":"Jaffer A."},{"family":"D’Amico","given":"Thomas A."},{"family":"Bentrem","given":"David J."},{"family":"Cooke","given":"David"},{"family":"Corvera","given":"Carlos"},{"family":"Das","given":"Prajnan"},{"family":"Enzinger","given":"Peter C."},{"family":"Enzler","given":"Thomas"},{"family":"Farjah","given":"Farhood"},{"family":"Gerdes","given":"Hans"},{"family":"Gibson","given":"Michael"},{"family":"Grierson","given":"Patrick"},{"family":"Hofstetter","given":"Wayne L."},{"family":"Ilson","given":"David H."},{"family":"Jalal","given":"Shadia"},{"family":"Keswani","given":"Rajesh N."},{"family":"Kim","given":"Sunnie"},{"family":"Kleinberg","given":"Lawrence R."},{"family":"Klempner","given":"Samuel"},{"family":"Lacy","given":"Jill"},{"family":"Licciardi","given":"Frank"},{"family":"Ly","given":"Quan P."},{"family":"Matkowskyj","given":"Kristina A."},{"family":"McNamara","given":"Michael"},{"family":"Miller","given":"Aaron"},{"family":"Mukherjee","given":"Sarbajit"},{"family":"Mulcahy","given":"Mary F."},{"family":"Outlaw","given":"Darryl"},{"family":"Perry","given":"Kyle A."},{"family":"Pimiento","given":"Jose"},{"family":"Poultsides","given":"George A."},{"family":"Reznik","given":"Scott"},{"family":"Roses","given":"Robert E."},{"family":"Strong","given":"Vivian E."},{"family":"Su","given":"Stacey"},{"family":"Wang","given":"Hanlin L."},{"family":"Wiesner","given":"Georgia"},{"family":"Willett","given":"Christopher G."},{"family":"Yakoub","given":"Danny"},{"family":"Yoon","given":"Harry"},{"family":"McMillian","given":"Nicole R."},{"family":"Pluchino","given":"Lenora A."}],"issued":{"date-parts":[["2023",4]]}}}],"schema":"https://github.com/citation-style-language/schema/raw/master/csl-citation.json"} </w:instrText>
      </w:r>
      <w:r>
        <w:rPr>
          <w:rFonts w:hint="eastAsia" w:ascii="Times New Roman" w:hAnsi="Times New Roman"/>
          <w:sz w:val="21"/>
          <w:szCs w:val="21"/>
          <w:lang w:val="en-US" w:eastAsia="zh-CN"/>
        </w:rPr>
        <w:fldChar w:fldCharType="separate"/>
      </w:r>
      <w:r>
        <w:rPr>
          <w:rFonts w:hint="default" w:ascii="Times New Roman" w:hAnsi="Times New Roman" w:cs="Times New Roman"/>
          <w:sz w:val="21"/>
          <w:szCs w:val="24"/>
          <w:vertAlign w:val="superscript"/>
        </w:rPr>
        <w:t>[36]</w:t>
      </w:r>
      <w:r>
        <w:rPr>
          <w:rFonts w:hint="eastAsia" w:ascii="Times New Roman" w:hAnsi="Times New Roman"/>
          <w:sz w:val="21"/>
          <w:szCs w:val="21"/>
          <w:lang w:val="en-US" w:eastAsia="zh-CN"/>
        </w:rPr>
        <w:fldChar w:fldCharType="end"/>
      </w:r>
      <w:r>
        <w:rPr>
          <w:rFonts w:hint="eastAsia" w:ascii="Times New Roman" w:hAnsi="Times New Roman"/>
          <w:sz w:val="21"/>
          <w:szCs w:val="21"/>
          <w:lang w:val="en-US" w:eastAsia="zh-CN"/>
        </w:rPr>
        <w:t>。因此，可切除性应视为一个随全身治疗进展和动态评估而持续演变的概念。</w:t>
      </w:r>
    </w:p>
    <w:p w14:paraId="739267C5">
      <w:pPr>
        <w:keepNext w:val="0"/>
        <w:keepLines w:val="0"/>
        <w:pageBreakBefore w:val="0"/>
        <w:widowControl w:val="0"/>
        <w:kinsoku/>
        <w:wordWrap/>
        <w:overflowPunct/>
        <w:topLinePunct w:val="0"/>
        <w:autoSpaceDE/>
        <w:autoSpaceDN/>
        <w:bidi w:val="0"/>
        <w:adjustRightInd/>
        <w:snapToGrid/>
        <w:spacing w:before="260" w:after="260" w:line="413" w:lineRule="auto"/>
        <w:jc w:val="left"/>
        <w:textAlignment w:val="auto"/>
        <w:rPr>
          <w:rFonts w:hint="eastAsia" w:ascii="Times New Roman" w:hAnsi="Times New Roman" w:eastAsia="微软雅黑" w:cs="微软雅黑"/>
          <w:b w:val="0"/>
          <w:bCs/>
          <w:sz w:val="21"/>
          <w:szCs w:val="21"/>
          <w:lang w:val="en-US" w:eastAsia="zh-CN"/>
        </w:rPr>
      </w:pPr>
      <w:r>
        <w:rPr>
          <w:rFonts w:hint="eastAsia" w:ascii="Times New Roman" w:hAnsi="Times New Roman" w:eastAsia="微软雅黑" w:cs="微软雅黑"/>
          <w:b w:val="0"/>
          <w:bCs/>
          <w:sz w:val="21"/>
          <w:szCs w:val="21"/>
          <w:lang w:val="en-US" w:eastAsia="zh-CN"/>
        </w:rPr>
        <w:t>3 治疗方案制定与优化</w:t>
      </w:r>
    </w:p>
    <w:p w14:paraId="28CE1102">
      <w:pPr>
        <w:keepNext w:val="0"/>
        <w:keepLines w:val="0"/>
        <w:pageBreakBefore w:val="0"/>
        <w:widowControl w:val="0"/>
        <w:kinsoku/>
        <w:wordWrap/>
        <w:overflowPunct/>
        <w:topLinePunct w:val="0"/>
        <w:autoSpaceDE/>
        <w:autoSpaceDN/>
        <w:bidi w:val="0"/>
        <w:adjustRightInd/>
        <w:snapToGrid/>
        <w:spacing w:before="260" w:after="260" w:line="413" w:lineRule="auto"/>
        <w:jc w:val="left"/>
        <w:textAlignment w:val="auto"/>
        <w:rPr>
          <w:rFonts w:hint="eastAsia" w:ascii="Times New Roman" w:hAnsi="Times New Roman" w:eastAsia="楷体" w:cs="楷体"/>
          <w:b w:val="0"/>
          <w:bCs/>
          <w:sz w:val="21"/>
          <w:szCs w:val="21"/>
          <w:lang w:val="en-US" w:eastAsia="zh-CN"/>
        </w:rPr>
      </w:pPr>
      <w:r>
        <w:rPr>
          <w:rFonts w:hint="eastAsia" w:ascii="Times New Roman" w:hAnsi="Times New Roman" w:eastAsia="楷体" w:cs="楷体"/>
          <w:b w:val="0"/>
          <w:bCs/>
          <w:sz w:val="21"/>
          <w:szCs w:val="21"/>
          <w:lang w:val="en-US" w:eastAsia="zh-CN"/>
        </w:rPr>
        <w:t>3.1 免疫联合化疗方案选择</w:t>
      </w:r>
    </w:p>
    <w:p w14:paraId="0060C3C7">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Times New Roman" w:hAnsi="Times New Roman"/>
          <w:sz w:val="21"/>
          <w:szCs w:val="21"/>
          <w:lang w:val="en-US" w:eastAsia="zh-CN"/>
        </w:rPr>
      </w:pPr>
      <w:r>
        <w:rPr>
          <w:rFonts w:hint="default" w:ascii="Times New Roman" w:hAnsi="Times New Roman"/>
          <w:sz w:val="21"/>
          <w:szCs w:val="21"/>
          <w:lang w:val="en-US" w:eastAsia="zh-CN"/>
        </w:rPr>
        <w:t>NICT</w:t>
      </w:r>
      <w:r>
        <w:rPr>
          <w:rFonts w:hint="eastAsia" w:ascii="Times New Roman" w:hAnsi="Times New Roman"/>
          <w:sz w:val="21"/>
          <w:szCs w:val="21"/>
          <w:lang w:val="en-US" w:eastAsia="zh-CN"/>
        </w:rPr>
        <w:t>方案的提出源于</w:t>
      </w:r>
      <w:r>
        <w:rPr>
          <w:rFonts w:hint="default" w:ascii="Times New Roman" w:hAnsi="Times New Roman"/>
          <w:sz w:val="21"/>
          <w:szCs w:val="21"/>
          <w:lang w:val="en-US" w:eastAsia="zh-CN"/>
        </w:rPr>
        <w:t>ICIs联合化疗在晚期食管癌一线治疗中的成功应用</w:t>
      </w:r>
      <w:r>
        <w:rPr>
          <w:rFonts w:hint="default" w:ascii="Times New Roman" w:hAnsi="Times New Roman"/>
          <w:sz w:val="21"/>
          <w:szCs w:val="21"/>
          <w:lang w:val="en-US" w:eastAsia="zh-CN"/>
        </w:rPr>
        <w:fldChar w:fldCharType="begin"/>
      </w:r>
      <w:r>
        <w:rPr>
          <w:rFonts w:hint="eastAsia" w:ascii="Times New Roman" w:hAnsi="Times New Roman"/>
          <w:sz w:val="21"/>
          <w:szCs w:val="21"/>
          <w:lang w:val="en-US" w:eastAsia="zh-CN"/>
        </w:rPr>
        <w:instrText xml:space="preserve"> ADDIN ZOTERO_ITEM CSL_CITATION {"citationID":"SjdQuFmy","properties":{"formattedCitation":"\\super [37,38]\\nosupersub{}","plainCitation":"[37,38]","noteIndex":0},"citationItems":[{"id":1391,"uris":["http://zotero.org/users/15831584/items/ERICDFYL"],"itemData":{"id":1391,"type":"article-journal","abstract":"BACKGROUND: First-line therapy for advanced oesophageal cancer is currently limited to fluoropyrimidine plus platinum-based chemotherapy. We aimed to evaluate the antitumour activity of pembrolizumab plus chemotherapy versus chemotherapy alone as first-line treatment in advanced oesophageal cancer and Siewert type 1 gastro-oesophageal junction cancer.\nMETHODS: We did a randomised, placebo-controlled, double-blind, phase 3 study across 168 medical centres in 26 countries. Patients aged 18 years or older with previously untreated, histologically or cytologically confirmed, locally advanced, unresectable or metastatic oesophageal cancer or Siewert type 1 gastro-oesophageal junction cancer (regardless of PD-L1 status), measurable disease per Response Evaluation Criteria in Solid Tumors version 1.1, and Eastern Cooperative Oncology Group performance status of 0-1, were randomly assigned (1:1) to intravenous pembrolizumab 200 mg or placebo, plus 5-fluorouracil and cisplatin (chemotherapy), once every 3 weeks for up to 35 cycles. Randomisation was stratified by geographical region, histology, and performance status. Patients, investigators, and site staff were masked to group assignment and PD-L1 biomarker status. Primary endpoints were overall survival in patients with oesophageal squamous cell carcinoma and PD-L1 combined positive score (CPS) of 10 or more, and overall survival and progression-free survival in patients with oesophageal squamous cell carcinoma, PD-L1 CPS of 10 or more, and in all randomised patients. This trial is registered with ClinicalTrials.gov, NCT03189719, and is closed to recruitment.\nFINDINGS: Between July 25, 2017, and June 3, 2019, 1020 patients were screened and 749 were enrolled and randomly assigned to pembrolizumab plus chemotherapy (n=373 [50%]) or placebo plus chemotherapy (n=376 [50%]). At the first interim analysis (median follow-up of 22·6 months), pembrolizumab plus chemotherapy was superior to placebo plus chemotherapy for overall survival in patients with oesophageal squamous cell carcinoma and PD-L1 CPS of 10 or more (median 13·9 months vs 8·8 months; hazard ratio 0·57 [95% CI 0·43-0·75]; p&lt;0·0001), oesophageal squamous cell carcinoma (12·6 months vs 9·8 months; 0·72 [0·60-0·88]; p=0·0006), PD-L1 CPS of 10 or more (13·5 months vs 9·4 months; 0·62 [0·49-0·78]; p&lt;0·0001), and in all randomised patients (12·4 months vs 9·8 months; 0·73 [0·62-0·86]; p&lt;0·0001). Pembrolizumab plus chemotherapy was superior to placebo plus chemotherapy for progression-free survival in patients with oesophageal squamous cell carcinoma (6·3 months vs 5·8 months; 0·65 [0·54-0·78]; p&lt;0·0001), PD-L1 CPS of 10 or more (7·5 months vs 5·5 months; 0·51 [0·41-0·65]; p&lt;0·0001), and in all randomised patients (6·3 months vs 5·8 months; 0·65 [0·55-0·76]; p&lt;0·0001). Treatment-related adverse events of grade 3 or higher occurred in 266 (72%) patients in the pembrolizumab plus chemotherapy group versus 250 (68%) in the placebo plus chemotherapy group.\nINTERPRETATION: Compared with placebo plus chemotherapy, pembrolizumab plus chemotherapy improved overall survival in patients with previously untreated, advanced oesophageal squamous cell carcinoma and PD-L1 CPS of 10 or more, and overall survival and progression-free survival in patients with oesophageal squamous cell carcinoma, PD-L1 CPS of 10 or more, and in all randomised patients regardless of histology, and had a manageable safety profile in the total as-treated population.\nFUNDING: Merck Sharp &amp; Dohme.","container-title":"Lancet (london, England)","DOI":"10.1016/S0140-6736(21)01234-4","ISSN":"1474-547X","issue":"10302","journalAbbreviation":"Lancet (lond. Engl.)","language":"en","note":"5年影响因子: 104.8\nJCR分区: Q1\nTLDR: Pembrolizumab plus chemotherapy was superior to placebo plus chemotherapy for progression-free survival in patients with oesophageal squamous cell carcinoma and PD-L1 CPS in a randomised, placebo-controlled, double-blind, phase 3 study across 168 medical centres in 26 countries.\n中科院分区升级版: 医学1区\n影响因子: 88.5","page":"759-771","PMID":"34454674","source":"PubMed","title":"Pembrolizumab plus chemotherapy versus chemotherapy alone for first-line treatment of advanced oesophageal cancer (KEYNOTE-590): a randomised, placebo-controlled, phase 3 study","title-short":"Pembrolizumab plus chemotherapy versus chemotherapy alone for first-line treatment of advanced oesophageal cancer (KEYNOTE-590)","volume":"398","author":[{"family":"Sun","given":"Jong-Mu"},{"family":"Shen","given":"Lin"},{"family":"Shah","given":"Manish A."},{"family":"Enzinger","given":"Peter"},{"family":"Adenis","given":"Antoine"},{"family":"Doi","given":"Toshihiko"},{"family":"Kojima","given":"Takashi"},{"family":"Metges","given":"Jean-Philippe"},{"family":"Li","given":"Zhigang"},{"family":"Kim","given":"Sung-Bae"},{"family":"Cho","given":"Byoung Chul"},{"family":"Mansoor","given":"Wasat"},{"family":"Li","given":"Shau-Hsuan"},{"family":"Sunpaweravong","given":"Patrapim"},{"family":"Maqueda","given":"Maria Alsina"},{"family":"Goekkurt","given":"Eray"},{"family":"Hara","given":"Hiroki"},{"family":"Antunes","given":"Luis"},{"family":"Fountzilas","given":"Christos"},{"family":"Tsuji","given":"Akihito"},{"family":"Oliden","given":"Victor Castro"},{"family":"Liu","given":"Qi"},{"family":"Shah","given":"Sukrut"},{"family":"Bhagia","given":"Pooja"},{"family":"Kato","given":"Ken"},{"literal":"KEYNOTE-590 Investigators"}],"issued":{"date-parts":[["2021",8,28]]}}},{"id":1395,"uris":["http://zotero.org/users/15831584/items/HLYX3GJV"],"itemData":{"id":1395,"type":"article-journal","abstract":"Previously untreated patients with advanced esophageal cancer were randomly assigned to receive chemotherapy alone, chemotherapy plus nivolumab, or nivolumab plus ipilimumab. Among patients with tumor-cell PD-L1 expression of 1% or greater, the two nivolumab regimens resulted in longer overall survival than chemotherapy. The side-effect profile was consistent with past reports on these agents.","container-title":"New England Journal of Medicine","DOI":"10.1056/NEJMoa2111380","ISSN":"0028-4793","issue":"5","journalAbbreviation":"N. Engl. J. Med.","language":"en","note":"_eprint: https://www.nejm.org/doi/pdf/10.1056/NEJMoa2111380\nTLDR: Overall survival was significantly longer with nivolumab plus chemotherapy than with chemotherapy alone, both among patients with tumor-cell PD-L1 expression of 1% or greater and in the overall population.\nJCR分区: Q1\n中科院分区升级版: 医学1区\n影响因子: 78.5\n5年影响因子: 84.9\n南农高质量: A","page":"449-462","publisher":"Massachusetts Medical Society","source":"Taylor and Francis+NEJM","title":"Nivolumab combination therapy in advanced esophageal squamous-cell carcinoma","volume":"386","author":[{"family":"Doki","given":"Yuichiro"},{"family":"Ajani","given":"Jaffer A."},{"family":"Kato","given":"Ken"},{"family":"Xu","given":"Jianming"},{"family":"Wyrwicz","given":"Lucjan"},{"family":"Motoyama","given":"Satoru"},{"family":"Ogata","given":"Takashi"},{"family":"Kawakami","given":"Hisato"},{"family":"Hsu","given":"Chih-Hung"},{"family":"Adenis","given":"Antoine"},{"family":"Hajbi","given":"Farid El"},{"family":"Bartolomeo","given":"Maria Di"},{"family":"Braghiroli","given":"Maria I."},{"family":"Holtved","given":"Eva"},{"family":"Ostoich","given":"Sandra A."},{"family":"Kim","given":"Hye R."},{"family":"Ueno","given":"Masaki"},{"family":"Mansoor","given":"Wasat"},{"family":"Yang","given":"Wen-Chi"},{"family":"Liu","given":"Tianshu"},{"family":"Bridgewater","given":"John"},{"family":"Makino","given":"Tomoki"},{"family":"Xynos","given":"Ioannis"},{"family":"Liu","given":"Xuan"},{"family":"Lei","given":"Ming"},{"family":"Kondo","given":"Kaoru"},{"family":"Patel","given":"Apurva"},{"family":"Gricar","given":"Joseph"},{"family":"Chau","given":"Ian"},{"family":"Kitagawa","given":"Yuko"}],"issued":{"date-parts":[["2022",2,2]]}}}],"schema":"https://github.com/citation-style-language/schema/raw/master/csl-citation.json"} </w:instrText>
      </w:r>
      <w:r>
        <w:rPr>
          <w:rFonts w:hint="default" w:ascii="Times New Roman" w:hAnsi="Times New Roman"/>
          <w:sz w:val="21"/>
          <w:szCs w:val="21"/>
          <w:lang w:val="en-US" w:eastAsia="zh-CN"/>
        </w:rPr>
        <w:fldChar w:fldCharType="separate"/>
      </w:r>
      <w:r>
        <w:rPr>
          <w:rFonts w:hint="default" w:ascii="Times New Roman" w:hAnsi="Times New Roman" w:cs="Times New Roman"/>
          <w:sz w:val="21"/>
          <w:szCs w:val="24"/>
          <w:vertAlign w:val="superscript"/>
        </w:rPr>
        <w:t>[37,38]</w:t>
      </w:r>
      <w:r>
        <w:rPr>
          <w:rFonts w:hint="default" w:ascii="Times New Roman" w:hAnsi="Times New Roman"/>
          <w:sz w:val="21"/>
          <w:szCs w:val="21"/>
          <w:lang w:val="en-US" w:eastAsia="zh-CN"/>
        </w:rPr>
        <w:fldChar w:fldCharType="end"/>
      </w:r>
      <w:r>
        <w:rPr>
          <w:rFonts w:hint="eastAsia" w:ascii="Times New Roman" w:hAnsi="Times New Roman"/>
          <w:sz w:val="21"/>
          <w:szCs w:val="21"/>
          <w:lang w:val="en-US" w:eastAsia="zh-CN"/>
        </w:rPr>
        <w:t>。近年来多项针对局部晚期可切除食管癌的NICT研究显示出较好的病理缓解和可控的围手术期安全性（见表1）。但各研究中NICT的疗效结果差异较大。</w:t>
      </w:r>
      <w:r>
        <w:rPr>
          <w:rFonts w:hint="eastAsia" w:ascii="Times New Roman" w:hAnsi="Times New Roman"/>
          <w:color w:val="FF0000"/>
          <w:sz w:val="21"/>
          <w:szCs w:val="21"/>
          <w:lang w:val="en-US" w:eastAsia="zh-CN"/>
        </w:rPr>
        <w:t>III期HCHTOG1909研究显示，其NICT组pCR率为18.6%，虽绝对水平有限，但较NCT组4.6%提升幅度显著，且总体安全性与NCT组相当的前提下，中期分析已初步显示出生存获益趋势</w:t>
      </w:r>
      <w:r>
        <w:rPr>
          <w:rFonts w:hint="eastAsia" w:ascii="Times New Roman" w:hAnsi="Times New Roman"/>
          <w:color w:val="FF0000"/>
          <w:sz w:val="21"/>
          <w:szCs w:val="21"/>
          <w:lang w:val="en-US" w:eastAsia="zh-CN"/>
        </w:rPr>
        <w:fldChar w:fldCharType="begin"/>
      </w:r>
      <w:r>
        <w:rPr>
          <w:rFonts w:hint="eastAsia" w:ascii="Times New Roman" w:hAnsi="Times New Roman"/>
          <w:color w:val="FF0000"/>
          <w:sz w:val="21"/>
          <w:szCs w:val="21"/>
          <w:lang w:val="en-US" w:eastAsia="zh-CN"/>
        </w:rPr>
        <w:instrText xml:space="preserve"> ADDIN ZOTERO_ITEM CSL_CITATION {"citationID":"P6ipt9Kd","properties":{"formattedCitation":"\\super [6,17]\\nosupersub{}","plainCitation":"[6,17]","dontUpdate":true,"noteIndex":0},"citationItems":[{"id":1397,"uris":["http://zotero.org/users/15831584/items/W7LXGNZJ"],"itemData":{"id":1397,"type":"article-journal","abstract":"Recent single-arm studies involving neoadjuvant camrelizumab, a PD-1 inhibitor, plus chemotherapy for resectable locally advanced esophageal squamous cell carcinoma (LA-ESCC) have shown promising results. This multicenter, randomized, open-label phase 3 trial aimed to further assess the efficacy and safety of neoadjuvant camrelizumab plus chemotherapy followed by adjuvant camrelizumab, compared to neoadjuvant chemotherapy alone. A total of 391 patients with resectable thoracic LA-ESCC (T1b-3N1-3M0 or T3N0M0) were stratified by clinical stage (I/II, III or IVA) and randomized in a 1:1:1 ratio to undergo two cycles of neoadjuvant therapy. Treatments included camrelizumab, albumin-bound paclitaxel and cisplatin (Cam+nab-TP group; n = 132); camrelizumab, paclitaxel and cisplatin (Cam+TP group; n = 130); and paclitaxel with cisplatin (TP group; n = 129), followed by surgical resection. Both the Cam+nab-TP and Cam+TP groups also received adjuvant camrelizumab. The dual primary endpoints were the rate of pathological complete response (pCR), as evaluated by a blind independent review committee, and event-free survival (EFS), as assessed by investigators. This study reports the final analysis of pCR rates. In the intention-to-treat population, the Cam+nab-TP and Cam+TP groups exhibited significantly higher pCR rates of 28.0% and 15.4%, respectively, compared to 4.7% in the TP group (Cam+nab-TP versus TP: difference 23.5%, 95% confidence interval (CI) 15.1-32.0, P &lt; 0.0001; Cam+TP versus TP: difference 10.9%, 95% CI 3.7-18.1, P = 0.0034). The study met its primary endpoint of pCR; however, EFS is not yet mature. The incidence of grade ≥3 treatment-related adverse events during neoadjuvant treatment was 34.1% for the Cam+nab-TP group, 29.2% for the Cam+TP group and 28.8% for the TP group; the postoperative complication rates were 34.2%, 38.8% and 32.0%, respectively. Neoadjuvant camrelizumab plus chemotherapy demonstrated superior pCR rates compared to chemotherapy alone for LA-ESCC, with a tolerable safety profile. Chinese Clinical Trial Registry identifier: ChiCTR2000040034 .","container-title":"Nature Medicine","DOI":"10.1038/s41591-024-03064-w","ISSN":"1546-170X","issue":"9","journalAbbreviation":"Nat. Med.","language":"en","note":"5年影响因子: 52.4\nJCR分区: Q1\nTLDR: The study met its primary endpoint of pCR; however, EFS is not yet mature; however, Neoadjuvant camrelizumab plus chemotherapy demonstrated superior pCR rates compared to chemotherapy alone for LA-ESCC, with a tolerable safety profile.\n中科院分区升级版: 医学1区\n南农高质量: A\n影响因子: 50.0","page":"2549-2557","PMID":"38956195","PMCID":"PMC11405280","source":"PubMed","title":"Neoadjuvant chemotherapy with or without camrelizumab in resectable esophageal squamous cell carcinoma: the randomized phase 3 ESCORT-NEO/NCCES01 trial","title-short":"Neoadjuvant chemotherapy with or without camrelizumab in resectable esophageal squamous cell carcinoma","volume":"30","author":[{"family":"Qin","given":"Jianjun"},{"family":"Xue","given":"Liyan"},{"family":"Hao","given":"Anlin"},{"family":"Guo","given":"Xiaofeng"},{"family":"Jiang","given":"Tao"},{"family":"Ni","given":"Yunfeng"},{"family":"Liu","given":"Shuoyan"},{"family":"Chen","given":"Yujie"},{"family":"Jiang","given":"Hongjing"},{"family":"Zhang","given":"Chen"},{"family":"Kang","given":"Mingqiang"},{"family":"Lin","given":"Jihong"},{"family":"Li","given":"Hecheng"},{"family":"Li","given":"Chengqiang"},{"family":"Tian","given":"Hui"},{"family":"Li","given":"Lin"},{"family":"Fu","given":"Junke"},{"family":"Zhang","given":"Yong"},{"family":"Ma","given":"Jianqun"},{"family":"Wang","given":"Xiaoyuan"},{"family":"Fu","given":"Maoyong"},{"family":"Yang","given":"Hao"},{"family":"Yang","given":"Zhaoyang"},{"family":"Han","given":"Yongtao"},{"family":"Chen","given":"Longqi"},{"family":"Tan","given":"Lijie"},{"family":"Dai","given":"Tianyang"},{"family":"Liao","given":"Yongde"},{"family":"Zhang","given":"Weiguo"},{"family":"Li","given":"Bin"},{"family":"Chen","given":"Qixun"},{"family":"Guo","given":"Shiping"},{"family":"Qi","given":"Yu"},{"family":"Wei","given":"Li"},{"family":"Li","given":"Zhigang"},{"family":"Tian","given":"Ziqiang"},{"family":"Kang","given":"Xiaozheng"},{"family":"Zhang","given":"Ruixiang"},{"family":"Li","given":"Yong"},{"family":"Wang","given":"Zhen"},{"family":"Chen","given":"Xiankai"},{"family":"Hou","given":"Zhiguo"},{"family":"Zheng","given":"Rongrong"},{"family":"Zhu","given":"Wenqing"},{"family":"He","given":"Jie"},{"family":"Li","given":"Yin"}],"issued":{"date-parts":[["2024",9]]}}},{"id":1439,"uris":["http://zotero.org/users/15831584/items/UV3HDNZ5"],"itemData":{"id":1439,"type":"article-journal","abstract":"Abstract\n            \n              Background\n              In the era of immunotherapy, neoadjuvant immunochemotherapy (NAIC) for the treatment of locally advanced esophageal squamous cell carcinoma (ESCC) is used clinically but lacks of high‐level clinical evidence. This study aimed to compare the safety and long‐term efficacy of NAIC followed by minimally invasive esophagectomy (MIE) with those of neoadjuvant chemotherapy (NAC) followed by MIE.\n            \n            \n              Methods\n              \n                A prospective, single‐center, open‐label, randomized phase III clinical trial was conducted at Henan Cancer Hospital, Zhengzhou, China. Patients were randomly assigned to receive either neoadjuvant toripalimab (240 mg) plus paclitaxel (175 mg/m\n                2\n                ) + cisplatin (75 mg/m\n                2\n                ) (toripalimab group) or paclitaxel + cisplatin alone (chemotherapy group) every 3 weeks for 2 cycles. After surgery, the toripalimab group received toripalimab (240 mg every 3 weeks for up to 6 months). The primary endpoint was event‐free survival (EFS). The pathological complete response (pCR) and overall survival (OS) were key secondary endpoints. Adverse events (AEs) and quality of life were also assessed.\n              \n            \n            \n              Results\n              \n                Between May 15, 2020 and August 13, 2021, 252 ESCC patients ranging from T1N1‐3M0 to T2‐3N0‐3M0 were enrolled for interim analysis, with 127 in the toripalimab group and 125 in the chemotherapy group. The 1‐year EFS rate was 77.9% in the toripalimab group compared to 64.3% in the chemotherapy group (hazard ratio [HR] = 0.62; 95% confidence interval [CI] = 0.39 to 1.00;\n                P\n                = 0.05). The 1‐year OS rates were 94.1% and 83.0% in the toripalimab and chemotherapy groups, respectively (HR = 0.48; 95% CI = 0.24 to 0.97;\n                P =\n                0.037). The patients in the toripalimab group had a higher pCR rate (18.6% vs. 4.6%;\n                P\n                = 0.001). The rates of postoperative Clavien‐Dindo grade IIIb or higher morbidity were 9.8% in the toripalimab group and 6.8% in the chemotherapy group, with no significant difference observed (\n                P\n                = 0.460). The rates of grade 3 or 4 treatment‐related AEs did not differ between the two groups (12.5% versus 12.4%).\n              \n            \n            \n              Conclusions\n              The interim results of this ongoing trial showed that in resectable ESCC, the addition of perioperative toripalimab to NAC is safe, may improve OS and might change the standard treatment in the future.","container-title":"Cancer Communications","DOI":"10.1002/cac2.12604","ISSN":"2523-3548, 2523-3548","issue":"10","journalAbbreviation":"Cancer Commun.","language":"en","license":"© 2024 The Author(s). Cancer Communications published by John Wiley &amp; Sons Australia, Ltd on behalf of Sun Yat-sen University Cancer Center.","note":"_eprint: https://onlinelibrary.wiley.com/doi/pdf/10.1002/cac2.12604\n5年影响因子: 22.2\nCSCD: 核心库\nJCR分区: Q1\nTLDR: This study aimed to compare the safety and long‐term efficacy of NAIC followed by minimally invasive esophagectomy (MIE) with those of neoadjuvant chemotherapy (NAC) followed by MIE.\n中科院分区升级版: 医学1区\n影响因子: 24.9\n南农高质量: A","page":"1214-1227","source":"Wiley Online Library","title":"Perioperative toripalimab plus neoadjuvant chemotherapy might improve outcomes in resectable esophageal cancer: an interim analysis of a phase III randomized clinical trial","title-short":"Perioperative toripalimab plus neoadjuvant chemotherapy might improve outcomes in resectable esophageal cancer","volume":"44","author":[{"family":"Zheng","given":"Yan"},{"family":"Liang","given":"Guanghui"},{"family":"Yuan","given":"Dongfeng"},{"family":"Liu","given":"Xianben"},{"family":"Ba","given":"Yufeng"},{"family":"Qin","given":"Zimin"},{"family":"Shen","given":"Sining"},{"family":"Li","given":"Zhenxuan"},{"family":"Sun","given":"Haibo"},{"family":"Liu","given":"Baoxing"},{"family":"Gao","given":"Quanli"},{"family":"Li","given":"Peng"},{"family":"Wang","given":"Zongfei"},{"family":"Liu","given":"Shilei"},{"family":"Zhu","given":"Jianping"},{"family":"Wang","given":"Haoran"},{"family":"Ma","given":"Haibo"},{"family":"Liu","given":"Zhenzhen"},{"family":"Zhao","given":"Fei"},{"family":"Zhang","given":"Jun"},{"family":"Zhang","given":"He"},{"family":"Wu","given":"Daoyuan"},{"family":"Qu","given":"Jinrong"},{"family":"Ma","given":"Jie"},{"family":"Zhang","given":"Peng"},{"family":"Ma","given":"Wenjie"},{"family":"Yan","given":"Ming"},{"family":"Yu","given":"Yongkui"},{"family":"Li","given":"Qing"},{"family":"Zhang","given":"Jiangong"},{"family":"Xing","given":"Wenqun"}],"issued":{"date-parts":[["2024",10]]}}}],"schema":"https://github.com/citation-style-language/schema/raw/master/csl-citation.json"} </w:instrText>
      </w:r>
      <w:r>
        <w:rPr>
          <w:rFonts w:hint="eastAsia" w:ascii="Times New Roman" w:hAnsi="Times New Roman"/>
          <w:color w:val="FF0000"/>
          <w:sz w:val="21"/>
          <w:szCs w:val="21"/>
          <w:lang w:val="en-US" w:eastAsia="zh-CN"/>
        </w:rPr>
        <w:fldChar w:fldCharType="separate"/>
      </w:r>
      <w:r>
        <w:rPr>
          <w:rFonts w:hint="default" w:ascii="Times New Roman" w:hAnsi="Times New Roman" w:cs="Times New Roman"/>
          <w:color w:val="FF0000"/>
          <w:sz w:val="21"/>
          <w:szCs w:val="24"/>
          <w:vertAlign w:val="superscript"/>
        </w:rPr>
        <w:t>[17]</w:t>
      </w:r>
      <w:r>
        <w:rPr>
          <w:rFonts w:hint="eastAsia" w:ascii="Times New Roman" w:hAnsi="Times New Roman"/>
          <w:color w:val="FF0000"/>
          <w:sz w:val="21"/>
          <w:szCs w:val="21"/>
          <w:lang w:val="en-US" w:eastAsia="zh-CN"/>
        </w:rPr>
        <w:fldChar w:fldCharType="end"/>
      </w:r>
      <w:r>
        <w:rPr>
          <w:rFonts w:hint="eastAsia" w:ascii="Times New Roman" w:hAnsi="Times New Roman"/>
          <w:color w:val="FF0000"/>
          <w:sz w:val="21"/>
          <w:szCs w:val="21"/>
          <w:lang w:val="en-US" w:eastAsia="zh-CN"/>
        </w:rPr>
        <w:t>。</w:t>
      </w:r>
      <w:r>
        <w:rPr>
          <w:rFonts w:hint="eastAsia" w:ascii="Times New Roman" w:hAnsi="Times New Roman"/>
          <w:sz w:val="21"/>
          <w:szCs w:val="21"/>
          <w:lang w:val="en-US" w:eastAsia="zh-CN"/>
        </w:rPr>
        <w:t>而REVO与SCIENCE研究虽显示NICT组pCR率低于NCRT组，但REVO研究仍实现了“非劣效”终点</w:t>
      </w:r>
      <w:r>
        <w:rPr>
          <w:rFonts w:hint="eastAsia" w:ascii="Times New Roman" w:hAnsi="Times New Roman"/>
          <w:sz w:val="21"/>
          <w:szCs w:val="21"/>
          <w:lang w:val="en-US" w:eastAsia="zh-CN"/>
        </w:rPr>
        <w:fldChar w:fldCharType="begin"/>
      </w:r>
      <w:r>
        <w:rPr>
          <w:rFonts w:hint="eastAsia" w:ascii="Times New Roman" w:hAnsi="Times New Roman"/>
          <w:sz w:val="21"/>
          <w:szCs w:val="21"/>
          <w:lang w:val="en-US" w:eastAsia="zh-CN"/>
        </w:rPr>
        <w:instrText xml:space="preserve"> ADDIN ZOTERO_ITEM CSL_CITATION {"citationID":"2kVHRWQ6","properties":{"formattedCitation":"\\super [16,39]\\nosupersub{}","plainCitation":"[16,39]","noteIndex":0},"citationItems":[{"id":1584,"uris":["http://zotero.org/users/15831584/items/GQ23BZHP"],"itemData":{"id":1584,"type":"article-journal","abstract":"Several studies have evaluated PD-1 inhibitors plus chemotherapy as neoadjuvant treatment for locally advanced esophageal squamous cell carcinoma (ESCC), but comparative data with chemoradiotherapy (CRT) remain limited. This multicenter, randomized, open-label, phase 2 non-inferiority trial (REVO, NCT05007145) assessed the efficacy and safety of neoadjuvant camrelizumab plus chemotherapy (ICT) versus CRT in patients with resectable, locally advanced ESCC. A total of 104 patients were randomized to ICT (camrelizumab, nab-paclitaxel, cisplatin) or CRT (nab-paclitaxel, cisplatin, radiotherapy). The primary endpoint was pathologic complete response (pCR). ICT achieved a pCR rate of 32.7% versus 34.6% with CRT (rate ratio 0.94, 90% CI 0.6-1.49), demonstrating non-inferiority and meeting the pre-specified primary endpoint. Major pathologic response was observed in 42.3% of ICT patients and 57.7% of CRT patients, with R0 resection achieved in 100% of both groups. 1-year disease-free survival was 89.1% versus 78.2%, and 1-year overall survival was 100% versus 92.3% for ICT and CRT, respectively. Grade ≥3 treatment-related adverse events occurred in 19.2% of ICT patients and 33.3% of CRT patients, and surgical complications were reported in 31.1% and 35.9%, respectively. These findings indicate that ICT is a safe and effective neoadjuvant strategy for resectable ESCC with a more favorable safety profile.","container-title":"Nature Communications","DOI":"10.1038/s41467-025-64660-z","ISSN":"2041-1723","issue":"1","journalAbbreviation":"Nat. Commun.","language":"en","note":"5年影响因子: 17.2\nJCR分区: Q1\n中科院分区升级版: 综合性期刊1区\n南农高质量: A\n影响因子: 15.7","page":"9676","PMID":"41184224","PMCID":"PMC12583711","source":"PubMed","title":"Camrelizumab plus chemotherapy versus chemoradiotherapy as neoadjuvant therapy for resectable esophageal squamous cell carcinoma: phase 2 randomized trial (REVO)","title-short":"Camrelizumab plus chemotherapy versus chemoradiotherapy as neoadjuvant therapy for resectable esophageal squamous cell carcinoma","volume":"16","author":[{"family":"Wang","given":"Peiyuan"},{"family":"Chen","given":"Yujie"},{"family":"Wang","given":"Feng"},{"family":"Chen","given":"Mingqiu"},{"family":"Zheng","given":"Buhong"},{"family":"Zhang","given":"Derong"},{"family":"Zheng","given":"Qingfeng"},{"family":"Wang","given":"Jiezhong"},{"family":"Chen","given":"Junqiang"},{"family":"Cai","given":"Huaxin"},{"family":"Liu","given":"Junhua"},{"family":"Zhang","given":"Wenshan"},{"family":"Lian","given":"Changhong"},{"family":"Chen","given":"Juhui"},{"family":"Lin","given":"Yu"},{"family":"Xu","given":"Yuanji"},{"family":"Huang","given":"Rongfang"},{"family":"Lei","given":"Mengxia"},{"family":"Chen","given":"Peng"},{"family":"He","given":"Hao"},{"family":"Lin","given":"Hui"},{"family":"Chen","given":"Xiaofeng"},{"family":"Zhou","given":"Hang"},{"family":"Chen","given":"Weijie"},{"family":"Wei","given":"Wenwei"},{"family":"Zhuang","given":"Fengnian"},{"family":"Lin","given":"Junpeng"},{"family":"Huang","given":"Canhua"},{"family":"Guan","given":"Ni"},{"family":"Yan","given":"Jin"},{"family":"Liang","given":"Shujun"},{"family":"Liu","given":"Shuoyan"},{"family":"Li","given":"Jiancheng"}],"issued":{"date-parts":[["2025",11,3]]}}},{"id":1579,"uris":["http://zotero.org/users/15831584/items/JNUSSF4A"],"itemData":{"id":1579,"type":"webpage","language":"en","title":"Preliminary results from the multicenter, randomized phase III trial (SCIENCE): comparing chemotherapy plus sintilimab and chemoradiotherapy plus sintilimab versus chemoradiotherapy for neoadjuvant treatment in resectable locally advanced esophageal squamous cell carcinoma","title-short":"Preliminary results from the multicenter, randomized phase III trial (SCIENCE)","URL":"https://www.onclive.com/view/neoadjuvant-sintilimab-plus-chemoradiotherapy-improves-pcr-rate-in-resectable-locally-advanced-escc","author":[{"literal":"Leng X"},{"literal":"He W"},{"literal":"Lyu J"}],"accessed":{"date-parts":[["2025",11,10]]}}}],"schema":"https://github.com/citation-style-language/schema/raw/master/csl-citation.json"} </w:instrText>
      </w:r>
      <w:r>
        <w:rPr>
          <w:rFonts w:hint="eastAsia" w:ascii="Times New Roman" w:hAnsi="Times New Roman"/>
          <w:sz w:val="21"/>
          <w:szCs w:val="21"/>
          <w:lang w:val="en-US" w:eastAsia="zh-CN"/>
        </w:rPr>
        <w:fldChar w:fldCharType="separate"/>
      </w:r>
      <w:r>
        <w:rPr>
          <w:rFonts w:hint="default" w:ascii="Times New Roman" w:hAnsi="Times New Roman" w:cs="Times New Roman"/>
          <w:sz w:val="21"/>
          <w:szCs w:val="24"/>
          <w:vertAlign w:val="superscript"/>
        </w:rPr>
        <w:t>[16,39]</w:t>
      </w:r>
      <w:r>
        <w:rPr>
          <w:rFonts w:hint="eastAsia" w:ascii="Times New Roman" w:hAnsi="Times New Roman"/>
          <w:sz w:val="21"/>
          <w:szCs w:val="21"/>
          <w:lang w:val="en-US" w:eastAsia="zh-CN"/>
        </w:rPr>
        <w:fldChar w:fldCharType="end"/>
      </w:r>
      <w:r>
        <w:rPr>
          <w:rFonts w:hint="eastAsia" w:ascii="Times New Roman" w:hAnsi="Times New Roman"/>
          <w:sz w:val="21"/>
          <w:szCs w:val="21"/>
          <w:lang w:val="en-US" w:eastAsia="zh-CN"/>
        </w:rPr>
        <w:t>。NICE、TD-NICE及PEN-ICE三项单臂研究均取得较高pCR率，后两项则接近CROSS研究中49%的pCR率水平</w:t>
      </w:r>
      <w:r>
        <w:rPr>
          <w:rFonts w:hint="eastAsia" w:ascii="Times New Roman" w:hAnsi="Times New Roman"/>
          <w:sz w:val="21"/>
          <w:szCs w:val="21"/>
          <w:lang w:val="en-US" w:eastAsia="zh-CN"/>
        </w:rPr>
        <w:fldChar w:fldCharType="begin"/>
      </w:r>
      <w:r>
        <w:rPr>
          <w:rFonts w:hint="eastAsia" w:ascii="Times New Roman" w:hAnsi="Times New Roman"/>
          <w:sz w:val="21"/>
          <w:szCs w:val="21"/>
          <w:lang w:val="en-US" w:eastAsia="zh-CN"/>
        </w:rPr>
        <w:instrText xml:space="preserve"> ADDIN ZOTERO_ITEM CSL_CITATION {"citationID":"bHtefqLl","properties":{"formattedCitation":"\\super [7,8,11,40]\\nosupersub{}","plainCitation":"[7,8,11,40]","noteIndex":0},"citationItems":[{"id":1430,"uris":["http://zotero.org/users/15831584/items/F7LUHAQT"],"itemData":{"id":1430,"type":"article-journal","abstract":"BACKGROUND: Clinical benefit of neoadjuvant immunotherapy in resectable esophageal squamous cell carcinoma (ESCC). remains unclear. This study evaluated the efficacy and safety of the programmed death 1 (PD-1) inhibitor tislelizumab combined with chemotherapy as neoadjuvant therapy in patients with resectable ESCC.\nMETHODS: Treatment-naïve patients were enrolled and eligible patients received 3 cycles of neoadjuvant therapy with tislelizumab, carboplatin, and nab-paclitaxel. The primary endpoint was surgery patients major pathological response (MPR). Subgroup analysis was stratified by tumor downstaging, circumferential resection margin (CRM), PD-ligand 1 (PD-L1) expression, and tumor mutation burden (TMB). Safety was assessed by adverse events (AEs) and postoperative complications.\nRESULTS: Between September 2020 and March 2021, 45 patients were enrolled. Thirty-six (80.0%) of 45 patients underwent surgery, and 29 (80.5%) underwent successful R0 resection. MPR and pathological complete response (pCR) for surgery patients were 72.0% and 50.0%, respectively. Intention to treatment (ITT) patients MPR and PCR were 57.5% and 40%. Downgrading occurred in 75% of 36 patients. MPR and pCR were identified to be associated with tumor downstaging and CRM but not PD-L1 expression or TMB. TPS levels in MPR and pCR group were significantly higher than that in Non-MPR and Non-pCR group, respectively. Treatment-related AEs of grade 3-4 and immune-related AEs occurred in 42.2% and 22.2% of 45 patients, respectively, and postoperative complications occurred in 77.8% of 36 patients. No treatment-related surgical delay or death occurred. No associations between gene mutation and pathological efficacy were observed.\nCONCLUSIONS: Tislelizumab plus chemotherapy as neoadjuvant therapy demonstrates promising antitumor activity for resectable ESCC with high rates of MPR, pCR, and R0 resection, as well as acceptable tolerability.","container-title":"International Journal of Surgery","DOI":"10.1016/j.ijsu.2022.106680","ISSN":"17439191","journalAbbreviation":"Int. J. Surg.","language":"en","note":"5年影响因子: 10.4\nJCR分区: Q1\nTLDR: Tislelizumab plus chemotherapy as neoadjuvant therapy demonstrates promising antitumor activity for resectable ESCC with high rates of MPR, pCR, and R0 resection, as well as acceptable tolerability.\n中科院分区升级版: 医学2区\n影响因子: 10.3\n南农高质量: A","page":"106680","PMID":"35595021","source":"PubMed","title":"Tislelizumab combined with chemotherapy as neoadjuvant therapy for surgically resectable esophageal cancer: a prospective, single-arm, phase II study (TD-NICE)","title-short":"Tislelizumab combined with chemotherapy as neoadjuvant therapy for surgically resectable esophageal cancer","volume":"103","author":[{"family":"Yan","given":"Xiaolong"},{"family":"Duan","given":"Hongtao"},{"family":"Ni","given":"Yunfeng"},{"family":"Zhou","given":"Yongan"},{"family":"Wang","given":"Xiaoping"},{"family":"Qi","given":"Haini"},{"family":"Gong","given":"Li"},{"family":"Liu","given":"Honggang"},{"family":"Tian","given":"Feng"},{"family":"Lu","given":"Qiang"},{"family":"Sun","given":"Jianyong"},{"family":"Yang","given":"Ende"},{"family":"Zhong","given":"Daixing"},{"family":"Wang","given":"Tao"},{"family":"Huang","given":"Lijun"},{"family":"Wang","given":"Jian"},{"literal":"Chaoyang Wang"},{"family":"Wang","given":"Yuanyong"},{"family":"Wan","given":"Zhiyi"},{"family":"Lei","given":"Jie"},{"family":"Zhao","given":"Jinbo"},{"family":"Jiang","given":"Tao"}],"issued":{"date-parts":[["2022",7]]}}},{"id":1479,"uris":["http://zotero.org/users/15831584/items/V6GKLLM2"],"itemData":{"id":1479,"type":"article-journal","abstract":"Background\n              In this single-arm study, the efficacy and safety of neoadjuvant pembrolizumab plus chemotherapy were evaluated in patients with resectable esophageal squamous cell carcinoma (ESCC).\n            \n            \n              Methods\n              This study included patients with ESCC of clinical stages II–IVA who underwent surgery within 4 to 6 weeks after completing treatment with pembrolizumab (200 mg) combined with a conventional chemotherapy regimen (3 cycles). The safety and efficacy of this combination treatment were evaluated as primary endpoints of the study.\n            \n            \n              Results\n              \n                From April 2019 to August 2020, a total of 18 patients (including 14 men) were enrolled, of whom 13 patients progressed to surgery. Postoperative pathology revealed a major pathological response (MPR) in 9 cases (9/13, 69.2%) and a pathological complete response (pCR) in 6 cases (6/13, 46.2%). Five patients (5/18, 27.8%) experienced serious treatment-related adverse events (AEs) of grades 3–4. At the time of data cutoff (Mar 25, 2022), the shortest duration of follow-up was 17.8 months. Programmed death-ligand 1 (PD-L1) expression in pretreatment specimens was not significantly associated with the percentage of residual viable tumor (RVT) (r=−0.55, P=0.08). Changes in counts of CD68\n                +\n                macrophage between pre- and post-treatment specimens were weakly correlated with RVT (r=0.71; P=0.07), while a positive correlation was observed between postoperative forkhead box P3-positive (Foxp3)\n                +\n                T cells/CD4\n                +\n                Tcells ratios and RVT (r=0.84, P\n                =\n                0.03).\n              \n            \n            \n              Conclusions\n              The combination of neoadjuvant immunotherapy and chemotherapy for ESCC is associated with a high pathological response and immunologic effects in the tumor microenvironment (TME). It has acceptable toxicity and great efficacy, suggesting a strong rationale for its further evaluation in randomized clinical trials (RCTs).\n            \n            \n              Trial Registration\n              ChiCTR2100048917.","container-title":"Frontiers in Immunology","DOI":"10.3389/fimmu.2022.849984","ISSN":"1664-3224","journalAbbreviation":"Front. Immunol.","language":"en","note":"5年影响因子: 6.8\nJCR分区: Q1\nTLDR: The combination of neoadjuvant immunotherapy and chemotherapy for ESCC is associated with a high pathological response and immunologic effects in the tumor microenvironment (TME), suggesting a strong rationale for its further evaluation in randomized clinical trials (RCTs).\n中科院分区升级版: 医学2区\n南农高质量: A\n影响因子: 5.9","page":"849984","PMID":"35720388","PMCID":"PMC9202755","source":"PubMed Central","title":"Neoadjuvant pembrolizumab and chemotherapy in resectable esophageal cancer: an open-label, single-arm study (PEN-ICE)","title-short":"Neoadjuvant pembrolizumab and chemotherapy in resectable esophageal cancer","volume":"13","author":[{"family":"Duan","given":"Hongtao"},{"family":"Shao","given":"Changjian"},{"family":"Pan","given":"Minghong"},{"family":"Liu","given":"Honggang"},{"family":"Dong","given":"Xiaoping"},{"family":"Zhang","given":"Yong"},{"family":"Tong","given":"Liping"},{"family":"Feng","given":"Yingtong"},{"family":"Wang","given":"Yuanyuan"},{"family":"Wang","given":"Lu"},{"family":"Newman","given":"Neil B."},{"family":"Sarkaria","given":"Inderpal S."},{"family":"Reynolds","given":"John V."},{"family":"De Cobelli","given":"Francesco"},{"family":"Ma","given":"Zhiqiang"},{"family":"Jiang","given":"Tao"},{"family":"Yan","given":"Xiaolong"}],"issued":{"date-parts":[["2022",6,2]]}}},{"id":1662,"uris":["http://zotero.org/users/15831584/items/BYUVPL6G"],"itemData":{"id":1662,"type":"article-journal","abstract":"Background\nCamrelizumab and chemotherapy demonstrated durable antitumor activity with a manageable safety profile as first-line treatment in patients with advanced esophageal squamous cell carcinoma (ESCC). This study aimed to evaluate the safety and efficacy of camrelizumab plus neoadjuvant chemotherapy, using pathologically complete response (pCR) as primary endpoint, in the treatment for locally advanced ESCC.\n\nMethods\nPatients with locally advanced but resectable thoracic ESCC, staged as T1b-4a, N2-3 (≥3 stations), and M0 or M1 lymph node metastasis (confined to the supraclavicular lymph nodes) were enrolled. Eligible patients received intravenous camrelizumab (200 mg, day 1) plus nab-paclitaxel (100 mg/m2, day 1, 8, 15) and carboplatin (area under curve of 5 mg/mL/min, day 1) of each 21-days cycle, for two cycles before surgery. The primary endpoint is pCR rate in the per-protocol population. Safety was assessed in the modified intention-to-treat population that was treated with at least one dose of camrelizumab.\n\nResults\nFrom November 20, 2019 to December 22, 2020, 60 patients were enrolled. 55 (91.7%) patients completed the full two-cycle treatment successfully. 51 patients underwent surgery and R0 resection was achieved in 50 (98.0%) patients. pCR (ypT0N0) was identified in 20 (39.2%) patients and 5 (9.8%) patients had complete response of the primary tumor but residual disease in lymph nodes alone (ypT0N+). 58 patients (96.7%) had any-grade treatment-related adverse events (TRAEs), with the most common being leukocytopenia (86.7%). 34 patients (56.7%) had adverse events of grade 3 or worse, and one patient (1.7%) occurred a grade 5 adverse event. There was no in-hospital and postoperative 30-day as well as 90-day mortality.\n\nConclusions\nThe robust antitumor activity of camrelizumab and chemotherapy was confirmed and demonstrated without unexpected safety signals. Our findings established camrelizumab and chemotherapy as a promising neoadjuvant treatment for locally advanced ESCC.\n\nTrial registration number\nChiCTR1900026240.","container-title":"Journal for Immunotherapy of Cancer","DOI":"10.1136/jitc-2021-004291","ISSN":"2051-1426","issue":"3","journalAbbreviation":"J. ImmunoTher. Cancer","language":"en","note":"TLDR: The findings established camrelizumab and chemotherapy as a promising neoadjuvant treatment for locally advanced ESCC with robust antitumor activity and demonstrated without unexpected safety signals.\nJCR分区: Q1\n中科院分区升级版: 医学1区\n影响因子: 10.6\n5年影响因子: 11.5\n南农高质量: A","page":"e004291","PMID":"35338088","PMCID":"PMC8961177","source":"PubMed Central","title":"Multicenter, single-arm, phase II trial of camrelizumab and chemotherapy as neoadjuvant treatment for locally advanced esophageal squamous cell carcinoma","volume":"10","author":[{"family":"Liu","given":"Jun"},{"family":"Yang","given":"Yang"},{"family":"Liu","given":"Zhichao"},{"family":"Fu","given":"Xiaolong"},{"family":"Cai","given":"Xiaoyue"},{"family":"Li","given":"Hongxuan"},{"family":"Zhu","given":"Li"},{"family":"Shen","given":"Yan"},{"family":"Zhang","given":"Hong"},{"family":"Sun","given":"Yifeng"},{"family":"Chen","given":"Hezhong"},{"family":"Yu","given":"Bentong"},{"family":"Zhang","given":"Renquan"},{"family":"Shao","given":"Jinchen"},{"family":"Zhang","given":"Ming"},{"family":"Li","given":"Zhigang"}],"issued":{"date-parts":[["2022",3,24]]}}},{"id":1592,"uris":["http://zotero.org/users/15831584/items/DK64CF7F"],"itemData":{"id":1592,"type":"article-journal","abstract":"BACKGROUND: Initial results of the ChemoRadiotherapy for Oesophageal cancer followed by Surgery Study (CROSS) comparing neoadjuvant chemoradiotherapy plus surgery versus surgery alone in patients with squamous cell carcinoma and adenocarcinoma of the oesophagus or oesophagogastric junction showed a significant increase in 5-year overall survival in favour of the neoadjuvant chemoradiotherapy plus surgery group after a median of 45 months' follow-up. In this Article, we report the long-term results after a minimum follow-up of 5 years.\nMETHODS: Patients with clinically resectable, locally advanced cancer of the oesophagus or oesophagogastric junction (clinical stage T1N1M0 or T2-3N0-1M0, according to the TNM cancer staging system, sixth edition) were randomly assigned in a 1:1 ratio with permuted blocks of four or six to receive either weekly administration of five cycles of neoadjuvant chemoradiotherapy (intravenous carboplatin [AUC 2 mg/mL per min] and intravenous paclitaxel [50 mg/m(2) of body-surface area] for 23 days) with concurrent radiotherapy (41·4 Gy, given in 23 fractions of 1·8 Gy on 5 days per week) followed by surgery, or surgery alone. The primary endpoint was overall survival, analysed by intention-to-treat. No adverse event data were collected beyond those noted in the initial report of the trial. This trial is registered with the Netherlands Trial Register, number NTR487, and has been completed.\nFINDINGS: Between March 30, 2004, and Dec 2, 2008, 368 patients from eight participating centres (five academic centres and three large non-academic teaching hospitals) in the Netherlands were enrolled into this study and randomly assigned to the two treatment groups: 180 to surgery plus neoadjuvant chemoradiotherapy and 188 to surgery alone. Two patients in the neoadjuvant chemoradiotherapy group withdrew consent, so a total of 366 patients were analysed (178 in the neoadjuvant chemoradiotherapy plus surgery group and 188 in the surgery alone group). Of 171 patients who received any neoadjuvant chemoradiotherapy in this group, 162 (95%) were able to complete the entire neoadjuvant chemoradiotherapy regimen. After a median follow-up for surviving patients of 84·1 months (range 61·1-116·8, IQR 70·7-96·6), median overall survival was 48·6 months (95% CI 32·1-65·1) in the neoadjuvant chemoradiotherapy plus surgery group and 24·0 months (14·2-33·7) in the surgery alone group (HR 0·68 [95% CI 0·53-0·88]; log-rank p=0·003). Median overall survival for patients with squamous cell carcinomas was 81·6 months (95% CI 47·2-116·0) in the neoadjuvant chemoradiotherapy plus surgery group and 21·1 months (15·4-26·7) in the surgery alone group (HR 0·48 [95% CI 0·28-0·83]; log-rank p=0·008); for patients with adenocarcinomas, it was 43·2 months (24·9-61·4) in the neoadjuvant chemoradiotherapy plus surgery group and 27·1 months (13·0-41·2) in the surgery alone group (HR 0·73 [95% CI 0·55-0·98]; log-rank p=0·038).\nINTERPRETATION: Long-term follow-up confirms the overall survival benefits for neoadjuvant chemoradiotherapy when added to surgery in patients with resectable oesophageal or oesophagogastric junctional cancer. This improvement is clinically relevant for both squamous cell carcinoma and adenocarcinoma subtypes. Therefore, neoadjuvant chemoradiotherapy according to the CROSS trial followed by surgical resection should be regarded as a standard of care for patients with resectable locally advanced oesophageal or oesophagogastric junctional cancer.\nFUNDING: Dutch Cancer Foundation (KWF Kankerbestrijding).","container-title":"The Lancet Oncology","DOI":"10.1016/S1470-2045(15)00040-6","ISSN":"14702045","issue":"9","journalAbbreviation":"Lancet Oncol.","language":"en","note":"5年影响因子: 42.0\nJCR分区: Q1\nTLDR: Long-term follow-up confirms the overall survival benefits for neoadjuvant chemoradiotherapy in patients with clinically resectable, locally advanced cancer of the oesophagus or Oesophagogastric junction and shows a significant increase in 5-year overall survival.\n中科院分区升级版: 医学1区\n影响因子: 35.9","page":"1090-1098","PMID":"26254683","source":"PubMed","title":"Neoadjuvant chemoradiotherapy plus surgery versus surgery alone for oesophageal or junctional cancer (CROSS): long-term results of a randomised controlled trial","title-short":"Neoadjuvant chemoradiotherapy plus surgery versus surgery alone for oesophageal or junctional cancer (CROSS)","volume":"16","author":[{"family":"Shapiro","given":"Joel"},{"family":"Van Lanschot","given":"J Jan B"},{"family":"Hulshof","given":"Maarten C C M"},{"family":"Van Hagen","given":"Pieter"},{"family":"Van Berge Henegouwen","given":"Mark I"},{"family":"Wijnhoven","given":"Bas P L"},{"family":"Van Laarhoven","given":"Hanneke W M"},{"family":"Nieuwenhuijzen","given":"Grard A P"},{"family":"Hospers","given":"Geke A P"},{"family":"Bonenkamp","given":"Johannes J"},{"family":"Cuesta","given":"Miguel A"},{"family":"Blaisse","given":"Reinoud J B"},{"family":"Busch","given":"Olivier R C"},{"family":"Ten Kate","given":"Fiebo J W"},{"family":"Creemers","given":"Geert-Jan M"},{"family":"Punt","given":"Cornelis J A"},{"family":"Plukker","given":"John Th M"},{"family":"Verheul","given":"Henk M W"},{"family":"Bilgen","given":"Ernst J Spillenaar"},{"family":"Van Dekken","given":"Herman"},{"family":"Van Der Sangen","given":"Maurice J C"},{"family":"Rozema","given":"Tom"},{"family":"Biermann","given":"Katharina"},{"family":"Beukema","given":"Jannet C"},{"family":"Piet","given":"Anna H M"},{"family":"Van Rij","given":"Caroline M"},{"family":"Reinders","given":"Janny G"},{"family":"Tilanus","given":"Hugo W"},{"family":"Steyerberg","given":"Ewout W"},{"family":"Van Der Gaast","given":"Ate"}],"issued":{"date-parts":[["2015",9]]}}}],"schema":"https://github.com/citation-style-language/schema/raw/master/csl-citation.json"} </w:instrText>
      </w:r>
      <w:r>
        <w:rPr>
          <w:rFonts w:hint="eastAsia" w:ascii="Times New Roman" w:hAnsi="Times New Roman"/>
          <w:sz w:val="21"/>
          <w:szCs w:val="21"/>
          <w:lang w:val="en-US" w:eastAsia="zh-CN"/>
        </w:rPr>
        <w:fldChar w:fldCharType="separate"/>
      </w:r>
      <w:r>
        <w:rPr>
          <w:rFonts w:hint="default" w:ascii="Times New Roman" w:hAnsi="Times New Roman" w:cs="Times New Roman"/>
          <w:sz w:val="21"/>
          <w:szCs w:val="24"/>
          <w:vertAlign w:val="superscript"/>
        </w:rPr>
        <w:t>[7,8,11,40]</w:t>
      </w:r>
      <w:r>
        <w:rPr>
          <w:rFonts w:hint="eastAsia" w:ascii="Times New Roman" w:hAnsi="Times New Roman"/>
          <w:sz w:val="21"/>
          <w:szCs w:val="21"/>
          <w:lang w:val="en-US" w:eastAsia="zh-CN"/>
        </w:rPr>
        <w:fldChar w:fldCharType="end"/>
      </w:r>
      <w:r>
        <w:rPr>
          <w:rFonts w:hint="eastAsia" w:ascii="Times New Roman" w:hAnsi="Times New Roman"/>
          <w:sz w:val="21"/>
          <w:szCs w:val="21"/>
          <w:lang w:val="en-US" w:eastAsia="zh-CN"/>
        </w:rPr>
        <w:t>。</w:t>
      </w:r>
      <w:r>
        <w:rPr>
          <w:rFonts w:hint="eastAsia" w:ascii="Times New Roman" w:hAnsi="Times New Roman"/>
          <w:b w:val="0"/>
          <w:bCs w:val="0"/>
          <w:color w:val="FF0000"/>
          <w:sz w:val="21"/>
          <w:szCs w:val="21"/>
          <w:lang w:val="en-US" w:eastAsia="zh-CN"/>
        </w:rPr>
        <w:t>NICE研究显示，接受卡瑞利珠单抗联合化疗新辅助治疗并手术的患者，2年OS率达78.1%</w:t>
      </w:r>
      <w:r>
        <w:rPr>
          <w:rFonts w:hint="eastAsia" w:ascii="Times New Roman" w:hAnsi="Times New Roman"/>
          <w:b w:val="0"/>
          <w:bCs w:val="0"/>
          <w:color w:val="FF0000"/>
          <w:sz w:val="21"/>
          <w:szCs w:val="21"/>
          <w:lang w:val="en-US" w:eastAsia="zh-CN"/>
        </w:rPr>
        <w:fldChar w:fldCharType="begin"/>
      </w:r>
      <w:r>
        <w:rPr>
          <w:rFonts w:hint="eastAsia" w:ascii="Times New Roman" w:hAnsi="Times New Roman"/>
          <w:b w:val="0"/>
          <w:bCs w:val="0"/>
          <w:color w:val="FF0000"/>
          <w:sz w:val="21"/>
          <w:szCs w:val="21"/>
          <w:lang w:val="en-US" w:eastAsia="zh-CN"/>
        </w:rPr>
        <w:instrText xml:space="preserve"> ADDIN ZOTERO_ITEM CSL_CITATION {"citationID":"FL8xaB1e","properties":{"formattedCitation":"\\super [41]\\nosupersub{}","plainCitation":"[41]","noteIndex":0},"citationItems":[{"id":1682,"uris":["http://zotero.org/users/15831584/items/UGHN9W4I"],"itemData":{"id":1682,"type":"article-journal","abstract":"OBJECTIVE: This study aims to report the 2-year outcomes of patients with clinical stage N2-3 esophageal squamous cell carcinoma who received neoadjuvant chemotherapy and immunotherapy followed by surgery from a phase 2 NICE trial.\nMETHODS: Eligible patients with clinical stage N2-3 esophageal squamous cell carcinoma were screened and enrolled, then treated with regimen of nab-paclitaxel (100 mg/m2, days 1, 8, 15), carboplatin (area under the curve = 5, day 1), camrelizumab (200 mg, day 1) of two 21-day cycles and esophagectomy 4 to 6 weeks after the last chemotherapy. Oncologic outcomes, recurrence patterns, overall survival (OS), and recurrence-free survival (RFS) were explored.\nRESULTS: From November 20, 2019, to December 22, 2020, 60 patients were recruited. After a median follow-up of 27.4 months, disease recurrence was observed in 19 (37.3%) patients, with 5 (9.8%) locoregional recurrence, 9 (17.6%) distant metastasis, and 5 (9.8%) combined recurrence. Lung was the most commonly involved metastatic site. The median time to recurrence was 10.8 months (interquartile range, 7.5-12.7 months). The 2-year OS and RFS rates were 78.1% and 67.9%, respectively. Patients who achieved major pathologic response (MPR) had a significantly greater 2-year OS rate (91.4% vs 47.7%; P &lt; .001) and RFS rate (77.1% vs 45.9%; P = .003). On multivariable analysis, MPR was indicated as an independent prognostic factor for disease recurrence (hazard ratio, 0.39; 95% confidence interval, 0.21-0.82; P = .029).\nCONCLUSIONS: In patients receiving neoadjuvant chemotherapy and immunotherapy, distant metastasis remains the predominant recurrence pattern. MPR is associated with lower recurrence and better survival. Long-term results derived from randomized controlled trials are further required.\nTRIAL REGISTRATION NUMBER: ChiCTR1900026240.","container-title":"The Journal of Thoracic and Cardiovascular Surgery","DOI":"10.1016/j.jtcvs.2023.08.056","ISSN":"00225223","issue":"3","journalAbbreviation":"J. Thorac. Cardiovasc. Surg.","language":"en","note":"5年影响因子: 4.6\nJCR分区: Q1\n中科院分区升级版: 医学2区\n影响因子: 4.4","page":"838-847.e1","PMID":"37696429","source":"PubMed","title":"Two-year outcomes of clinical N2-3 esophageal squamous cell carcinoma after neoadjuvant chemotherapy and immunotherapy from the phase 2 NICE study","volume":"167","author":[{"family":"Yang","given":"Yang"},{"family":"Liu","given":"Jun"},{"family":"Liu","given":"Zhichao"},{"family":"Zhu","given":"Li"},{"family":"Chen","given":"Hezhong"},{"family":"Yu","given":"Bentong"},{"family":"Zhang","given":"Renquan"},{"family":"Shao","given":"Jinchen"},{"family":"Zhang","given":"Ming"},{"family":"Li","given":"Chunguang"},{"family":"Li","given":"Zhigang"}],"issued":{"date-parts":[["2024",3]]}}}],"schema":"https://github.com/citation-style-language/schema/raw/master/csl-citation.json"} </w:instrText>
      </w:r>
      <w:r>
        <w:rPr>
          <w:rFonts w:hint="eastAsia" w:ascii="Times New Roman" w:hAnsi="Times New Roman"/>
          <w:b w:val="0"/>
          <w:bCs w:val="0"/>
          <w:color w:val="FF0000"/>
          <w:sz w:val="21"/>
          <w:szCs w:val="21"/>
          <w:lang w:val="en-US" w:eastAsia="zh-CN"/>
        </w:rPr>
        <w:fldChar w:fldCharType="separate"/>
      </w:r>
      <w:r>
        <w:rPr>
          <w:rFonts w:hint="default" w:ascii="Times New Roman" w:hAnsi="Times New Roman" w:cs="Times New Roman"/>
          <w:b w:val="0"/>
          <w:bCs w:val="0"/>
          <w:color w:val="FF0000"/>
          <w:sz w:val="21"/>
          <w:szCs w:val="24"/>
          <w:vertAlign w:val="superscript"/>
        </w:rPr>
        <w:t>[41]</w:t>
      </w:r>
      <w:r>
        <w:rPr>
          <w:rFonts w:hint="eastAsia" w:ascii="Times New Roman" w:hAnsi="Times New Roman"/>
          <w:b w:val="0"/>
          <w:bCs w:val="0"/>
          <w:color w:val="FF0000"/>
          <w:sz w:val="21"/>
          <w:szCs w:val="21"/>
          <w:lang w:val="en-US" w:eastAsia="zh-CN"/>
        </w:rPr>
        <w:fldChar w:fldCharType="end"/>
      </w:r>
      <w:r>
        <w:rPr>
          <w:rFonts w:hint="eastAsia" w:ascii="Times New Roman" w:hAnsi="Times New Roman"/>
          <w:b w:val="0"/>
          <w:bCs w:val="0"/>
          <w:color w:val="FF0000"/>
          <w:sz w:val="21"/>
          <w:szCs w:val="21"/>
          <w:lang w:val="en-US" w:eastAsia="zh-CN"/>
        </w:rPr>
        <w:t>。</w:t>
      </w:r>
      <w:r>
        <w:rPr>
          <w:rFonts w:hint="eastAsia" w:ascii="Times New Roman" w:hAnsi="Times New Roman"/>
          <w:color w:val="FF0000"/>
          <w:sz w:val="21"/>
          <w:szCs w:val="21"/>
          <w:lang w:val="en-US" w:eastAsia="zh-CN"/>
        </w:rPr>
        <w:t>TD-NICE研究则提供了目前NICT治疗可切除食管鳞癌的最长随访数据，其手术组4年估计OS率及EFS率均达69.4%</w:t>
      </w:r>
      <w:r>
        <w:rPr>
          <w:rFonts w:hint="eastAsia" w:ascii="Times New Roman" w:hAnsi="Times New Roman"/>
          <w:color w:val="FF0000"/>
          <w:sz w:val="21"/>
          <w:szCs w:val="21"/>
          <w:lang w:val="en-US" w:eastAsia="zh-CN"/>
        </w:rPr>
        <w:fldChar w:fldCharType="begin"/>
      </w:r>
      <w:r>
        <w:rPr>
          <w:rFonts w:hint="eastAsia" w:ascii="Times New Roman" w:hAnsi="Times New Roman"/>
          <w:color w:val="FF0000"/>
          <w:sz w:val="21"/>
          <w:szCs w:val="21"/>
          <w:lang w:val="en-US" w:eastAsia="zh-CN"/>
        </w:rPr>
        <w:instrText xml:space="preserve"> ADDIN ZOTERO_ITEM CSL_CITATION {"citationID":"DN4m0RYk","properties":{"formattedCitation":"\\super [42]\\nosupersub{}","plainCitation":"[42]","noteIndex":0},"citationItems":[{"id":1400,"uris":["http://zotero.org/users/15831584/items/HQUNALSL"],"itemData":{"id":1400,"type":"article-journal","abstract":"Background\nThe efficacy and safety of tislelizumab combined with chemotherapy as neoadjuvant therapy have been presented and evaluated in previously published TD-NICE study. However, the long-term impacts of patients who received tislelizumab plus chemotherapy followed by surgery were not observed in the study.\n\nMethods\nFrom September 2020 to March 2021, a total of 45 patients were enrolled in the TD-NICE trial. The 4 -year follow-up data of the TD-NICE ITT population were collected by investigators. The primary endpoint was OS, and the secondary endpoint was EFS. Kaplan-Meier method and cox proportional hazards model were used to proceed statistical analysis.\n\nResults\nThe median OS and EFS were not reached in all patients. The OS was 82.2% (95%CI:67.6–90.7) at 12 months, 73.3%(95%CI:57.8–83.9) at 24 months, 66.7%(95%CI:50.9–78.4) at 36 months and simulated 66.2% (95%CI:46.5–74.6) at 48 months. There were statistically significant differences between surgery and non-surgery patients(P = 0.046). And patients with R0 resection had a higher improvement in OS than those with R1&amp;R2 resection (P = 0.041). The differences in EFS in surgery and non-surgery group (P = 0.046) as well as in R0 resection and R1&amp;R2 resection group (P = 0.045) were significant, respectively.\n\nDiscussion\nOur study identified that chemoimmunotherapy plus surgery could improve overall survival in resectable ESCC, and patients had significant benefits from surgery and R0 tumor resection.\n\nTrial registration\nTD-NICE study was registered in the August 28, 2020, and the registration number was ChiCTR2000037488 (Chinese Clinical Trial Registry (ChiCTR) identifier).","container-title":"BMC Cancer","DOI":"10.1186/s12885-025-14686-9","ISSN":"1471-2407","journalAbbreviation":"BMC Cancer","language":"en","note":"5年影响因子: 3.7\nJCR分区: Q2\nTLDR: This study identified that chemoimmunotherapy plus surgery could improve overall survival in resectable ESCC, and patients had significant benefits from surgery and R0 tumor resection.\n中科院分区升级版: 医学3区\n南农高质量: B\n影响因子: 3.4","page":"1328","PMID":"40826031","PMCID":"PMC12359864","source":"PubMed Central","title":"Four-year follow-up from the phase 2 study TD-NICE: neoadjuvant treatment of tislelizumab combined with chemotherapy in resectable esophageal squamous cell carcinoma","title-short":"Four-year follow-up from the phase 2 study TD-NICE","volume":"25","author":[{"family":"Mao","given":"Yajie"},{"family":"Gao","given":"Zhiyuan"},{"family":"Sun","given":"Yichen"},{"family":"Shao","given":"Changjian"},{"family":"Duan","given":"Hongtao"},{"family":"Yan","given":"Xiaolong"}],"issued":{"date-parts":[["2025",8,18]]}}}],"schema":"https://github.com/citation-style-language/schema/raw/master/csl-citation.json"} </w:instrText>
      </w:r>
      <w:r>
        <w:rPr>
          <w:rFonts w:hint="eastAsia" w:ascii="Times New Roman" w:hAnsi="Times New Roman"/>
          <w:color w:val="FF0000"/>
          <w:sz w:val="21"/>
          <w:szCs w:val="21"/>
          <w:lang w:val="en-US" w:eastAsia="zh-CN"/>
        </w:rPr>
        <w:fldChar w:fldCharType="separate"/>
      </w:r>
      <w:r>
        <w:rPr>
          <w:rFonts w:hint="default" w:ascii="Times New Roman" w:hAnsi="Times New Roman" w:cs="Times New Roman"/>
          <w:color w:val="FF0000"/>
          <w:sz w:val="21"/>
          <w:szCs w:val="24"/>
          <w:vertAlign w:val="superscript"/>
        </w:rPr>
        <w:t>[42]</w:t>
      </w:r>
      <w:r>
        <w:rPr>
          <w:rFonts w:hint="eastAsia" w:ascii="Times New Roman" w:hAnsi="Times New Roman"/>
          <w:color w:val="FF0000"/>
          <w:sz w:val="21"/>
          <w:szCs w:val="21"/>
          <w:lang w:val="en-US" w:eastAsia="zh-CN"/>
        </w:rPr>
        <w:fldChar w:fldCharType="end"/>
      </w:r>
      <w:r>
        <w:rPr>
          <w:rFonts w:hint="eastAsia" w:ascii="Times New Roman" w:hAnsi="Times New Roman"/>
          <w:color w:val="FF0000"/>
          <w:sz w:val="21"/>
          <w:szCs w:val="21"/>
          <w:lang w:val="en-US" w:eastAsia="zh-CN"/>
        </w:rPr>
        <w:t>。值得注意的是，NICE研究显示MPR患者生存率显著优于非MPR患者，但TD-NICE研究却发现pCR状态与长期生存无显著关联</w:t>
      </w:r>
      <w:r>
        <w:rPr>
          <w:rFonts w:hint="eastAsia" w:ascii="Times New Roman" w:hAnsi="Times New Roman"/>
          <w:color w:val="FF0000"/>
          <w:sz w:val="21"/>
          <w:szCs w:val="21"/>
          <w:lang w:val="en-US" w:eastAsia="zh-CN"/>
        </w:rPr>
        <w:fldChar w:fldCharType="begin"/>
      </w:r>
      <w:r>
        <w:rPr>
          <w:rFonts w:hint="eastAsia" w:ascii="Times New Roman" w:hAnsi="Times New Roman"/>
          <w:color w:val="FF0000"/>
          <w:sz w:val="21"/>
          <w:szCs w:val="21"/>
          <w:lang w:val="en-US" w:eastAsia="zh-CN"/>
        </w:rPr>
        <w:instrText xml:space="preserve"> ADDIN ZOTERO_ITEM CSL_CITATION {"citationID":"CV6BErzA","properties":{"formattedCitation":"\\super [41,42]\\nosupersub{}","plainCitation":"[41,42]","noteIndex":0},"citationItems":[{"id":1682,"uris":["http://zotero.org/users/15831584/items/UGHN9W4I"],"itemData":{"id":1682,"type":"article-journal","abstract":"OBJECTIVE: This study aims to report the 2-year outcomes of patients with clinical stage N2-3 esophageal squamous cell carcinoma who received neoadjuvant chemotherapy and immunotherapy followed by surgery from a phase 2 NICE trial.\nMETHODS: Eligible patients with clinical stage N2-3 esophageal squamous cell carcinoma were screened and enrolled, then treated with regimen of nab-paclitaxel (100 mg/m2, days 1, 8, 15), carboplatin (area under the curve = 5, day 1), camrelizumab (200 mg, day 1) of two 21-day cycles and esophagectomy 4 to 6 weeks after the last chemotherapy. Oncologic outcomes, recurrence patterns, overall survival (OS), and recurrence-free survival (RFS) were explored.\nRESULTS: From November 20, 2019, to December 22, 2020, 60 patients were recruited. After a median follow-up of 27.4 months, disease recurrence was observed in 19 (37.3%) patients, with 5 (9.8%) locoregional recurrence, 9 (17.6%) distant metastasis, and 5 (9.8%) combined recurrence. Lung was the most commonly involved metastatic site. The median time to recurrence was 10.8 months (interquartile range, 7.5-12.7 months). The 2-year OS and RFS rates were 78.1% and 67.9%, respectively. Patients who achieved major pathologic response (MPR) had a significantly greater 2-year OS rate (91.4% vs 47.7%; P &lt; .001) and RFS rate (77.1% vs 45.9%; P = .003). On multivariable analysis, MPR was indicated as an independent prognostic factor for disease recurrence (hazard ratio, 0.39; 95% confidence interval, 0.21-0.82; P = .029).\nCONCLUSIONS: In patients receiving neoadjuvant chemotherapy and immunotherapy, distant metastasis remains the predominant recurrence pattern. MPR is associated with lower recurrence and better survival. Long-term results derived from randomized controlled trials are further required.\nTRIAL REGISTRATION NUMBER: ChiCTR1900026240.","container-title":"The Journal of Thoracic and Cardiovascular Surgery","DOI":"10.1016/j.jtcvs.2023.08.056","ISSN":"00225223","issue":"3","journalAbbreviation":"J. Thorac. Cardiovasc. Surg.","language":"en","note":"5年影响因子: 4.6\nJCR分区: Q1\n中科院分区升级版: 医学2区\n影响因子: 4.4","page":"838-847.e1","PMID":"37696429","source":"PubMed","title":"Two-year outcomes of clinical N2-3 esophageal squamous cell carcinoma after neoadjuvant chemotherapy and immunotherapy from the phase 2 NICE study","volume":"167","author":[{"family":"Yang","given":"Yang"},{"family":"Liu","given":"Jun"},{"family":"Liu","given":"Zhichao"},{"family":"Zhu","given":"Li"},{"family":"Chen","given":"Hezhong"},{"family":"Yu","given":"Bentong"},{"family":"Zhang","given":"Renquan"},{"family":"Shao","given":"Jinchen"},{"family":"Zhang","given":"Ming"},{"family":"Li","given":"Chunguang"},{"family":"Li","given":"Zhigang"}],"issued":{"date-parts":[["2024",3]]}}},{"id":1400,"uris":["http://zotero.org/users/15831584/items/HQUNALSL"],"itemData":{"id":1400,"type":"article-journal","abstract":"Background\nThe efficacy and safety of tislelizumab combined with chemotherapy as neoadjuvant therapy have been presented and evaluated in previously published TD-NICE study. However, the long-term impacts of patients who received tislelizumab plus chemotherapy followed by surgery were not observed in the study.\n\nMethods\nFrom September 2020 to March 2021, a total of 45 patients were enrolled in the TD-NICE trial. The 4 -year follow-up data of the TD-NICE ITT population were collected by investigators. The primary endpoint was OS, and the secondary endpoint was EFS. Kaplan-Meier method and cox proportional hazards model were used to proceed statistical analysis.\n\nResults\nThe median OS and EFS were not reached in all patients. The OS was 82.2% (95%CI:67.6–90.7) at 12 months, 73.3%(95%CI:57.8–83.9) at 24 months, 66.7%(95%CI:50.9–78.4) at 36 months and simulated 66.2% (95%CI:46.5–74.6) at 48 months. There were statistically significant differences between surgery and non-surgery patients(P = 0.046). And patients with R0 resection had a higher improvement in OS than those with R1&amp;R2 resection (P = 0.041). The differences in EFS in surgery and non-surgery group (P = 0.046) as well as in R0 resection and R1&amp;R2 resection group (P = 0.045) were significant, respectively.\n\nDiscussion\nOur study identified that chemoimmunotherapy plus surgery could improve overall survival in resectable ESCC, and patients had significant benefits from surgery and R0 tumor resection.\n\nTrial registration\nTD-NICE study was registered in the August 28, 2020, and the registration number was ChiCTR2000037488 (Chinese Clinical Trial Registry (ChiCTR) identifier).","container-title":"BMC Cancer","DOI":"10.1186/s12885-025-14686-9","ISSN":"1471-2407","journalAbbreviation":"BMC Cancer","language":"en","note":"5年影响因子: 3.7\nJCR分区: Q2\nTLDR: This study identified that chemoimmunotherapy plus surgery could improve overall survival in resectable ESCC, and patients had significant benefits from surgery and R0 tumor resection.\n中科院分区升级版: 医学3区\n南农高质量: B\n影响因子: 3.4","page":"1328","PMID":"40826031","PMCID":"PMC12359864","source":"PubMed Central","title":"Four-year follow-up from the phase 2 study TD-NICE: neoadjuvant treatment of tislelizumab combined with chemotherapy in resectable esophageal squamous cell carcinoma","title-short":"Four-year follow-up from the phase 2 study TD-NICE","volume":"25","author":[{"family":"Mao","given":"Yajie"},{"family":"Gao","given":"Zhiyuan"},{"family":"Sun","given":"Yichen"},{"family":"Shao","given":"Changjian"},{"family":"Duan","given":"Hongtao"},{"family":"Yan","given":"Xiaolong"}],"issued":{"date-parts":[["2025",8,18]]}}}],"schema":"https://github.com/citation-style-language/schema/raw/master/csl-citation.json"} </w:instrText>
      </w:r>
      <w:r>
        <w:rPr>
          <w:rFonts w:hint="eastAsia" w:ascii="Times New Roman" w:hAnsi="Times New Roman"/>
          <w:color w:val="FF0000"/>
          <w:sz w:val="21"/>
          <w:szCs w:val="21"/>
          <w:lang w:val="en-US" w:eastAsia="zh-CN"/>
        </w:rPr>
        <w:fldChar w:fldCharType="separate"/>
      </w:r>
      <w:r>
        <w:rPr>
          <w:rFonts w:hint="default" w:ascii="Times New Roman" w:hAnsi="Times New Roman" w:cs="Times New Roman"/>
          <w:color w:val="FF0000"/>
          <w:sz w:val="21"/>
          <w:szCs w:val="24"/>
          <w:vertAlign w:val="superscript"/>
        </w:rPr>
        <w:t>[41,42]</w:t>
      </w:r>
      <w:r>
        <w:rPr>
          <w:rFonts w:hint="eastAsia" w:ascii="Times New Roman" w:hAnsi="Times New Roman"/>
          <w:color w:val="FF0000"/>
          <w:sz w:val="21"/>
          <w:szCs w:val="21"/>
          <w:lang w:val="en-US" w:eastAsia="zh-CN"/>
        </w:rPr>
        <w:fldChar w:fldCharType="end"/>
      </w:r>
      <w:r>
        <w:rPr>
          <w:rFonts w:hint="eastAsia" w:ascii="Times New Roman" w:hAnsi="Times New Roman"/>
          <w:color w:val="FF0000"/>
          <w:sz w:val="21"/>
          <w:szCs w:val="21"/>
          <w:lang w:val="en-US" w:eastAsia="zh-CN"/>
        </w:rPr>
        <w:t>。这种差异提示，病理缓解指标作为长期生存替代终点的可靠性仍存在争议，NICT研究需更多长期生存数据来明确有效的疗效评估体系。</w:t>
      </w:r>
      <w:r>
        <w:rPr>
          <w:rFonts w:hint="eastAsia" w:ascii="Times New Roman" w:hAnsi="Times New Roman"/>
          <w:sz w:val="21"/>
          <w:szCs w:val="21"/>
          <w:lang w:val="en-US" w:eastAsia="zh-CN"/>
        </w:rPr>
        <w:t>上述研究结果的差异可能主要源于方法学因素。单臂研究缺乏对照、样本量较小，易受选择偏倚影响，结果稳定性不足。不同对照研究在对照组设置、随机化方式和纳入人群等方面存在异质性，且化疗药物种类和剂量强度不尽相同，限制了pCR或MPR等短期终点的跨研究比较。</w:t>
      </w:r>
    </w:p>
    <w:p w14:paraId="08ACDBEE">
      <w:pPr>
        <w:pStyle w:val="6"/>
        <w:jc w:val="center"/>
        <w:rPr>
          <w:rFonts w:hint="default" w:ascii="Times New Roman" w:hAnsi="Times New Roman" w:eastAsia="宋体"/>
          <w:b w:val="0"/>
          <w:bCs w:val="0"/>
          <w:lang w:val="en-US" w:eastAsia="zh-CN"/>
        </w:rPr>
      </w:pPr>
      <w:r>
        <w:rPr>
          <w:rFonts w:ascii="Times New Roman" w:hAnsi="Times New Roman"/>
          <w:b w:val="0"/>
          <w:bCs w:val="0"/>
        </w:rPr>
        <w:t>表</w:t>
      </w:r>
      <w:r>
        <w:rPr>
          <w:rFonts w:ascii="Times New Roman" w:hAnsi="Times New Roman"/>
          <w:b w:val="0"/>
          <w:bCs w:val="0"/>
        </w:rPr>
        <w:fldChar w:fldCharType="begin"/>
      </w:r>
      <w:r>
        <w:rPr>
          <w:rFonts w:ascii="Times New Roman" w:hAnsi="Times New Roman"/>
          <w:b w:val="0"/>
          <w:bCs w:val="0"/>
        </w:rPr>
        <w:instrText xml:space="preserve"> SEQ 表 \* ARABIC </w:instrText>
      </w:r>
      <w:r>
        <w:rPr>
          <w:rFonts w:ascii="Times New Roman" w:hAnsi="Times New Roman"/>
          <w:b w:val="0"/>
          <w:bCs w:val="0"/>
        </w:rPr>
        <w:fldChar w:fldCharType="separate"/>
      </w:r>
      <w:r>
        <w:rPr>
          <w:rFonts w:ascii="Times New Roman" w:hAnsi="Times New Roman"/>
          <w:b w:val="0"/>
          <w:bCs w:val="0"/>
        </w:rPr>
        <w:t>1</w:t>
      </w:r>
      <w:r>
        <w:rPr>
          <w:rFonts w:ascii="Times New Roman" w:hAnsi="Times New Roman"/>
          <w:b w:val="0"/>
          <w:bCs w:val="0"/>
        </w:rPr>
        <w:fldChar w:fldCharType="end"/>
      </w:r>
      <w:r>
        <w:rPr>
          <w:rFonts w:hint="eastAsia" w:ascii="Times New Roman" w:hAnsi="Times New Roman"/>
          <w:b w:val="0"/>
          <w:bCs w:val="0"/>
          <w:lang w:val="en-US" w:eastAsia="zh-CN"/>
        </w:rPr>
        <w:t xml:space="preserve"> </w:t>
      </w:r>
      <w:r>
        <w:rPr>
          <w:rFonts w:hint="eastAsia" w:ascii="Times New Roman" w:hAnsi="Times New Roman"/>
          <w:b w:val="0"/>
          <w:bCs w:val="0"/>
          <w:lang w:eastAsia="zh-CN"/>
        </w:rPr>
        <w:t>部分食管癌新辅助免疫联合化疗临床研究</w:t>
      </w:r>
    </w:p>
    <w:tbl>
      <w:tblPr>
        <w:tblStyle w:val="8"/>
        <w:tblW w:w="12102" w:type="dxa"/>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162"/>
        <w:gridCol w:w="580"/>
        <w:gridCol w:w="650"/>
        <w:gridCol w:w="675"/>
        <w:gridCol w:w="1644"/>
        <w:gridCol w:w="662"/>
        <w:gridCol w:w="1238"/>
        <w:gridCol w:w="737"/>
        <w:gridCol w:w="519"/>
        <w:gridCol w:w="725"/>
        <w:gridCol w:w="611"/>
        <w:gridCol w:w="660"/>
        <w:gridCol w:w="624"/>
        <w:gridCol w:w="869"/>
        <w:gridCol w:w="746"/>
      </w:tblGrid>
      <w:tr w14:paraId="3E45EEB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1162" w:type="dxa"/>
            <w:tcBorders>
              <w:bottom w:val="single" w:color="auto" w:sz="8" w:space="0"/>
            </w:tcBorders>
            <w:vAlign w:val="center"/>
          </w:tcPr>
          <w:p w14:paraId="5CA72A5D">
            <w:pPr>
              <w:snapToGrid w:val="0"/>
              <w:spacing w:beforeLines="0" w:afterLines="0"/>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研究</w:t>
            </w:r>
          </w:p>
        </w:tc>
        <w:tc>
          <w:tcPr>
            <w:tcW w:w="580" w:type="dxa"/>
            <w:tcBorders>
              <w:bottom w:val="single" w:color="auto" w:sz="8" w:space="0"/>
            </w:tcBorders>
            <w:vAlign w:val="center"/>
          </w:tcPr>
          <w:p w14:paraId="64654F93">
            <w:pPr>
              <w:snapToGrid w:val="0"/>
              <w:spacing w:beforeLines="0" w:afterLines="0"/>
              <w:jc w:val="center"/>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研究阶段</w:t>
            </w:r>
          </w:p>
        </w:tc>
        <w:tc>
          <w:tcPr>
            <w:tcW w:w="650" w:type="dxa"/>
            <w:tcBorders>
              <w:bottom w:val="single" w:color="auto" w:sz="8" w:space="0"/>
            </w:tcBorders>
            <w:vAlign w:val="center"/>
          </w:tcPr>
          <w:p w14:paraId="00AEF0B7">
            <w:pPr>
              <w:snapToGrid w:val="0"/>
              <w:spacing w:beforeLines="0" w:afterLines="0"/>
              <w:jc w:val="center"/>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研究类型</w:t>
            </w:r>
          </w:p>
        </w:tc>
        <w:tc>
          <w:tcPr>
            <w:tcW w:w="675" w:type="dxa"/>
            <w:tcBorders>
              <w:bottom w:val="single" w:color="auto" w:sz="8" w:space="0"/>
            </w:tcBorders>
            <w:vAlign w:val="center"/>
          </w:tcPr>
          <w:p w14:paraId="1F2C690F">
            <w:pPr>
              <w:snapToGrid w:val="0"/>
              <w:spacing w:beforeLines="0" w:afterLines="0"/>
              <w:jc w:val="center"/>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病理类型</w:t>
            </w:r>
          </w:p>
        </w:tc>
        <w:tc>
          <w:tcPr>
            <w:tcW w:w="1644" w:type="dxa"/>
            <w:tcBorders>
              <w:bottom w:val="single" w:color="auto" w:sz="8" w:space="0"/>
            </w:tcBorders>
            <w:vAlign w:val="center"/>
          </w:tcPr>
          <w:p w14:paraId="20E7A9A2">
            <w:pPr>
              <w:snapToGrid w:val="0"/>
              <w:spacing w:beforeLines="0" w:afterLines="0"/>
              <w:jc w:val="center"/>
              <w:rPr>
                <w:rFonts w:hint="default" w:ascii="Times New Roman" w:hAnsi="Times New Roman"/>
                <w:sz w:val="16"/>
                <w:szCs w:val="16"/>
              </w:rPr>
            </w:pPr>
            <w:r>
              <w:rPr>
                <w:rFonts w:hint="default" w:ascii="Times New Roman" w:hAnsi="Times New Roman"/>
                <w:sz w:val="16"/>
                <w:szCs w:val="16"/>
              </w:rPr>
              <w:t>纳入分期范围</w:t>
            </w:r>
          </w:p>
          <w:p w14:paraId="7615C719">
            <w:pPr>
              <w:snapToGrid w:val="0"/>
              <w:spacing w:beforeLines="0" w:afterLines="0"/>
              <w:jc w:val="center"/>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（cTNM）</w:t>
            </w:r>
          </w:p>
        </w:tc>
        <w:tc>
          <w:tcPr>
            <w:tcW w:w="662" w:type="dxa"/>
            <w:tcBorders>
              <w:bottom w:val="single" w:color="auto" w:sz="8" w:space="0"/>
            </w:tcBorders>
            <w:vAlign w:val="center"/>
          </w:tcPr>
          <w:p w14:paraId="54ABE9F9">
            <w:pPr>
              <w:snapToGrid w:val="0"/>
              <w:spacing w:beforeLines="0" w:afterLines="0"/>
              <w:jc w:val="center"/>
              <w:rPr>
                <w:rFonts w:hint="default" w:ascii="Times New Roman" w:hAnsi="Times New Roman"/>
                <w:sz w:val="18"/>
                <w:szCs w:val="18"/>
              </w:rPr>
            </w:pPr>
            <w:r>
              <w:rPr>
                <w:rFonts w:hint="eastAsia" w:ascii="Times New Roman" w:hAnsi="Times New Roman"/>
                <w:sz w:val="16"/>
                <w:szCs w:val="16"/>
                <w:lang w:val="en-US" w:eastAsia="zh-CN"/>
              </w:rPr>
              <w:t>总</w:t>
            </w:r>
            <w:r>
              <w:rPr>
                <w:rFonts w:hint="default" w:ascii="Times New Roman" w:hAnsi="Times New Roman"/>
                <w:sz w:val="16"/>
                <w:szCs w:val="16"/>
              </w:rPr>
              <w:t>样本量</w:t>
            </w:r>
          </w:p>
          <w:p w14:paraId="5E496407">
            <w:pPr>
              <w:snapToGrid w:val="0"/>
              <w:spacing w:beforeLines="0" w:afterLines="0"/>
              <w:jc w:val="center"/>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（例）</w:t>
            </w:r>
          </w:p>
        </w:tc>
        <w:tc>
          <w:tcPr>
            <w:tcW w:w="1238" w:type="dxa"/>
            <w:tcBorders>
              <w:bottom w:val="single" w:color="auto" w:sz="8" w:space="0"/>
            </w:tcBorders>
            <w:vAlign w:val="center"/>
          </w:tcPr>
          <w:p w14:paraId="279AD0BE">
            <w:pPr>
              <w:snapToGrid w:val="0"/>
              <w:spacing w:beforeLines="0" w:afterLines="0"/>
              <w:jc w:val="center"/>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免疫药物</w:t>
            </w:r>
          </w:p>
        </w:tc>
        <w:tc>
          <w:tcPr>
            <w:tcW w:w="737" w:type="dxa"/>
            <w:tcBorders>
              <w:bottom w:val="single" w:color="auto" w:sz="8" w:space="0"/>
            </w:tcBorders>
            <w:vAlign w:val="center"/>
          </w:tcPr>
          <w:p w14:paraId="41349B3B">
            <w:pPr>
              <w:snapToGrid w:val="0"/>
              <w:spacing w:beforeLines="0" w:afterLines="0"/>
              <w:jc w:val="center"/>
              <w:rPr>
                <w:rFonts w:hint="default" w:ascii="Times New Roman" w:hAnsi="Times New Roman"/>
                <w:sz w:val="16"/>
                <w:szCs w:val="16"/>
              </w:rPr>
            </w:pPr>
            <w:r>
              <w:rPr>
                <w:rFonts w:hint="default" w:ascii="Times New Roman" w:hAnsi="Times New Roman"/>
                <w:sz w:val="16"/>
                <w:szCs w:val="16"/>
              </w:rPr>
              <w:t>化疗</w:t>
            </w:r>
          </w:p>
          <w:p w14:paraId="106D25A6">
            <w:pPr>
              <w:snapToGrid w:val="0"/>
              <w:spacing w:beforeLines="0" w:afterLines="0"/>
              <w:jc w:val="center"/>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药物</w:t>
            </w:r>
          </w:p>
        </w:tc>
        <w:tc>
          <w:tcPr>
            <w:tcW w:w="519" w:type="dxa"/>
            <w:tcBorders>
              <w:bottom w:val="single" w:color="auto" w:sz="8" w:space="0"/>
            </w:tcBorders>
            <w:vAlign w:val="center"/>
          </w:tcPr>
          <w:p w14:paraId="05C55651">
            <w:pPr>
              <w:snapToGrid w:val="0"/>
              <w:spacing w:beforeLines="0" w:afterLines="0"/>
              <w:jc w:val="center"/>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新辅助周期数</w:t>
            </w:r>
          </w:p>
        </w:tc>
        <w:tc>
          <w:tcPr>
            <w:tcW w:w="725" w:type="dxa"/>
            <w:tcBorders>
              <w:bottom w:val="single" w:color="auto" w:sz="8" w:space="0"/>
            </w:tcBorders>
            <w:vAlign w:val="center"/>
          </w:tcPr>
          <w:p w14:paraId="0155594A">
            <w:pPr>
              <w:snapToGrid w:val="0"/>
              <w:spacing w:beforeLines="0" w:afterLines="0"/>
              <w:jc w:val="center"/>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新辅助结束至手术时间中位数</w:t>
            </w:r>
            <w:r>
              <w:rPr>
                <w:rFonts w:hint="eastAsia" w:ascii="Times New Roman" w:hAnsi="Times New Roman"/>
                <w:sz w:val="16"/>
                <w:szCs w:val="16"/>
                <w:lang w:val="en-US" w:eastAsia="zh-CN"/>
              </w:rPr>
              <w:t>或范围</w:t>
            </w:r>
            <w:r>
              <w:rPr>
                <w:rFonts w:hint="default" w:ascii="Times New Roman" w:hAnsi="Times New Roman"/>
                <w:sz w:val="16"/>
                <w:szCs w:val="16"/>
              </w:rPr>
              <w:t>（周）</w:t>
            </w:r>
          </w:p>
        </w:tc>
        <w:tc>
          <w:tcPr>
            <w:tcW w:w="611" w:type="dxa"/>
            <w:tcBorders>
              <w:bottom w:val="single" w:color="auto" w:sz="8" w:space="0"/>
            </w:tcBorders>
            <w:vAlign w:val="center"/>
          </w:tcPr>
          <w:p w14:paraId="73360F98">
            <w:pPr>
              <w:snapToGrid w:val="0"/>
              <w:spacing w:beforeLines="0" w:afterLines="0"/>
              <w:jc w:val="center"/>
              <w:rPr>
                <w:rFonts w:hint="default" w:ascii="Times New Roman" w:hAnsi="Times New Roman" w:eastAsiaTheme="minorEastAsia"/>
                <w:sz w:val="16"/>
                <w:szCs w:val="16"/>
                <w:lang w:val="en-US" w:eastAsia="zh-CN"/>
              </w:rPr>
            </w:pPr>
            <w:r>
              <w:rPr>
                <w:rFonts w:hint="eastAsia" w:ascii="Times New Roman" w:hAnsi="Times New Roman"/>
                <w:sz w:val="16"/>
                <w:szCs w:val="16"/>
                <w:lang w:val="en-US" w:eastAsia="zh-CN"/>
              </w:rPr>
              <w:t>完成手术率（%）</w:t>
            </w:r>
          </w:p>
        </w:tc>
        <w:tc>
          <w:tcPr>
            <w:tcW w:w="660" w:type="dxa"/>
            <w:tcBorders>
              <w:bottom w:val="single" w:color="auto" w:sz="8" w:space="0"/>
            </w:tcBorders>
            <w:vAlign w:val="center"/>
          </w:tcPr>
          <w:p w14:paraId="1698C753">
            <w:pPr>
              <w:snapToGrid w:val="0"/>
              <w:spacing w:beforeLines="0" w:afterLines="0"/>
              <w:jc w:val="center"/>
              <w:rPr>
                <w:rFonts w:hint="default" w:ascii="Times New Roman" w:hAnsi="Times New Roman"/>
                <w:sz w:val="16"/>
                <w:szCs w:val="16"/>
              </w:rPr>
            </w:pPr>
            <w:r>
              <w:rPr>
                <w:rFonts w:hint="eastAsia" w:ascii="Times New Roman" w:hAnsi="Times New Roman"/>
                <w:sz w:val="16"/>
                <w:szCs w:val="16"/>
                <w:lang w:val="en-US" w:eastAsia="zh-CN"/>
              </w:rPr>
              <w:t>手术组</w:t>
            </w:r>
            <w:r>
              <w:rPr>
                <w:rFonts w:hint="default" w:ascii="Times New Roman" w:hAnsi="Times New Roman"/>
                <w:sz w:val="16"/>
                <w:szCs w:val="16"/>
              </w:rPr>
              <w:t>pCR率</w:t>
            </w:r>
          </w:p>
          <w:p w14:paraId="3E670A9C">
            <w:pPr>
              <w:snapToGrid w:val="0"/>
              <w:spacing w:beforeLines="0" w:afterLines="0"/>
              <w:jc w:val="center"/>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w:t>
            </w:r>
          </w:p>
        </w:tc>
        <w:tc>
          <w:tcPr>
            <w:tcW w:w="624" w:type="dxa"/>
            <w:tcBorders>
              <w:bottom w:val="single" w:color="auto" w:sz="8" w:space="0"/>
            </w:tcBorders>
            <w:vAlign w:val="center"/>
          </w:tcPr>
          <w:p w14:paraId="63C5E6D7">
            <w:pPr>
              <w:snapToGrid w:val="0"/>
              <w:spacing w:beforeLines="0" w:afterLines="0"/>
              <w:jc w:val="center"/>
              <w:rPr>
                <w:rFonts w:hint="default" w:ascii="Times New Roman" w:hAnsi="Times New Roman"/>
                <w:sz w:val="16"/>
                <w:szCs w:val="16"/>
              </w:rPr>
            </w:pPr>
            <w:r>
              <w:rPr>
                <w:rFonts w:hint="eastAsia" w:ascii="Times New Roman" w:hAnsi="Times New Roman"/>
                <w:sz w:val="16"/>
                <w:szCs w:val="16"/>
                <w:lang w:val="en-US" w:eastAsia="zh-CN"/>
              </w:rPr>
              <w:t>手术组</w:t>
            </w:r>
            <w:r>
              <w:rPr>
                <w:rFonts w:hint="default" w:ascii="Times New Roman" w:hAnsi="Times New Roman"/>
                <w:sz w:val="16"/>
                <w:szCs w:val="16"/>
              </w:rPr>
              <w:t>MPR率</w:t>
            </w:r>
          </w:p>
          <w:p w14:paraId="7F3B3EC5">
            <w:pPr>
              <w:snapToGrid w:val="0"/>
              <w:spacing w:beforeLines="0" w:afterLines="0"/>
              <w:jc w:val="center"/>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w:t>
            </w:r>
          </w:p>
        </w:tc>
        <w:tc>
          <w:tcPr>
            <w:tcW w:w="869" w:type="dxa"/>
            <w:tcBorders>
              <w:bottom w:val="single" w:color="auto" w:sz="8" w:space="0"/>
            </w:tcBorders>
            <w:vAlign w:val="center"/>
          </w:tcPr>
          <w:p w14:paraId="4654FF18">
            <w:pPr>
              <w:snapToGrid w:val="0"/>
              <w:spacing w:beforeLines="0" w:afterLines="0"/>
              <w:jc w:val="center"/>
              <w:rPr>
                <w:rFonts w:hint="default" w:ascii="Times New Roman" w:hAnsi="Times New Roman"/>
                <w:sz w:val="16"/>
                <w:szCs w:val="16"/>
              </w:rPr>
            </w:pPr>
            <w:r>
              <w:rPr>
                <w:rFonts w:hint="default" w:ascii="Times New Roman" w:hAnsi="Times New Roman"/>
                <w:sz w:val="16"/>
                <w:szCs w:val="16"/>
              </w:rPr>
              <w:t>R0切除率</w:t>
            </w:r>
          </w:p>
          <w:p w14:paraId="435D9ECB">
            <w:pPr>
              <w:snapToGrid w:val="0"/>
              <w:spacing w:beforeLines="0" w:afterLines="0"/>
              <w:jc w:val="center"/>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w:t>
            </w:r>
          </w:p>
        </w:tc>
        <w:tc>
          <w:tcPr>
            <w:tcW w:w="746" w:type="dxa"/>
            <w:tcBorders>
              <w:bottom w:val="single" w:color="auto" w:sz="8" w:space="0"/>
            </w:tcBorders>
            <w:vAlign w:val="center"/>
          </w:tcPr>
          <w:p w14:paraId="496EECBC">
            <w:pPr>
              <w:snapToGrid w:val="0"/>
              <w:spacing w:beforeLines="0" w:afterLines="0"/>
              <w:jc w:val="center"/>
              <w:rPr>
                <w:rFonts w:hint="default" w:ascii="Times New Roman" w:hAnsi="Times New Roman"/>
                <w:sz w:val="16"/>
                <w:szCs w:val="16"/>
              </w:rPr>
            </w:pPr>
            <w:r>
              <w:rPr>
                <w:rFonts w:hint="default" w:ascii="Times New Roman" w:hAnsi="Times New Roman"/>
                <w:sz w:val="16"/>
                <w:szCs w:val="16"/>
              </w:rPr>
              <w:t>≥3级</w:t>
            </w:r>
            <w:r>
              <w:rPr>
                <w:rFonts w:hint="eastAsia" w:ascii="Times New Roman" w:hAnsi="Times New Roman"/>
                <w:sz w:val="16"/>
                <w:szCs w:val="16"/>
                <w:lang w:val="en-US" w:eastAsia="zh-CN"/>
              </w:rPr>
              <w:t>TR</w:t>
            </w:r>
            <w:r>
              <w:rPr>
                <w:rFonts w:hint="default" w:ascii="Times New Roman" w:hAnsi="Times New Roman"/>
                <w:sz w:val="16"/>
                <w:szCs w:val="16"/>
              </w:rPr>
              <w:t>AEs</w:t>
            </w:r>
          </w:p>
          <w:p w14:paraId="14DC7331">
            <w:pPr>
              <w:snapToGrid w:val="0"/>
              <w:spacing w:beforeLines="0" w:afterLines="0"/>
              <w:jc w:val="center"/>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w:t>
            </w:r>
          </w:p>
        </w:tc>
      </w:tr>
      <w:tr w14:paraId="0988A5F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62" w:type="dxa"/>
            <w:vMerge w:val="restart"/>
            <w:tcBorders>
              <w:tl2br w:val="nil"/>
              <w:tr2bl w:val="nil"/>
            </w:tcBorders>
            <w:vAlign w:val="center"/>
          </w:tcPr>
          <w:p w14:paraId="16D6284E">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default" w:ascii="Times New Roman" w:hAnsi="Times New Roman"/>
                <w:b w:val="0"/>
                <w:bCs w:val="0"/>
                <w:sz w:val="16"/>
                <w:szCs w:val="16"/>
                <w:vertAlign w:val="baseline"/>
                <w:lang w:val="en-US" w:eastAsia="zh-CN"/>
              </w:rPr>
            </w:pPr>
          </w:p>
          <w:p w14:paraId="12F354DE">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ESCORT-NEO/NCCES01</w:t>
            </w:r>
            <w:r>
              <w:rPr>
                <w:rFonts w:hint="default" w:ascii="Times New Roman" w:hAnsi="Times New Roman"/>
                <w:b w:val="0"/>
                <w:bCs w:val="0"/>
                <w:sz w:val="16"/>
                <w:szCs w:val="16"/>
                <w:vertAlign w:val="baseline"/>
                <w:lang w:val="en-US" w:eastAsia="zh-CN"/>
              </w:rPr>
              <w:fldChar w:fldCharType="begin"/>
            </w:r>
            <w:r>
              <w:rPr>
                <w:rFonts w:hint="eastAsia" w:ascii="Times New Roman" w:hAnsi="Times New Roman"/>
                <w:b w:val="0"/>
                <w:bCs w:val="0"/>
                <w:sz w:val="16"/>
                <w:szCs w:val="16"/>
                <w:vertAlign w:val="baseline"/>
                <w:lang w:val="en-US" w:eastAsia="zh-CN"/>
              </w:rPr>
              <w:instrText xml:space="preserve"> ADDIN ZOTERO_ITEM CSL_CITATION {"citationID":"RSJpRuBH","properties":{"formattedCitation":"\\super [6]\\nosupersub{}","plainCitation":"[6]","noteIndex":0},"citationItems":[{"id":1397,"uris":["http://zotero.org/users/15831584/items/W7LXGNZJ"],"itemData":{"id":1397,"type":"article-journal","abstract":"Recent single-arm studies involving neoadjuvant camrelizumab, a PD-1 inhibitor, plus chemotherapy for resectable locally advanced esophageal squamous cell carcinoma (LA-ESCC) have shown promising results. This multicenter, randomized, open-label phase 3 trial aimed to further assess the efficacy and safety of neoadjuvant camrelizumab plus chemotherapy followed by adjuvant camrelizumab, compared to neoadjuvant chemotherapy alone. A total of 391 patients with resectable thoracic LA-ESCC (T1b-3N1-3M0 or T3N0M0) were stratified by clinical stage (I/II, III or IVA) and randomized in a 1:1:1 ratio to undergo two cycles of neoadjuvant therapy. Treatments included camrelizumab, albumin-bound paclitaxel and cisplatin (Cam+nab-TP group; n = 132); camrelizumab, paclitaxel and cisplatin (Cam+TP group; n = 130); and paclitaxel with cisplatin (TP group; n = 129), followed by surgical resection. Both the Cam+nab-TP and Cam+TP groups also received adjuvant camrelizumab. The dual primary endpoints were the rate of pathological complete response (pCR), as evaluated by a blind independent review committee, and event-free survival (EFS), as assessed by investigators. This study reports the final analysis of pCR rates. In the intention-to-treat population, the Cam+nab-TP and Cam+TP groups exhibited significantly higher pCR rates of 28.0% and 15.4%, respectively, compared to 4.7% in the TP group (Cam+nab-TP versus TP: difference 23.5%, 95% confidence interval (CI) 15.1-32.0, P &lt; 0.0001; Cam+TP versus TP: difference 10.9%, 95% CI 3.7-18.1, P = 0.0034). The study met its primary endpoint of pCR; however, EFS is not yet mature. The incidence of grade ≥3 treatment-related adverse events during neoadjuvant treatment was 34.1% for the Cam+nab-TP group, 29.2% for the Cam+TP group and 28.8% for the TP group; the postoperative complication rates were 34.2%, 38.8% and 32.0%, respectively. Neoadjuvant camrelizumab plus chemotherapy demonstrated superior pCR rates compared to chemotherapy alone for LA-ESCC, with a tolerable safety profile. Chinese Clinical Trial Registry identifier: ChiCTR2000040034 .","container-title":"Nature Medicine","DOI":"10.1038/s41591-024-03064-w","ISSN":"1546-170X","issue":"9","journalAbbreviation":"Nat. Med.","language":"en","note":"5年影响因子: 52.4\nJCR分区: Q1\nTLDR: The study met its primary endpoint of pCR; however, EFS is not yet mature; however, Neoadjuvant camrelizumab plus chemotherapy demonstrated superior pCR rates compared to chemotherapy alone for LA-ESCC, with a tolerable safety profile.\n中科院分区升级版: 医学1区\n南农高质量: A\n影响因子: 50.0","page":"2549-2557","PMID":"38956195","PMCID":"PMC11405280","source":"PubMed","title":"Neoadjuvant chemotherapy with or without camrelizumab in resectable esophageal squamous cell carcinoma: the randomized phase 3 ESCORT-NEO/NCCES01 trial","title-short":"Neoadjuvant chemotherapy with or without camrelizumab in resectable esophageal squamous cell carcinoma","volume":"30","author":[{"family":"Qin","given":"Jianjun"},{"family":"Xue","given":"Liyan"},{"family":"Hao","given":"Anlin"},{"family":"Guo","given":"Xiaofeng"},{"family":"Jiang","given":"Tao"},{"family":"Ni","given":"Yunfeng"},{"family":"Liu","given":"Shuoyan"},{"family":"Chen","given":"Yujie"},{"family":"Jiang","given":"Hongjing"},{"family":"Zhang","given":"Chen"},{"family":"Kang","given":"Mingqiang"},{"family":"Lin","given":"Jihong"},{"family":"Li","given":"Hecheng"},{"family":"Li","given":"Chengqiang"},{"family":"Tian","given":"Hui"},{"family":"Li","given":"Lin"},{"family":"Fu","given":"Junke"},{"family":"Zhang","given":"Yong"},{"family":"Ma","given":"Jianqun"},{"family":"Wang","given":"Xiaoyuan"},{"family":"Fu","given":"Maoyong"},{"family":"Yang","given":"Hao"},{"family":"Yang","given":"Zhaoyang"},{"family":"Han","given":"Yongtao"},{"family":"Chen","given":"Longqi"},{"family":"Tan","given":"Lijie"},{"family":"Dai","given":"Tianyang"},{"family":"Liao","given":"Yongde"},{"family":"Zhang","given":"Weiguo"},{"family":"Li","given":"Bin"},{"family":"Chen","given":"Qixun"},{"family":"Guo","given":"Shiping"},{"family":"Qi","given":"Yu"},{"family":"Wei","given":"Li"},{"family":"Li","given":"Zhigang"},{"family":"Tian","given":"Ziqiang"},{"family":"Kang","given":"Xiaozheng"},{"family":"Zhang","given":"Ruixiang"},{"family":"Li","given":"Yong"},{"family":"Wang","given":"Zhen"},{"family":"Chen","given":"Xiankai"},{"family":"Hou","given":"Zhiguo"},{"family":"Zheng","given":"Rongrong"},{"family":"Zhu","given":"Wenqing"},{"family":"He","given":"Jie"},{"family":"Li","given":"Yin"}],"issued":{"date-parts":[["2024",9]]}}}],"schema":"https://github.com/citation-style-language/schema/raw/master/csl-citation.json"} </w:instrText>
            </w:r>
            <w:r>
              <w:rPr>
                <w:rFonts w:hint="default" w:ascii="Times New Roman" w:hAnsi="Times New Roman"/>
                <w:b w:val="0"/>
                <w:bCs w:val="0"/>
                <w:sz w:val="16"/>
                <w:szCs w:val="16"/>
                <w:vertAlign w:val="baseline"/>
                <w:lang w:val="en-US" w:eastAsia="zh-CN"/>
              </w:rPr>
              <w:fldChar w:fldCharType="separate"/>
            </w:r>
            <w:r>
              <w:rPr>
                <w:rFonts w:hint="default" w:ascii="Times New Roman" w:hAnsi="Times New Roman" w:cs="Times New Roman"/>
                <w:sz w:val="16"/>
                <w:szCs w:val="24"/>
                <w:vertAlign w:val="superscript"/>
              </w:rPr>
              <w:t>[6]</w:t>
            </w:r>
            <w:r>
              <w:rPr>
                <w:rFonts w:hint="default" w:ascii="Times New Roman" w:hAnsi="Times New Roman"/>
                <w:b w:val="0"/>
                <w:bCs w:val="0"/>
                <w:sz w:val="16"/>
                <w:szCs w:val="16"/>
                <w:vertAlign w:val="baseline"/>
                <w:lang w:val="en-US" w:eastAsia="zh-CN"/>
              </w:rPr>
              <w:fldChar w:fldCharType="end"/>
            </w:r>
          </w:p>
        </w:tc>
        <w:tc>
          <w:tcPr>
            <w:tcW w:w="580" w:type="dxa"/>
            <w:vMerge w:val="restart"/>
            <w:tcBorders>
              <w:tl2br w:val="nil"/>
              <w:tr2bl w:val="nil"/>
            </w:tcBorders>
            <w:vAlign w:val="center"/>
          </w:tcPr>
          <w:p w14:paraId="5F324704">
            <w:pPr>
              <w:snapToGrid w:val="0"/>
              <w:spacing w:beforeLines="0" w:afterLines="0"/>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III期</w:t>
            </w:r>
          </w:p>
        </w:tc>
        <w:tc>
          <w:tcPr>
            <w:tcW w:w="650" w:type="dxa"/>
            <w:vMerge w:val="restart"/>
            <w:tcBorders>
              <w:tl2br w:val="nil"/>
              <w:tr2bl w:val="nil"/>
            </w:tcBorders>
            <w:vAlign w:val="center"/>
          </w:tcPr>
          <w:p w14:paraId="1909E050">
            <w:pPr>
              <w:snapToGrid w:val="0"/>
              <w:spacing w:beforeLines="0" w:afterLines="0"/>
              <w:jc w:val="center"/>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RCT</w:t>
            </w:r>
          </w:p>
        </w:tc>
        <w:tc>
          <w:tcPr>
            <w:tcW w:w="675" w:type="dxa"/>
            <w:vMerge w:val="restart"/>
            <w:tcBorders>
              <w:tl2br w:val="nil"/>
              <w:tr2bl w:val="nil"/>
            </w:tcBorders>
            <w:vAlign w:val="center"/>
          </w:tcPr>
          <w:p w14:paraId="224F6356">
            <w:pPr>
              <w:snapToGrid w:val="0"/>
              <w:spacing w:beforeLines="0" w:afterLines="0"/>
              <w:jc w:val="center"/>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ESCC</w:t>
            </w:r>
          </w:p>
        </w:tc>
        <w:tc>
          <w:tcPr>
            <w:tcW w:w="1644" w:type="dxa"/>
            <w:vMerge w:val="restart"/>
            <w:tcBorders>
              <w:tl2br w:val="nil"/>
              <w:tr2bl w:val="nil"/>
            </w:tcBorders>
            <w:vAlign w:val="center"/>
          </w:tcPr>
          <w:p w14:paraId="784D081C">
            <w:pPr>
              <w:snapToGrid w:val="0"/>
              <w:spacing w:beforeLines="0" w:afterLines="0"/>
              <w:jc w:val="center"/>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T1b-3N1-3M0 或T3N0M0</w:t>
            </w:r>
          </w:p>
        </w:tc>
        <w:tc>
          <w:tcPr>
            <w:tcW w:w="662" w:type="dxa"/>
            <w:tcBorders>
              <w:tl2br w:val="nil"/>
              <w:tr2bl w:val="nil"/>
            </w:tcBorders>
            <w:vAlign w:val="center"/>
          </w:tcPr>
          <w:p w14:paraId="1004F685">
            <w:pPr>
              <w:snapToGrid w:val="0"/>
              <w:spacing w:beforeLines="0" w:afterLines="0"/>
              <w:jc w:val="center"/>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132</w:t>
            </w:r>
          </w:p>
        </w:tc>
        <w:tc>
          <w:tcPr>
            <w:tcW w:w="1238" w:type="dxa"/>
            <w:tcBorders>
              <w:tl2br w:val="nil"/>
              <w:tr2bl w:val="nil"/>
            </w:tcBorders>
            <w:vAlign w:val="center"/>
          </w:tcPr>
          <w:p w14:paraId="4890F099">
            <w:pPr>
              <w:snapToGrid w:val="0"/>
              <w:spacing w:beforeLines="0" w:afterLines="0"/>
              <w:jc w:val="center"/>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卡瑞</w:t>
            </w:r>
            <w:r>
              <w:rPr>
                <w:rFonts w:hint="eastAsia" w:ascii="Times New Roman" w:hAnsi="Times New Roman"/>
                <w:sz w:val="16"/>
                <w:szCs w:val="16"/>
                <w:lang w:val="en-US" w:eastAsia="zh-CN"/>
              </w:rPr>
              <w:t>利</w:t>
            </w:r>
            <w:r>
              <w:rPr>
                <w:rFonts w:hint="default" w:ascii="Times New Roman" w:hAnsi="Times New Roman"/>
                <w:sz w:val="16"/>
                <w:szCs w:val="16"/>
              </w:rPr>
              <w:t>珠单抗</w:t>
            </w:r>
          </w:p>
        </w:tc>
        <w:tc>
          <w:tcPr>
            <w:tcW w:w="737" w:type="dxa"/>
            <w:tcBorders>
              <w:tl2br w:val="nil"/>
              <w:tr2bl w:val="nil"/>
            </w:tcBorders>
            <w:vAlign w:val="center"/>
          </w:tcPr>
          <w:p w14:paraId="0543385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nab-TP</w:t>
            </w:r>
          </w:p>
        </w:tc>
        <w:tc>
          <w:tcPr>
            <w:tcW w:w="519" w:type="dxa"/>
            <w:tcBorders>
              <w:tl2br w:val="nil"/>
              <w:tr2bl w:val="nil"/>
            </w:tcBorders>
            <w:vAlign w:val="center"/>
          </w:tcPr>
          <w:p w14:paraId="73B164FC">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2</w:t>
            </w:r>
          </w:p>
        </w:tc>
        <w:tc>
          <w:tcPr>
            <w:tcW w:w="725" w:type="dxa"/>
            <w:tcBorders>
              <w:tl2br w:val="nil"/>
              <w:tr2bl w:val="nil"/>
            </w:tcBorders>
            <w:vAlign w:val="center"/>
          </w:tcPr>
          <w:p w14:paraId="3516CBF6">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5.9</w:t>
            </w:r>
          </w:p>
        </w:tc>
        <w:tc>
          <w:tcPr>
            <w:tcW w:w="611" w:type="dxa"/>
            <w:tcBorders>
              <w:tl2br w:val="nil"/>
              <w:tr2bl w:val="nil"/>
            </w:tcBorders>
            <w:vAlign w:val="center"/>
          </w:tcPr>
          <w:p w14:paraId="2CD40211">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86.4</w:t>
            </w:r>
          </w:p>
        </w:tc>
        <w:tc>
          <w:tcPr>
            <w:tcW w:w="660" w:type="dxa"/>
            <w:tcBorders>
              <w:tl2br w:val="nil"/>
              <w:tr2bl w:val="nil"/>
            </w:tcBorders>
            <w:vAlign w:val="center"/>
          </w:tcPr>
          <w:p w14:paraId="0DDA06F1">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32</w:t>
            </w:r>
            <w:r>
              <w:rPr>
                <w:rFonts w:hint="default" w:ascii="Times New Roman" w:hAnsi="Times New Roman"/>
                <w:b w:val="0"/>
                <w:bCs w:val="0"/>
                <w:sz w:val="16"/>
                <w:szCs w:val="16"/>
                <w:vertAlign w:val="baseline"/>
                <w:lang w:val="en-US" w:eastAsia="zh-CN"/>
              </w:rPr>
              <w:t>.</w:t>
            </w:r>
            <w:r>
              <w:rPr>
                <w:rFonts w:hint="eastAsia" w:ascii="Times New Roman" w:hAnsi="Times New Roman"/>
                <w:b w:val="0"/>
                <w:bCs w:val="0"/>
                <w:sz w:val="16"/>
                <w:szCs w:val="16"/>
                <w:vertAlign w:val="baseline"/>
                <w:lang w:val="en-US" w:eastAsia="zh-CN"/>
              </w:rPr>
              <w:t>5</w:t>
            </w:r>
          </w:p>
        </w:tc>
        <w:tc>
          <w:tcPr>
            <w:tcW w:w="624" w:type="dxa"/>
            <w:tcBorders>
              <w:tl2br w:val="nil"/>
              <w:tr2bl w:val="nil"/>
            </w:tcBorders>
            <w:vAlign w:val="center"/>
          </w:tcPr>
          <w:p w14:paraId="1988B035">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68</w:t>
            </w:r>
            <w:r>
              <w:rPr>
                <w:rFonts w:hint="default" w:ascii="Times New Roman" w:hAnsi="Times New Roman"/>
                <w:b w:val="0"/>
                <w:bCs w:val="0"/>
                <w:sz w:val="16"/>
                <w:szCs w:val="16"/>
                <w:vertAlign w:val="baseline"/>
                <w:lang w:val="en-US" w:eastAsia="zh-CN"/>
              </w:rPr>
              <w:t>.</w:t>
            </w:r>
            <w:r>
              <w:rPr>
                <w:rFonts w:hint="eastAsia" w:ascii="Times New Roman" w:hAnsi="Times New Roman"/>
                <w:b w:val="0"/>
                <w:bCs w:val="0"/>
                <w:sz w:val="16"/>
                <w:szCs w:val="16"/>
                <w:vertAlign w:val="baseline"/>
                <w:lang w:val="en-US" w:eastAsia="zh-CN"/>
              </w:rPr>
              <w:t>4</w:t>
            </w:r>
          </w:p>
        </w:tc>
        <w:tc>
          <w:tcPr>
            <w:tcW w:w="869" w:type="dxa"/>
            <w:tcBorders>
              <w:tl2br w:val="nil"/>
              <w:tr2bl w:val="nil"/>
            </w:tcBorders>
            <w:vAlign w:val="center"/>
          </w:tcPr>
          <w:p w14:paraId="74F3C4F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99.1</w:t>
            </w:r>
          </w:p>
        </w:tc>
        <w:tc>
          <w:tcPr>
            <w:tcW w:w="746" w:type="dxa"/>
            <w:tcBorders>
              <w:tl2br w:val="nil"/>
              <w:tr2bl w:val="nil"/>
            </w:tcBorders>
            <w:vAlign w:val="center"/>
          </w:tcPr>
          <w:p w14:paraId="4117FAA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34.1</w:t>
            </w:r>
          </w:p>
        </w:tc>
      </w:tr>
      <w:tr w14:paraId="7E3E3F6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62" w:type="dxa"/>
            <w:vMerge w:val="continue"/>
            <w:tcBorders>
              <w:tl2br w:val="nil"/>
              <w:tr2bl w:val="nil"/>
            </w:tcBorders>
            <w:vAlign w:val="center"/>
          </w:tcPr>
          <w:p w14:paraId="4698F606">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rPr>
                <w:rFonts w:hint="default" w:ascii="Times New Roman" w:hAnsi="Times New Roman"/>
                <w:b w:val="0"/>
                <w:bCs w:val="0"/>
                <w:sz w:val="16"/>
                <w:szCs w:val="16"/>
                <w:vertAlign w:val="baseline"/>
                <w:lang w:val="en-US" w:eastAsia="zh-CN"/>
              </w:rPr>
            </w:pPr>
          </w:p>
        </w:tc>
        <w:tc>
          <w:tcPr>
            <w:tcW w:w="580" w:type="dxa"/>
            <w:vMerge w:val="continue"/>
            <w:tcBorders>
              <w:tl2br w:val="nil"/>
              <w:tr2bl w:val="nil"/>
            </w:tcBorders>
            <w:vAlign w:val="center"/>
          </w:tcPr>
          <w:p w14:paraId="454E89C1">
            <w:pPr>
              <w:snapToGrid w:val="0"/>
              <w:spacing w:beforeLines="0" w:afterLines="0"/>
              <w:jc w:val="center"/>
              <w:rPr>
                <w:rFonts w:hint="default" w:ascii="Times New Roman" w:hAnsi="Times New Roman"/>
                <w:b w:val="0"/>
                <w:bCs w:val="0"/>
                <w:sz w:val="16"/>
                <w:szCs w:val="16"/>
                <w:vertAlign w:val="baseline"/>
                <w:lang w:val="en-US" w:eastAsia="zh-CN"/>
              </w:rPr>
            </w:pPr>
          </w:p>
        </w:tc>
        <w:tc>
          <w:tcPr>
            <w:tcW w:w="650" w:type="dxa"/>
            <w:vMerge w:val="continue"/>
            <w:tcBorders>
              <w:tl2br w:val="nil"/>
              <w:tr2bl w:val="nil"/>
            </w:tcBorders>
            <w:vAlign w:val="center"/>
          </w:tcPr>
          <w:p w14:paraId="5A1EF541">
            <w:pPr>
              <w:snapToGrid w:val="0"/>
              <w:spacing w:beforeLines="0" w:afterLines="0"/>
              <w:jc w:val="center"/>
              <w:rPr>
                <w:rFonts w:hint="default" w:ascii="Times New Roman" w:hAnsi="Times New Roman"/>
                <w:b w:val="0"/>
                <w:bCs w:val="0"/>
                <w:sz w:val="16"/>
                <w:szCs w:val="16"/>
                <w:vertAlign w:val="baseline"/>
                <w:lang w:val="en-US" w:eastAsia="zh-CN"/>
              </w:rPr>
            </w:pPr>
          </w:p>
        </w:tc>
        <w:tc>
          <w:tcPr>
            <w:tcW w:w="675" w:type="dxa"/>
            <w:vMerge w:val="continue"/>
            <w:tcBorders>
              <w:tl2br w:val="nil"/>
              <w:tr2bl w:val="nil"/>
            </w:tcBorders>
            <w:vAlign w:val="center"/>
          </w:tcPr>
          <w:p w14:paraId="5EB442C7">
            <w:pPr>
              <w:snapToGrid w:val="0"/>
              <w:spacing w:beforeLines="0" w:afterLines="0"/>
              <w:jc w:val="center"/>
              <w:rPr>
                <w:rFonts w:hint="default" w:ascii="Times New Roman" w:hAnsi="Times New Roman"/>
                <w:b w:val="0"/>
                <w:bCs w:val="0"/>
                <w:sz w:val="16"/>
                <w:szCs w:val="16"/>
                <w:vertAlign w:val="baseline"/>
                <w:lang w:val="en-US" w:eastAsia="zh-CN"/>
              </w:rPr>
            </w:pPr>
          </w:p>
        </w:tc>
        <w:tc>
          <w:tcPr>
            <w:tcW w:w="1644" w:type="dxa"/>
            <w:vMerge w:val="continue"/>
            <w:tcBorders>
              <w:tl2br w:val="nil"/>
              <w:tr2bl w:val="nil"/>
            </w:tcBorders>
            <w:vAlign w:val="center"/>
          </w:tcPr>
          <w:p w14:paraId="5DE994AC">
            <w:pPr>
              <w:snapToGrid w:val="0"/>
              <w:spacing w:beforeLines="0" w:afterLines="0"/>
              <w:jc w:val="center"/>
              <w:rPr>
                <w:rFonts w:hint="default" w:ascii="Times New Roman" w:hAnsi="Times New Roman"/>
                <w:b w:val="0"/>
                <w:bCs w:val="0"/>
                <w:sz w:val="16"/>
                <w:szCs w:val="16"/>
                <w:vertAlign w:val="baseline"/>
                <w:lang w:val="en-US" w:eastAsia="zh-CN"/>
              </w:rPr>
            </w:pPr>
          </w:p>
        </w:tc>
        <w:tc>
          <w:tcPr>
            <w:tcW w:w="662" w:type="dxa"/>
            <w:tcBorders>
              <w:tl2br w:val="nil"/>
              <w:tr2bl w:val="nil"/>
            </w:tcBorders>
            <w:vAlign w:val="center"/>
          </w:tcPr>
          <w:p w14:paraId="4BA1C029">
            <w:pPr>
              <w:snapToGrid w:val="0"/>
              <w:spacing w:beforeLines="0" w:afterLines="0"/>
              <w:jc w:val="center"/>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130</w:t>
            </w:r>
          </w:p>
        </w:tc>
        <w:tc>
          <w:tcPr>
            <w:tcW w:w="1238" w:type="dxa"/>
            <w:tcBorders>
              <w:tl2br w:val="nil"/>
              <w:tr2bl w:val="nil"/>
            </w:tcBorders>
            <w:vAlign w:val="center"/>
          </w:tcPr>
          <w:p w14:paraId="065854DE">
            <w:pPr>
              <w:snapToGrid w:val="0"/>
              <w:spacing w:beforeLines="0" w:afterLines="0"/>
              <w:jc w:val="center"/>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卡瑞</w:t>
            </w:r>
            <w:r>
              <w:rPr>
                <w:rFonts w:hint="eastAsia" w:ascii="Times New Roman" w:hAnsi="Times New Roman"/>
                <w:sz w:val="16"/>
                <w:szCs w:val="16"/>
                <w:lang w:val="en-US" w:eastAsia="zh-CN"/>
              </w:rPr>
              <w:t>利</w:t>
            </w:r>
            <w:r>
              <w:rPr>
                <w:rFonts w:hint="default" w:ascii="Times New Roman" w:hAnsi="Times New Roman"/>
                <w:sz w:val="16"/>
                <w:szCs w:val="16"/>
              </w:rPr>
              <w:t>珠单抗</w:t>
            </w:r>
          </w:p>
        </w:tc>
        <w:tc>
          <w:tcPr>
            <w:tcW w:w="737" w:type="dxa"/>
            <w:tcBorders>
              <w:tl2br w:val="nil"/>
              <w:tr2bl w:val="nil"/>
            </w:tcBorders>
            <w:vAlign w:val="center"/>
          </w:tcPr>
          <w:p w14:paraId="63CCA40E">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TP</w:t>
            </w:r>
          </w:p>
        </w:tc>
        <w:tc>
          <w:tcPr>
            <w:tcW w:w="519" w:type="dxa"/>
            <w:tcBorders>
              <w:tl2br w:val="nil"/>
              <w:tr2bl w:val="nil"/>
            </w:tcBorders>
            <w:vAlign w:val="center"/>
          </w:tcPr>
          <w:p w14:paraId="03556C34">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2</w:t>
            </w:r>
          </w:p>
        </w:tc>
        <w:tc>
          <w:tcPr>
            <w:tcW w:w="725" w:type="dxa"/>
            <w:tcBorders>
              <w:tl2br w:val="nil"/>
              <w:tr2bl w:val="nil"/>
            </w:tcBorders>
            <w:vAlign w:val="center"/>
          </w:tcPr>
          <w:p w14:paraId="3E4EE1C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5.</w:t>
            </w:r>
            <w:r>
              <w:rPr>
                <w:rFonts w:hint="eastAsia" w:ascii="Times New Roman" w:hAnsi="Times New Roman"/>
                <w:b w:val="0"/>
                <w:bCs w:val="0"/>
                <w:sz w:val="16"/>
                <w:szCs w:val="16"/>
                <w:vertAlign w:val="baseline"/>
                <w:lang w:val="en-US" w:eastAsia="zh-CN"/>
              </w:rPr>
              <w:t>7</w:t>
            </w:r>
          </w:p>
        </w:tc>
        <w:tc>
          <w:tcPr>
            <w:tcW w:w="611" w:type="dxa"/>
            <w:tcBorders>
              <w:tl2br w:val="nil"/>
              <w:tr2bl w:val="nil"/>
            </w:tcBorders>
            <w:vAlign w:val="center"/>
          </w:tcPr>
          <w:p w14:paraId="60AF6F47">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89.2</w:t>
            </w:r>
          </w:p>
        </w:tc>
        <w:tc>
          <w:tcPr>
            <w:tcW w:w="660" w:type="dxa"/>
            <w:tcBorders>
              <w:tl2br w:val="nil"/>
              <w:tr2bl w:val="nil"/>
            </w:tcBorders>
            <w:vAlign w:val="center"/>
          </w:tcPr>
          <w:p w14:paraId="1D522A11">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1</w:t>
            </w:r>
            <w:r>
              <w:rPr>
                <w:rFonts w:hint="eastAsia" w:ascii="Times New Roman" w:hAnsi="Times New Roman"/>
                <w:b w:val="0"/>
                <w:bCs w:val="0"/>
                <w:sz w:val="16"/>
                <w:szCs w:val="16"/>
                <w:vertAlign w:val="baseline"/>
                <w:lang w:val="en-US" w:eastAsia="zh-CN"/>
              </w:rPr>
              <w:t>7</w:t>
            </w:r>
            <w:r>
              <w:rPr>
                <w:rFonts w:hint="default" w:ascii="Times New Roman" w:hAnsi="Times New Roman"/>
                <w:b w:val="0"/>
                <w:bCs w:val="0"/>
                <w:sz w:val="16"/>
                <w:szCs w:val="16"/>
                <w:vertAlign w:val="baseline"/>
                <w:lang w:val="en-US" w:eastAsia="zh-CN"/>
              </w:rPr>
              <w:t>.</w:t>
            </w:r>
            <w:r>
              <w:rPr>
                <w:rFonts w:hint="eastAsia" w:ascii="Times New Roman" w:hAnsi="Times New Roman"/>
                <w:b w:val="0"/>
                <w:bCs w:val="0"/>
                <w:sz w:val="16"/>
                <w:szCs w:val="16"/>
                <w:vertAlign w:val="baseline"/>
                <w:lang w:val="en-US" w:eastAsia="zh-CN"/>
              </w:rPr>
              <w:t>2</w:t>
            </w:r>
          </w:p>
        </w:tc>
        <w:tc>
          <w:tcPr>
            <w:tcW w:w="624" w:type="dxa"/>
            <w:tcBorders>
              <w:tl2br w:val="nil"/>
              <w:tr2bl w:val="nil"/>
            </w:tcBorders>
            <w:vAlign w:val="center"/>
          </w:tcPr>
          <w:p w14:paraId="1BB0B473">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40</w:t>
            </w:r>
            <w:r>
              <w:rPr>
                <w:rFonts w:hint="default" w:ascii="Times New Roman" w:hAnsi="Times New Roman"/>
                <w:b w:val="0"/>
                <w:bCs w:val="0"/>
                <w:sz w:val="16"/>
                <w:szCs w:val="16"/>
                <w:vertAlign w:val="baseline"/>
                <w:lang w:val="en-US" w:eastAsia="zh-CN"/>
              </w:rPr>
              <w:t>.</w:t>
            </w:r>
            <w:r>
              <w:rPr>
                <w:rFonts w:hint="eastAsia" w:ascii="Times New Roman" w:hAnsi="Times New Roman"/>
                <w:b w:val="0"/>
                <w:bCs w:val="0"/>
                <w:sz w:val="16"/>
                <w:szCs w:val="16"/>
                <w:vertAlign w:val="baseline"/>
                <w:lang w:val="en-US" w:eastAsia="zh-CN"/>
              </w:rPr>
              <w:t>5</w:t>
            </w:r>
          </w:p>
        </w:tc>
        <w:tc>
          <w:tcPr>
            <w:tcW w:w="869" w:type="dxa"/>
            <w:tcBorders>
              <w:tl2br w:val="nil"/>
              <w:tr2bl w:val="nil"/>
            </w:tcBorders>
            <w:vAlign w:val="center"/>
          </w:tcPr>
          <w:p w14:paraId="2AE2E92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95.7</w:t>
            </w:r>
          </w:p>
        </w:tc>
        <w:tc>
          <w:tcPr>
            <w:tcW w:w="746" w:type="dxa"/>
            <w:tcBorders>
              <w:tl2br w:val="nil"/>
              <w:tr2bl w:val="nil"/>
            </w:tcBorders>
            <w:vAlign w:val="center"/>
          </w:tcPr>
          <w:p w14:paraId="1B9349F7">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29.2</w:t>
            </w:r>
          </w:p>
        </w:tc>
      </w:tr>
      <w:tr w14:paraId="563F306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62" w:type="dxa"/>
            <w:tcBorders>
              <w:tl2br w:val="nil"/>
              <w:tr2bl w:val="nil"/>
            </w:tcBorders>
            <w:vAlign w:val="center"/>
          </w:tcPr>
          <w:p w14:paraId="6FBEF6A9">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HCHTOG1909</w:t>
            </w:r>
            <w:r>
              <w:rPr>
                <w:rFonts w:hint="default" w:ascii="Times New Roman" w:hAnsi="Times New Roman"/>
                <w:b w:val="0"/>
                <w:bCs w:val="0"/>
                <w:sz w:val="16"/>
                <w:szCs w:val="16"/>
                <w:vertAlign w:val="baseline"/>
                <w:lang w:val="en-US" w:eastAsia="zh-CN"/>
              </w:rPr>
              <w:fldChar w:fldCharType="begin"/>
            </w:r>
            <w:r>
              <w:rPr>
                <w:rFonts w:hint="eastAsia" w:ascii="Times New Roman" w:hAnsi="Times New Roman"/>
                <w:b w:val="0"/>
                <w:bCs w:val="0"/>
                <w:sz w:val="16"/>
                <w:szCs w:val="16"/>
                <w:vertAlign w:val="baseline"/>
                <w:lang w:val="en-US" w:eastAsia="zh-CN"/>
              </w:rPr>
              <w:instrText xml:space="preserve"> ADDIN ZOTERO_ITEM CSL_CITATION {"citationID":"MdJ0Npya","properties":{"formattedCitation":"\\super [17]\\nosupersub{}","plainCitation":"[17]","noteIndex":0},"citationItems":[{"id":1439,"uris":["http://zotero.org/users/15831584/items/UV3HDNZ5"],"itemData":{"id":1439,"type":"article-journal","abstract":"Abstract\n            \n              Background\n              In the era of immunotherapy, neoadjuvant immunochemotherapy (NAIC) for the treatment of locally advanced esophageal squamous cell carcinoma (ESCC) is used clinically but lacks of high‐level clinical evidence. This study aimed to compare the safety and long‐term efficacy of NAIC followed by minimally invasive esophagectomy (MIE) with those of neoadjuvant chemotherapy (NAC) followed by MIE.\n            \n            \n              Methods\n              \n                A prospective, single‐center, open‐label, randomized phase III clinical trial was conducted at Henan Cancer Hospital, Zhengzhou, China. Patients were randomly assigned to receive either neoadjuvant toripalimab (240 mg) plus paclitaxel (175 mg/m\n                2\n                ) + cisplatin (75 mg/m\n                2\n                ) (toripalimab group) or paclitaxel + cisplatin alone (chemotherapy group) every 3 weeks for 2 cycles. After surgery, the toripalimab group received toripalimab (240 mg every 3 weeks for up to 6 months). The primary endpoint was event‐free survival (EFS). The pathological complete response (pCR) and overall survival (OS) were key secondary endpoints. Adverse events (AEs) and quality of life were also assessed.\n              \n            \n            \n              Results\n              \n                Between May 15, 2020 and August 13, 2021, 252 ESCC patients ranging from T1N1‐3M0 to T2‐3N0‐3M0 were enrolled for interim analysis, with 127 in the toripalimab group and 125 in the chemotherapy group. The 1‐year EFS rate was 77.9% in the toripalimab group compared to 64.3% in the chemotherapy group (hazard ratio [HR] = 0.62; 95% confidence interval [CI] = 0.39 to 1.00;\n                P\n                = 0.05). The 1‐year OS rates were 94.1% and 83.0% in the toripalimab and chemotherapy groups, respectively (HR = 0.48; 95% CI = 0.24 to 0.97;\n                P =\n                0.037). The patients in the toripalimab group had a higher pCR rate (18.6% vs. 4.6%;\n                P\n                = 0.001). The rates of postoperative Clavien‐Dindo grade IIIb or higher morbidity were 9.8% in the toripalimab group and 6.8% in the chemotherapy group, with no significant difference observed (\n                P\n                = 0.460). The rates of grade 3 or 4 treatment‐related AEs did not differ between the two groups (12.5% versus 12.4%).\n              \n            \n            \n              Conclusions\n              The interim results of this ongoing trial showed that in resectable ESCC, the addition of perioperative toripalimab to NAC is safe, may improve OS and might change the standard treatment in the future.","container-title":"Cancer Communications","DOI":"10.1002/cac2.12604","ISSN":"2523-3548, 2523-3548","issue":"10","journalAbbreviation":"Cancer Commun.","language":"en","license":"© 2024 The Author(s). Cancer Communications published by John Wiley &amp; Sons Australia, Ltd on behalf of Sun Yat-sen University Cancer Center.","note":"_eprint: https://onlinelibrary.wiley.com/doi/pdf/10.1002/cac2.12604\n5年影响因子: 22.2\nCSCD: 核心库\nJCR分区: Q1\nTLDR: This study aimed to compare the safety and long‐term efficacy of NAIC followed by minimally invasive esophagectomy (MIE) with those of neoadjuvant chemotherapy (NAC) followed by MIE.\n中科院分区升级版: 医学1区\n影响因子: 24.9\n南农高质量: A","page":"1214-1227","source":"Wiley Online Library","title":"Perioperative toripalimab plus neoadjuvant chemotherapy might improve outcomes in resectable esophageal cancer: an interim analysis of a phase III randomized clinical trial","title-short":"Perioperative toripalimab plus neoadjuvant chemotherapy might improve outcomes in resectable esophageal cancer","volume":"44","author":[{"family":"Zheng","given":"Yan"},{"family":"Liang","given":"Guanghui"},{"family":"Yuan","given":"Dongfeng"},{"family":"Liu","given":"Xianben"},{"family":"Ba","given":"Yufeng"},{"family":"Qin","given":"Zimin"},{"family":"Shen","given":"Sining"},{"family":"Li","given":"Zhenxuan"},{"family":"Sun","given":"Haibo"},{"family":"Liu","given":"Baoxing"},{"family":"Gao","given":"Quanli"},{"family":"Li","given":"Peng"},{"family":"Wang","given":"Zongfei"},{"family":"Liu","given":"Shilei"},{"family":"Zhu","given":"Jianping"},{"family":"Wang","given":"Haoran"},{"family":"Ma","given":"Haibo"},{"family":"Liu","given":"Zhenzhen"},{"family":"Zhao","given":"Fei"},{"family":"Zhang","given":"Jun"},{"family":"Zhang","given":"He"},{"family":"Wu","given":"Daoyuan"},{"family":"Qu","given":"Jinrong"},{"family":"Ma","given":"Jie"},{"family":"Zhang","given":"Peng"},{"family":"Ma","given":"Wenjie"},{"family":"Yan","given":"Ming"},{"family":"Yu","given":"Yongkui"},{"family":"Li","given":"Qing"},{"family":"Zhang","given":"Jiangong"},{"family":"Xing","given":"Wenqun"}],"issued":{"date-parts":[["2024",10]]}}}],"schema":"https://github.com/citation-style-language/schema/raw/master/csl-citation.json"} </w:instrText>
            </w:r>
            <w:r>
              <w:rPr>
                <w:rFonts w:hint="default" w:ascii="Times New Roman" w:hAnsi="Times New Roman"/>
                <w:b w:val="0"/>
                <w:bCs w:val="0"/>
                <w:sz w:val="16"/>
                <w:szCs w:val="16"/>
                <w:vertAlign w:val="baseline"/>
                <w:lang w:val="en-US" w:eastAsia="zh-CN"/>
              </w:rPr>
              <w:fldChar w:fldCharType="separate"/>
            </w:r>
            <w:r>
              <w:rPr>
                <w:rFonts w:hint="default" w:ascii="Times New Roman" w:hAnsi="Times New Roman" w:cs="Times New Roman"/>
                <w:sz w:val="16"/>
                <w:szCs w:val="24"/>
                <w:vertAlign w:val="superscript"/>
              </w:rPr>
              <w:t>[17]</w:t>
            </w:r>
            <w:r>
              <w:rPr>
                <w:rFonts w:hint="default" w:ascii="Times New Roman" w:hAnsi="Times New Roman"/>
                <w:b w:val="0"/>
                <w:bCs w:val="0"/>
                <w:sz w:val="16"/>
                <w:szCs w:val="16"/>
                <w:vertAlign w:val="baseline"/>
                <w:lang w:val="en-US" w:eastAsia="zh-CN"/>
              </w:rPr>
              <w:fldChar w:fldCharType="end"/>
            </w:r>
          </w:p>
        </w:tc>
        <w:tc>
          <w:tcPr>
            <w:tcW w:w="580" w:type="dxa"/>
            <w:tcBorders>
              <w:tl2br w:val="nil"/>
              <w:tr2bl w:val="nil"/>
            </w:tcBorders>
            <w:vAlign w:val="center"/>
          </w:tcPr>
          <w:p w14:paraId="0AC144C9">
            <w:pPr>
              <w:snapToGrid w:val="0"/>
              <w:spacing w:beforeLines="0" w:afterLines="0"/>
              <w:jc w:val="center"/>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III期</w:t>
            </w:r>
          </w:p>
        </w:tc>
        <w:tc>
          <w:tcPr>
            <w:tcW w:w="650" w:type="dxa"/>
            <w:tcBorders>
              <w:tl2br w:val="nil"/>
              <w:tr2bl w:val="nil"/>
            </w:tcBorders>
            <w:vAlign w:val="center"/>
          </w:tcPr>
          <w:p w14:paraId="5B1134CF">
            <w:pPr>
              <w:snapToGrid w:val="0"/>
              <w:spacing w:beforeLines="0" w:afterLines="0"/>
              <w:jc w:val="center"/>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RCT</w:t>
            </w:r>
          </w:p>
        </w:tc>
        <w:tc>
          <w:tcPr>
            <w:tcW w:w="675" w:type="dxa"/>
            <w:tcBorders>
              <w:tl2br w:val="nil"/>
              <w:tr2bl w:val="nil"/>
            </w:tcBorders>
            <w:vAlign w:val="center"/>
          </w:tcPr>
          <w:p w14:paraId="7EB5AD97">
            <w:pPr>
              <w:snapToGrid w:val="0"/>
              <w:spacing w:beforeLines="0" w:afterLines="0"/>
              <w:jc w:val="center"/>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ESCC</w:t>
            </w:r>
          </w:p>
        </w:tc>
        <w:tc>
          <w:tcPr>
            <w:tcW w:w="1644" w:type="dxa"/>
            <w:tcBorders>
              <w:tl2br w:val="nil"/>
              <w:tr2bl w:val="nil"/>
            </w:tcBorders>
            <w:vAlign w:val="center"/>
          </w:tcPr>
          <w:p w14:paraId="6A4E8CD4">
            <w:pPr>
              <w:snapToGrid w:val="0"/>
              <w:spacing w:beforeLines="0" w:afterLines="0"/>
              <w:jc w:val="center"/>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T1N1-3M0或T2-3N0</w:t>
            </w:r>
            <w:r>
              <w:rPr>
                <w:rFonts w:hint="eastAsia" w:ascii="Times New Roman" w:hAnsi="Times New Roman"/>
                <w:sz w:val="16"/>
                <w:szCs w:val="16"/>
                <w:lang w:val="en-US" w:eastAsia="zh-CN"/>
              </w:rPr>
              <w:t>-</w:t>
            </w:r>
            <w:r>
              <w:rPr>
                <w:rFonts w:hint="default" w:ascii="Times New Roman" w:hAnsi="Times New Roman"/>
                <w:sz w:val="16"/>
                <w:szCs w:val="16"/>
              </w:rPr>
              <w:t>3M0</w:t>
            </w:r>
          </w:p>
        </w:tc>
        <w:tc>
          <w:tcPr>
            <w:tcW w:w="662" w:type="dxa"/>
            <w:tcBorders>
              <w:tl2br w:val="nil"/>
              <w:tr2bl w:val="nil"/>
            </w:tcBorders>
            <w:vAlign w:val="center"/>
          </w:tcPr>
          <w:p w14:paraId="39022A06">
            <w:pPr>
              <w:snapToGrid w:val="0"/>
              <w:spacing w:beforeLines="0" w:afterLines="0"/>
              <w:jc w:val="center"/>
              <w:rPr>
                <w:rFonts w:hint="default" w:ascii="Times New Roman" w:hAnsi="Times New Roman" w:eastAsiaTheme="minorEastAsia"/>
                <w:b w:val="0"/>
                <w:bCs w:val="0"/>
                <w:sz w:val="16"/>
                <w:szCs w:val="16"/>
                <w:vertAlign w:val="baseline"/>
                <w:lang w:val="en-US" w:eastAsia="zh-CN"/>
              </w:rPr>
            </w:pPr>
            <w:r>
              <w:rPr>
                <w:rFonts w:hint="default" w:ascii="Times New Roman" w:hAnsi="Times New Roman"/>
                <w:sz w:val="16"/>
                <w:szCs w:val="16"/>
              </w:rPr>
              <w:t>1</w:t>
            </w:r>
            <w:r>
              <w:rPr>
                <w:rFonts w:hint="eastAsia" w:ascii="Times New Roman" w:hAnsi="Times New Roman"/>
                <w:sz w:val="16"/>
                <w:szCs w:val="16"/>
                <w:lang w:val="en-US" w:eastAsia="zh-CN"/>
              </w:rPr>
              <w:t>27</w:t>
            </w:r>
          </w:p>
        </w:tc>
        <w:tc>
          <w:tcPr>
            <w:tcW w:w="1238" w:type="dxa"/>
            <w:tcBorders>
              <w:tl2br w:val="nil"/>
              <w:tr2bl w:val="nil"/>
            </w:tcBorders>
            <w:vAlign w:val="center"/>
          </w:tcPr>
          <w:p w14:paraId="172CE0C9">
            <w:pPr>
              <w:snapToGrid w:val="0"/>
              <w:spacing w:beforeLines="0" w:afterLines="0"/>
              <w:jc w:val="center"/>
              <w:rPr>
                <w:rFonts w:hint="eastAsia" w:ascii="Times New Roman" w:hAnsi="Times New Roman"/>
                <w:b w:val="0"/>
                <w:bCs w:val="0"/>
                <w:sz w:val="16"/>
                <w:szCs w:val="16"/>
                <w:vertAlign w:val="baseline"/>
                <w:lang w:val="en-US" w:eastAsia="zh-CN"/>
              </w:rPr>
            </w:pPr>
            <w:r>
              <w:rPr>
                <w:rFonts w:hint="default" w:ascii="Times New Roman" w:hAnsi="Times New Roman"/>
                <w:sz w:val="16"/>
                <w:szCs w:val="16"/>
              </w:rPr>
              <w:t>特瑞普利单抗</w:t>
            </w:r>
          </w:p>
        </w:tc>
        <w:tc>
          <w:tcPr>
            <w:tcW w:w="737" w:type="dxa"/>
            <w:tcBorders>
              <w:tl2br w:val="nil"/>
              <w:tr2bl w:val="nil"/>
            </w:tcBorders>
            <w:vAlign w:val="center"/>
          </w:tcPr>
          <w:p w14:paraId="1C76EB5A">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TP</w:t>
            </w:r>
          </w:p>
        </w:tc>
        <w:tc>
          <w:tcPr>
            <w:tcW w:w="519" w:type="dxa"/>
            <w:tcBorders>
              <w:tl2br w:val="nil"/>
              <w:tr2bl w:val="nil"/>
            </w:tcBorders>
            <w:vAlign w:val="center"/>
          </w:tcPr>
          <w:p w14:paraId="5F297E69">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2</w:t>
            </w:r>
          </w:p>
        </w:tc>
        <w:tc>
          <w:tcPr>
            <w:tcW w:w="725" w:type="dxa"/>
            <w:tcBorders>
              <w:tl2br w:val="nil"/>
              <w:tr2bl w:val="nil"/>
            </w:tcBorders>
            <w:vAlign w:val="center"/>
          </w:tcPr>
          <w:p w14:paraId="31B69C38">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4.6</w:t>
            </w:r>
          </w:p>
        </w:tc>
        <w:tc>
          <w:tcPr>
            <w:tcW w:w="611" w:type="dxa"/>
            <w:tcBorders>
              <w:tl2br w:val="nil"/>
              <w:tr2bl w:val="nil"/>
            </w:tcBorders>
            <w:vAlign w:val="center"/>
          </w:tcPr>
          <w:p w14:paraId="69C2FAF4">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80.3</w:t>
            </w:r>
          </w:p>
        </w:tc>
        <w:tc>
          <w:tcPr>
            <w:tcW w:w="660" w:type="dxa"/>
            <w:tcBorders>
              <w:tl2br w:val="nil"/>
              <w:tr2bl w:val="nil"/>
            </w:tcBorders>
            <w:vAlign w:val="center"/>
          </w:tcPr>
          <w:p w14:paraId="583D8E2D">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18.6</w:t>
            </w:r>
          </w:p>
        </w:tc>
        <w:tc>
          <w:tcPr>
            <w:tcW w:w="624" w:type="dxa"/>
            <w:tcBorders>
              <w:tl2br w:val="nil"/>
              <w:tr2bl w:val="nil"/>
            </w:tcBorders>
            <w:vAlign w:val="center"/>
          </w:tcPr>
          <w:p w14:paraId="0E902347">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29.4</w:t>
            </w:r>
          </w:p>
        </w:tc>
        <w:tc>
          <w:tcPr>
            <w:tcW w:w="869" w:type="dxa"/>
            <w:tcBorders>
              <w:tl2br w:val="nil"/>
              <w:tr2bl w:val="nil"/>
            </w:tcBorders>
            <w:vAlign w:val="center"/>
          </w:tcPr>
          <w:p w14:paraId="1BC18A40">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100</w:t>
            </w:r>
          </w:p>
        </w:tc>
        <w:tc>
          <w:tcPr>
            <w:tcW w:w="746" w:type="dxa"/>
            <w:tcBorders>
              <w:tl2br w:val="nil"/>
              <w:tr2bl w:val="nil"/>
            </w:tcBorders>
            <w:vAlign w:val="center"/>
          </w:tcPr>
          <w:p w14:paraId="78DDD0F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12.5</w:t>
            </w:r>
          </w:p>
        </w:tc>
      </w:tr>
      <w:tr w14:paraId="55CFEBB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62" w:type="dxa"/>
            <w:tcBorders>
              <w:tl2br w:val="nil"/>
              <w:tr2bl w:val="nil"/>
            </w:tcBorders>
            <w:vAlign w:val="center"/>
          </w:tcPr>
          <w:p w14:paraId="7B02C2ED">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REVO</w:t>
            </w:r>
            <w:r>
              <w:rPr>
                <w:rFonts w:hint="default" w:ascii="Times New Roman" w:hAnsi="Times New Roman"/>
                <w:b w:val="0"/>
                <w:bCs w:val="0"/>
                <w:sz w:val="16"/>
                <w:szCs w:val="16"/>
                <w:vertAlign w:val="baseline"/>
                <w:lang w:val="en-US" w:eastAsia="zh-CN"/>
              </w:rPr>
              <w:fldChar w:fldCharType="begin"/>
            </w:r>
            <w:r>
              <w:rPr>
                <w:rFonts w:hint="eastAsia" w:ascii="Times New Roman" w:hAnsi="Times New Roman"/>
                <w:b w:val="0"/>
                <w:bCs w:val="0"/>
                <w:sz w:val="16"/>
                <w:szCs w:val="16"/>
                <w:vertAlign w:val="baseline"/>
                <w:lang w:val="en-US" w:eastAsia="zh-CN"/>
              </w:rPr>
              <w:instrText xml:space="preserve"> ADDIN ZOTERO_ITEM CSL_CITATION {"citationID":"43q1owyx","properties":{"formattedCitation":"\\super [16]\\nosupersub{}","plainCitation":"[16]","noteIndex":0},"citationItems":[{"id":1584,"uris":["http://zotero.org/users/15831584/items/GQ23BZHP"],"itemData":{"id":1584,"type":"article-journal","abstract":"Several studies have evaluated PD-1 inhibitors plus chemotherapy as neoadjuvant treatment for locally advanced esophageal squamous cell carcinoma (ESCC), but comparative data with chemoradiotherapy (CRT) remain limited. This multicenter, randomized, open-label, phase 2 non-inferiority trial (REVO, NCT05007145) assessed the efficacy and safety of neoadjuvant camrelizumab plus chemotherapy (ICT) versus CRT in patients with resectable, locally advanced ESCC. A total of 104 patients were randomized to ICT (camrelizumab, nab-paclitaxel, cisplatin) or CRT (nab-paclitaxel, cisplatin, radiotherapy). The primary endpoint was pathologic complete response (pCR). ICT achieved a pCR rate of 32.7% versus 34.6% with CRT (rate ratio 0.94, 90% CI 0.6-1.49), demonstrating non-inferiority and meeting the pre-specified primary endpoint. Major pathologic response was observed in 42.3% of ICT patients and 57.7% of CRT patients, with R0 resection achieved in 100% of both groups. 1-year disease-free survival was 89.1% versus 78.2%, and 1-year overall survival was 100% versus 92.3% for ICT and CRT, respectively. Grade ≥3 treatment-related adverse events occurred in 19.2% of ICT patients and 33.3% of CRT patients, and surgical complications were reported in 31.1% and 35.9%, respectively. These findings indicate that ICT is a safe and effective neoadjuvant strategy for resectable ESCC with a more favorable safety profile.","container-title":"Nature Communications","DOI":"10.1038/s41467-025-64660-z","ISSN":"2041-1723","issue":"1","journalAbbreviation":"Nat. Commun.","language":"en","note":"5年影响因子: 17.2\nJCR分区: Q1\n中科院分区升级版: 综合性期刊1区\n南农高质量: A\n影响因子: 15.7","page":"9676","PMID":"41184224","PMCID":"PMC12583711","source":"PubMed","title":"Camrelizumab plus chemotherapy versus chemoradiotherapy as neoadjuvant therapy for resectable esophageal squamous cell carcinoma: phase 2 randomized trial (REVO)","title-short":"Camrelizumab plus chemotherapy versus chemoradiotherapy as neoadjuvant therapy for resectable esophageal squamous cell carcinoma","volume":"16","author":[{"family":"Wang","given":"Peiyuan"},{"family":"Chen","given":"Yujie"},{"family":"Wang","given":"Feng"},{"family":"Chen","given":"Mingqiu"},{"family":"Zheng","given":"Buhong"},{"family":"Zhang","given":"Derong"},{"family":"Zheng","given":"Qingfeng"},{"family":"Wang","given":"Jiezhong"},{"family":"Chen","given":"Junqiang"},{"family":"Cai","given":"Huaxin"},{"family":"Liu","given":"Junhua"},{"family":"Zhang","given":"Wenshan"},{"family":"Lian","given":"Changhong"},{"family":"Chen","given":"Juhui"},{"family":"Lin","given":"Yu"},{"family":"Xu","given":"Yuanji"},{"family":"Huang","given":"Rongfang"},{"family":"Lei","given":"Mengxia"},{"family":"Chen","given":"Peng"},{"family":"He","given":"Hao"},{"family":"Lin","given":"Hui"},{"family":"Chen","given":"Xiaofeng"},{"family":"Zhou","given":"Hang"},{"family":"Chen","given":"Weijie"},{"family":"Wei","given":"Wenwei"},{"family":"Zhuang","given":"Fengnian"},{"family":"Lin","given":"Junpeng"},{"family":"Huang","given":"Canhua"},{"family":"Guan","given":"Ni"},{"family":"Yan","given":"Jin"},{"family":"Liang","given":"Shujun"},{"family":"Liu","given":"Shuoyan"},{"family":"Li","given":"Jiancheng"}],"issued":{"date-parts":[["2025",11,3]]}}}],"schema":"https://github.com/citation-style-language/schema/raw/master/csl-citation.json"} </w:instrText>
            </w:r>
            <w:r>
              <w:rPr>
                <w:rFonts w:hint="default" w:ascii="Times New Roman" w:hAnsi="Times New Roman"/>
                <w:b w:val="0"/>
                <w:bCs w:val="0"/>
                <w:sz w:val="16"/>
                <w:szCs w:val="16"/>
                <w:vertAlign w:val="baseline"/>
                <w:lang w:val="en-US" w:eastAsia="zh-CN"/>
              </w:rPr>
              <w:fldChar w:fldCharType="separate"/>
            </w:r>
            <w:r>
              <w:rPr>
                <w:rFonts w:hint="default" w:ascii="Times New Roman" w:hAnsi="Times New Roman" w:cs="Times New Roman"/>
                <w:sz w:val="16"/>
                <w:szCs w:val="24"/>
                <w:vertAlign w:val="superscript"/>
              </w:rPr>
              <w:t>[16]</w:t>
            </w:r>
            <w:r>
              <w:rPr>
                <w:rFonts w:hint="default" w:ascii="Times New Roman" w:hAnsi="Times New Roman"/>
                <w:b w:val="0"/>
                <w:bCs w:val="0"/>
                <w:sz w:val="16"/>
                <w:szCs w:val="16"/>
                <w:vertAlign w:val="baseline"/>
                <w:lang w:val="en-US" w:eastAsia="zh-CN"/>
              </w:rPr>
              <w:fldChar w:fldCharType="end"/>
            </w:r>
          </w:p>
        </w:tc>
        <w:tc>
          <w:tcPr>
            <w:tcW w:w="580" w:type="dxa"/>
            <w:tcBorders>
              <w:tl2br w:val="nil"/>
              <w:tr2bl w:val="nil"/>
            </w:tcBorders>
            <w:vAlign w:val="center"/>
          </w:tcPr>
          <w:p w14:paraId="308EC622">
            <w:pPr>
              <w:snapToGrid w:val="0"/>
              <w:spacing w:beforeLines="0" w:afterLines="0"/>
              <w:jc w:val="center"/>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II期</w:t>
            </w:r>
          </w:p>
        </w:tc>
        <w:tc>
          <w:tcPr>
            <w:tcW w:w="650" w:type="dxa"/>
            <w:tcBorders>
              <w:tl2br w:val="nil"/>
              <w:tr2bl w:val="nil"/>
            </w:tcBorders>
            <w:vAlign w:val="center"/>
          </w:tcPr>
          <w:p w14:paraId="3BEFB868">
            <w:pPr>
              <w:snapToGrid w:val="0"/>
              <w:spacing w:beforeLines="0" w:afterLines="0"/>
              <w:jc w:val="center"/>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RCT</w:t>
            </w:r>
          </w:p>
        </w:tc>
        <w:tc>
          <w:tcPr>
            <w:tcW w:w="675" w:type="dxa"/>
            <w:tcBorders>
              <w:tl2br w:val="nil"/>
              <w:tr2bl w:val="nil"/>
            </w:tcBorders>
            <w:vAlign w:val="center"/>
          </w:tcPr>
          <w:p w14:paraId="3EAECE49">
            <w:pPr>
              <w:snapToGrid w:val="0"/>
              <w:spacing w:beforeLines="0" w:afterLines="0"/>
              <w:jc w:val="center"/>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ESCC</w:t>
            </w:r>
          </w:p>
        </w:tc>
        <w:tc>
          <w:tcPr>
            <w:tcW w:w="1644" w:type="dxa"/>
            <w:tcBorders>
              <w:tl2br w:val="nil"/>
              <w:tr2bl w:val="nil"/>
            </w:tcBorders>
            <w:vAlign w:val="center"/>
          </w:tcPr>
          <w:p w14:paraId="357A8AA8">
            <w:pPr>
              <w:snapToGrid w:val="0"/>
              <w:spacing w:beforeLines="0" w:afterLines="0"/>
              <w:jc w:val="center"/>
              <w:rPr>
                <w:rFonts w:hint="eastAsia" w:ascii="Times New Roman" w:hAnsi="Times New Roman" w:eastAsiaTheme="minorEastAsia"/>
                <w:b w:val="0"/>
                <w:bCs w:val="0"/>
                <w:sz w:val="16"/>
                <w:szCs w:val="16"/>
                <w:vertAlign w:val="baseline"/>
                <w:lang w:val="en-US" w:eastAsia="zh-CN"/>
              </w:rPr>
            </w:pPr>
            <w:r>
              <w:rPr>
                <w:rFonts w:hint="default" w:ascii="Times New Roman" w:hAnsi="Times New Roman"/>
                <w:sz w:val="16"/>
                <w:szCs w:val="16"/>
              </w:rPr>
              <w:t>T1b-4aN1-3M0-1 或T3-4aN0M0-1</w:t>
            </w:r>
            <w:r>
              <w:rPr>
                <w:rFonts w:hint="eastAsia" w:ascii="Times New Roman" w:hAnsi="Times New Roman"/>
                <w:sz w:val="16"/>
                <w:szCs w:val="16"/>
                <w:lang w:val="en-US" w:eastAsia="zh-CN"/>
              </w:rPr>
              <w:t>*</w:t>
            </w:r>
          </w:p>
        </w:tc>
        <w:tc>
          <w:tcPr>
            <w:tcW w:w="662" w:type="dxa"/>
            <w:tcBorders>
              <w:tl2br w:val="nil"/>
              <w:tr2bl w:val="nil"/>
            </w:tcBorders>
            <w:vAlign w:val="center"/>
          </w:tcPr>
          <w:p w14:paraId="46D525B3">
            <w:pPr>
              <w:snapToGrid w:val="0"/>
              <w:spacing w:beforeLines="0" w:afterLines="0"/>
              <w:jc w:val="center"/>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52</w:t>
            </w:r>
          </w:p>
        </w:tc>
        <w:tc>
          <w:tcPr>
            <w:tcW w:w="1238" w:type="dxa"/>
            <w:tcBorders>
              <w:tl2br w:val="nil"/>
              <w:tr2bl w:val="nil"/>
            </w:tcBorders>
            <w:vAlign w:val="center"/>
          </w:tcPr>
          <w:p w14:paraId="3416B75C">
            <w:pPr>
              <w:snapToGrid w:val="0"/>
              <w:spacing w:beforeLines="0" w:afterLines="0"/>
              <w:jc w:val="center"/>
              <w:rPr>
                <w:rFonts w:hint="eastAsia" w:ascii="Times New Roman" w:hAnsi="Times New Roman"/>
                <w:b w:val="0"/>
                <w:bCs w:val="0"/>
                <w:sz w:val="16"/>
                <w:szCs w:val="16"/>
                <w:vertAlign w:val="baseline"/>
                <w:lang w:val="en-US" w:eastAsia="zh-CN"/>
              </w:rPr>
            </w:pPr>
            <w:r>
              <w:rPr>
                <w:rFonts w:hint="default" w:ascii="Times New Roman" w:hAnsi="Times New Roman"/>
                <w:sz w:val="16"/>
                <w:szCs w:val="16"/>
              </w:rPr>
              <w:t>卡瑞利珠单抗</w:t>
            </w:r>
          </w:p>
        </w:tc>
        <w:tc>
          <w:tcPr>
            <w:tcW w:w="737" w:type="dxa"/>
            <w:tcBorders>
              <w:tl2br w:val="nil"/>
              <w:tr2bl w:val="nil"/>
            </w:tcBorders>
            <w:vAlign w:val="center"/>
          </w:tcPr>
          <w:p w14:paraId="710D0611">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nab-TP</w:t>
            </w:r>
          </w:p>
        </w:tc>
        <w:tc>
          <w:tcPr>
            <w:tcW w:w="519" w:type="dxa"/>
            <w:tcBorders>
              <w:tl2br w:val="nil"/>
              <w:tr2bl w:val="nil"/>
            </w:tcBorders>
            <w:vAlign w:val="center"/>
          </w:tcPr>
          <w:p w14:paraId="52235330">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2-4</w:t>
            </w:r>
          </w:p>
        </w:tc>
        <w:tc>
          <w:tcPr>
            <w:tcW w:w="725" w:type="dxa"/>
            <w:tcBorders>
              <w:tl2br w:val="nil"/>
              <w:tr2bl w:val="nil"/>
            </w:tcBorders>
            <w:vAlign w:val="center"/>
          </w:tcPr>
          <w:p w14:paraId="724C5A20">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NR</w:t>
            </w:r>
          </w:p>
        </w:tc>
        <w:tc>
          <w:tcPr>
            <w:tcW w:w="611" w:type="dxa"/>
            <w:tcBorders>
              <w:tl2br w:val="nil"/>
              <w:tr2bl w:val="nil"/>
            </w:tcBorders>
            <w:vAlign w:val="center"/>
          </w:tcPr>
          <w:p w14:paraId="6D7D3410">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86.5</w:t>
            </w:r>
          </w:p>
        </w:tc>
        <w:tc>
          <w:tcPr>
            <w:tcW w:w="660" w:type="dxa"/>
            <w:tcBorders>
              <w:tl2br w:val="nil"/>
              <w:tr2bl w:val="nil"/>
            </w:tcBorders>
            <w:vAlign w:val="center"/>
          </w:tcPr>
          <w:p w14:paraId="23AD00C0">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3</w:t>
            </w:r>
            <w:r>
              <w:rPr>
                <w:rFonts w:hint="eastAsia" w:ascii="Times New Roman" w:hAnsi="Times New Roman"/>
                <w:b w:val="0"/>
                <w:bCs w:val="0"/>
                <w:sz w:val="16"/>
                <w:szCs w:val="16"/>
                <w:vertAlign w:val="baseline"/>
                <w:lang w:val="en-US" w:eastAsia="zh-CN"/>
              </w:rPr>
              <w:t>7</w:t>
            </w:r>
            <w:r>
              <w:rPr>
                <w:rFonts w:hint="default" w:ascii="Times New Roman" w:hAnsi="Times New Roman"/>
                <w:b w:val="0"/>
                <w:bCs w:val="0"/>
                <w:sz w:val="16"/>
                <w:szCs w:val="16"/>
                <w:vertAlign w:val="baseline"/>
                <w:lang w:val="en-US" w:eastAsia="zh-CN"/>
              </w:rPr>
              <w:t>.</w:t>
            </w:r>
            <w:r>
              <w:rPr>
                <w:rFonts w:hint="eastAsia" w:ascii="Times New Roman" w:hAnsi="Times New Roman"/>
                <w:b w:val="0"/>
                <w:bCs w:val="0"/>
                <w:sz w:val="16"/>
                <w:szCs w:val="16"/>
                <w:vertAlign w:val="baseline"/>
                <w:lang w:val="en-US" w:eastAsia="zh-CN"/>
              </w:rPr>
              <w:t>8</w:t>
            </w:r>
          </w:p>
        </w:tc>
        <w:tc>
          <w:tcPr>
            <w:tcW w:w="624" w:type="dxa"/>
            <w:tcBorders>
              <w:tl2br w:val="nil"/>
              <w:tr2bl w:val="nil"/>
            </w:tcBorders>
            <w:vAlign w:val="center"/>
          </w:tcPr>
          <w:p w14:paraId="3CE00C5E">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4</w:t>
            </w:r>
            <w:r>
              <w:rPr>
                <w:rFonts w:hint="eastAsia" w:ascii="Times New Roman" w:hAnsi="Times New Roman"/>
                <w:b w:val="0"/>
                <w:bCs w:val="0"/>
                <w:sz w:val="16"/>
                <w:szCs w:val="16"/>
                <w:vertAlign w:val="baseline"/>
                <w:lang w:val="en-US" w:eastAsia="zh-CN"/>
              </w:rPr>
              <w:t>8</w:t>
            </w:r>
            <w:r>
              <w:rPr>
                <w:rFonts w:hint="default" w:ascii="Times New Roman" w:hAnsi="Times New Roman"/>
                <w:b w:val="0"/>
                <w:bCs w:val="0"/>
                <w:sz w:val="16"/>
                <w:szCs w:val="16"/>
                <w:vertAlign w:val="baseline"/>
                <w:lang w:val="en-US" w:eastAsia="zh-CN"/>
              </w:rPr>
              <w:t>.</w:t>
            </w:r>
            <w:r>
              <w:rPr>
                <w:rFonts w:hint="eastAsia" w:ascii="Times New Roman" w:hAnsi="Times New Roman"/>
                <w:b w:val="0"/>
                <w:bCs w:val="0"/>
                <w:sz w:val="16"/>
                <w:szCs w:val="16"/>
                <w:vertAlign w:val="baseline"/>
                <w:lang w:val="en-US" w:eastAsia="zh-CN"/>
              </w:rPr>
              <w:t>9</w:t>
            </w:r>
          </w:p>
        </w:tc>
        <w:tc>
          <w:tcPr>
            <w:tcW w:w="869" w:type="dxa"/>
            <w:tcBorders>
              <w:tl2br w:val="nil"/>
              <w:tr2bl w:val="nil"/>
            </w:tcBorders>
            <w:vAlign w:val="center"/>
          </w:tcPr>
          <w:p w14:paraId="3B56B1A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100</w:t>
            </w:r>
          </w:p>
        </w:tc>
        <w:tc>
          <w:tcPr>
            <w:tcW w:w="746" w:type="dxa"/>
            <w:tcBorders>
              <w:tl2br w:val="nil"/>
              <w:tr2bl w:val="nil"/>
            </w:tcBorders>
            <w:vAlign w:val="center"/>
          </w:tcPr>
          <w:p w14:paraId="1CD3C00D">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19.2</w:t>
            </w:r>
          </w:p>
        </w:tc>
      </w:tr>
      <w:tr w14:paraId="68302F6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62" w:type="dxa"/>
            <w:tcBorders>
              <w:tl2br w:val="nil"/>
              <w:tr2bl w:val="nil"/>
            </w:tcBorders>
            <w:vAlign w:val="center"/>
          </w:tcPr>
          <w:p w14:paraId="43ABBE1E">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SCIENCE</w:t>
            </w:r>
            <w:r>
              <w:rPr>
                <w:rFonts w:hint="default" w:ascii="Times New Roman" w:hAnsi="Times New Roman"/>
                <w:b w:val="0"/>
                <w:bCs w:val="0"/>
                <w:sz w:val="16"/>
                <w:szCs w:val="16"/>
                <w:vertAlign w:val="baseline"/>
                <w:lang w:val="en-US" w:eastAsia="zh-CN"/>
              </w:rPr>
              <w:fldChar w:fldCharType="begin"/>
            </w:r>
            <w:r>
              <w:rPr>
                <w:rFonts w:hint="eastAsia" w:ascii="Times New Roman" w:hAnsi="Times New Roman"/>
                <w:b w:val="0"/>
                <w:bCs w:val="0"/>
                <w:sz w:val="16"/>
                <w:szCs w:val="16"/>
                <w:vertAlign w:val="baseline"/>
                <w:lang w:val="en-US" w:eastAsia="zh-CN"/>
              </w:rPr>
              <w:instrText xml:space="preserve"> ADDIN ZOTERO_ITEM CSL_CITATION {"citationID":"LZlNhTPC","properties":{"formattedCitation":"\\super [39]\\nosupersub{}","plainCitation":"[39]","noteIndex":0},"citationItems":[{"id":1579,"uris":["http://zotero.org/users/15831584/items/JNUSSF4A"],"itemData":{"id":1579,"type":"webpage","language":"en","title":"Preliminary results from the multicenter, randomized phase III trial (SCIENCE): comparing chemotherapy plus sintilimab and chemoradiotherapy plus sintilimab versus chemoradiotherapy for neoadjuvant treatment in resectable locally advanced esophageal squamous cell carcinoma","title-short":"Preliminary results from the multicenter, randomized phase III trial (SCIENCE)","URL":"https://www.onclive.com/view/neoadjuvant-sintilimab-plus-chemoradiotherapy-improves-pcr-rate-in-resectable-locally-advanced-escc","author":[{"literal":"Leng X"},{"literal":"He W"},{"literal":"Lyu J"}],"accessed":{"date-parts":[["2025",11,10]]}}}],"schema":"https://github.com/citation-style-language/schema/raw/master/csl-citation.json"} </w:instrText>
            </w:r>
            <w:r>
              <w:rPr>
                <w:rFonts w:hint="default" w:ascii="Times New Roman" w:hAnsi="Times New Roman"/>
                <w:b w:val="0"/>
                <w:bCs w:val="0"/>
                <w:sz w:val="16"/>
                <w:szCs w:val="16"/>
                <w:vertAlign w:val="baseline"/>
                <w:lang w:val="en-US" w:eastAsia="zh-CN"/>
              </w:rPr>
              <w:fldChar w:fldCharType="separate"/>
            </w:r>
            <w:r>
              <w:rPr>
                <w:rFonts w:hint="default" w:ascii="Times New Roman" w:hAnsi="Times New Roman" w:cs="Times New Roman"/>
                <w:sz w:val="16"/>
                <w:szCs w:val="24"/>
                <w:vertAlign w:val="superscript"/>
              </w:rPr>
              <w:t>[39]</w:t>
            </w:r>
            <w:r>
              <w:rPr>
                <w:rFonts w:hint="default" w:ascii="Times New Roman" w:hAnsi="Times New Roman"/>
                <w:b w:val="0"/>
                <w:bCs w:val="0"/>
                <w:sz w:val="16"/>
                <w:szCs w:val="16"/>
                <w:vertAlign w:val="baseline"/>
                <w:lang w:val="en-US" w:eastAsia="zh-CN"/>
              </w:rPr>
              <w:fldChar w:fldCharType="end"/>
            </w:r>
          </w:p>
        </w:tc>
        <w:tc>
          <w:tcPr>
            <w:tcW w:w="580" w:type="dxa"/>
            <w:tcBorders>
              <w:tl2br w:val="nil"/>
              <w:tr2bl w:val="nil"/>
            </w:tcBorders>
            <w:vAlign w:val="center"/>
          </w:tcPr>
          <w:p w14:paraId="05D3DE8E">
            <w:pPr>
              <w:snapToGrid w:val="0"/>
              <w:spacing w:beforeLines="0" w:afterLines="0"/>
              <w:jc w:val="center"/>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III期</w:t>
            </w:r>
          </w:p>
        </w:tc>
        <w:tc>
          <w:tcPr>
            <w:tcW w:w="650" w:type="dxa"/>
            <w:tcBorders>
              <w:tl2br w:val="nil"/>
              <w:tr2bl w:val="nil"/>
            </w:tcBorders>
            <w:vAlign w:val="center"/>
          </w:tcPr>
          <w:p w14:paraId="54FB8A16">
            <w:pPr>
              <w:snapToGrid w:val="0"/>
              <w:spacing w:beforeLines="0" w:afterLines="0"/>
              <w:jc w:val="center"/>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RCT</w:t>
            </w:r>
          </w:p>
        </w:tc>
        <w:tc>
          <w:tcPr>
            <w:tcW w:w="675" w:type="dxa"/>
            <w:tcBorders>
              <w:tl2br w:val="nil"/>
              <w:tr2bl w:val="nil"/>
            </w:tcBorders>
            <w:vAlign w:val="center"/>
          </w:tcPr>
          <w:p w14:paraId="54D22AFB">
            <w:pPr>
              <w:snapToGrid w:val="0"/>
              <w:spacing w:beforeLines="0" w:afterLines="0"/>
              <w:jc w:val="center"/>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ESCC</w:t>
            </w:r>
          </w:p>
        </w:tc>
        <w:tc>
          <w:tcPr>
            <w:tcW w:w="1644" w:type="dxa"/>
            <w:tcBorders>
              <w:tl2br w:val="nil"/>
              <w:tr2bl w:val="nil"/>
            </w:tcBorders>
            <w:vAlign w:val="center"/>
          </w:tcPr>
          <w:p w14:paraId="16F62573">
            <w:pPr>
              <w:snapToGrid w:val="0"/>
              <w:spacing w:beforeLines="0" w:afterLines="0"/>
              <w:jc w:val="center"/>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T1N2-3M0或T2-4aN0-3M0</w:t>
            </w:r>
          </w:p>
        </w:tc>
        <w:tc>
          <w:tcPr>
            <w:tcW w:w="662" w:type="dxa"/>
            <w:tcBorders>
              <w:tl2br w:val="nil"/>
              <w:tr2bl w:val="nil"/>
            </w:tcBorders>
            <w:vAlign w:val="center"/>
          </w:tcPr>
          <w:p w14:paraId="042E7191">
            <w:pPr>
              <w:snapToGrid w:val="0"/>
              <w:spacing w:beforeLines="0" w:afterLines="0"/>
              <w:jc w:val="center"/>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46</w:t>
            </w:r>
          </w:p>
        </w:tc>
        <w:tc>
          <w:tcPr>
            <w:tcW w:w="1238" w:type="dxa"/>
            <w:tcBorders>
              <w:tl2br w:val="nil"/>
              <w:tr2bl w:val="nil"/>
            </w:tcBorders>
            <w:vAlign w:val="center"/>
          </w:tcPr>
          <w:p w14:paraId="08D686B8">
            <w:pPr>
              <w:snapToGrid w:val="0"/>
              <w:spacing w:beforeLines="0" w:afterLines="0"/>
              <w:jc w:val="center"/>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信迪利单抗</w:t>
            </w:r>
          </w:p>
        </w:tc>
        <w:tc>
          <w:tcPr>
            <w:tcW w:w="737" w:type="dxa"/>
            <w:tcBorders>
              <w:tl2br w:val="nil"/>
              <w:tr2bl w:val="nil"/>
            </w:tcBorders>
            <w:vAlign w:val="center"/>
          </w:tcPr>
          <w:p w14:paraId="4F9A50B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nab-T</w:t>
            </w:r>
            <w:r>
              <w:rPr>
                <w:rFonts w:hint="eastAsia" w:ascii="Times New Roman" w:hAnsi="Times New Roman"/>
                <w:b w:val="0"/>
                <w:bCs w:val="0"/>
                <w:sz w:val="16"/>
                <w:szCs w:val="16"/>
                <w:vertAlign w:val="baseline"/>
                <w:lang w:val="en-US" w:eastAsia="zh-CN"/>
              </w:rPr>
              <w:t>C</w:t>
            </w:r>
          </w:p>
        </w:tc>
        <w:tc>
          <w:tcPr>
            <w:tcW w:w="519" w:type="dxa"/>
            <w:tcBorders>
              <w:tl2br w:val="nil"/>
              <w:tr2bl w:val="nil"/>
            </w:tcBorders>
            <w:vAlign w:val="center"/>
          </w:tcPr>
          <w:p w14:paraId="7D745DD4">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2</w:t>
            </w:r>
          </w:p>
        </w:tc>
        <w:tc>
          <w:tcPr>
            <w:tcW w:w="725" w:type="dxa"/>
            <w:tcBorders>
              <w:tl2br w:val="nil"/>
              <w:tr2bl w:val="nil"/>
            </w:tcBorders>
            <w:vAlign w:val="center"/>
          </w:tcPr>
          <w:p w14:paraId="3CE41739">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NR</w:t>
            </w:r>
          </w:p>
        </w:tc>
        <w:tc>
          <w:tcPr>
            <w:tcW w:w="611" w:type="dxa"/>
            <w:tcBorders>
              <w:tl2br w:val="nil"/>
              <w:tr2bl w:val="nil"/>
            </w:tcBorders>
            <w:vAlign w:val="center"/>
          </w:tcPr>
          <w:p w14:paraId="5E2A7A71">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100</w:t>
            </w:r>
          </w:p>
        </w:tc>
        <w:tc>
          <w:tcPr>
            <w:tcW w:w="660" w:type="dxa"/>
            <w:tcBorders>
              <w:tl2br w:val="nil"/>
              <w:tr2bl w:val="nil"/>
            </w:tcBorders>
            <w:vAlign w:val="center"/>
          </w:tcPr>
          <w:p w14:paraId="44C54B68">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1</w:t>
            </w:r>
            <w:r>
              <w:rPr>
                <w:rFonts w:hint="eastAsia" w:ascii="Times New Roman" w:hAnsi="Times New Roman"/>
                <w:b w:val="0"/>
                <w:bCs w:val="0"/>
                <w:sz w:val="16"/>
                <w:szCs w:val="16"/>
                <w:vertAlign w:val="baseline"/>
                <w:lang w:val="en-US" w:eastAsia="zh-CN"/>
              </w:rPr>
              <w:t>3.0</w:t>
            </w:r>
          </w:p>
        </w:tc>
        <w:tc>
          <w:tcPr>
            <w:tcW w:w="624" w:type="dxa"/>
            <w:tcBorders>
              <w:tl2br w:val="nil"/>
              <w:tr2bl w:val="nil"/>
            </w:tcBorders>
            <w:vAlign w:val="center"/>
          </w:tcPr>
          <w:p w14:paraId="4F9261FE">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2</w:t>
            </w:r>
            <w:r>
              <w:rPr>
                <w:rFonts w:hint="eastAsia" w:ascii="Times New Roman" w:hAnsi="Times New Roman"/>
                <w:b w:val="0"/>
                <w:bCs w:val="0"/>
                <w:sz w:val="16"/>
                <w:szCs w:val="16"/>
                <w:vertAlign w:val="baseline"/>
                <w:lang w:val="en-US" w:eastAsia="zh-CN"/>
              </w:rPr>
              <w:t>6.0</w:t>
            </w:r>
          </w:p>
        </w:tc>
        <w:tc>
          <w:tcPr>
            <w:tcW w:w="869" w:type="dxa"/>
            <w:tcBorders>
              <w:tl2br w:val="nil"/>
              <w:tr2bl w:val="nil"/>
            </w:tcBorders>
            <w:vAlign w:val="center"/>
          </w:tcPr>
          <w:p w14:paraId="4812CE70">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100</w:t>
            </w:r>
          </w:p>
        </w:tc>
        <w:tc>
          <w:tcPr>
            <w:tcW w:w="746" w:type="dxa"/>
            <w:tcBorders>
              <w:tl2br w:val="nil"/>
              <w:tr2bl w:val="nil"/>
            </w:tcBorders>
            <w:vAlign w:val="center"/>
          </w:tcPr>
          <w:p w14:paraId="1C8E5215">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0</w:t>
            </w:r>
          </w:p>
        </w:tc>
      </w:tr>
      <w:tr w14:paraId="3CFA5DA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62" w:type="dxa"/>
            <w:tcBorders>
              <w:tl2br w:val="nil"/>
              <w:tr2bl w:val="nil"/>
            </w:tcBorders>
            <w:vAlign w:val="center"/>
          </w:tcPr>
          <w:p w14:paraId="079D45E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NICE</w:t>
            </w:r>
            <w:r>
              <w:rPr>
                <w:rFonts w:hint="eastAsia" w:ascii="Times New Roman" w:hAnsi="Times New Roman"/>
                <w:b w:val="0"/>
                <w:bCs w:val="0"/>
                <w:sz w:val="16"/>
                <w:szCs w:val="16"/>
                <w:vertAlign w:val="baseline"/>
                <w:lang w:val="en-US" w:eastAsia="zh-CN"/>
              </w:rPr>
              <w:fldChar w:fldCharType="begin"/>
            </w:r>
            <w:r>
              <w:rPr>
                <w:rFonts w:hint="eastAsia" w:ascii="Times New Roman" w:hAnsi="Times New Roman"/>
                <w:b w:val="0"/>
                <w:bCs w:val="0"/>
                <w:sz w:val="16"/>
                <w:szCs w:val="16"/>
                <w:vertAlign w:val="baseline"/>
                <w:lang w:val="en-US" w:eastAsia="zh-CN"/>
              </w:rPr>
              <w:instrText xml:space="preserve"> ADDIN ZOTERO_ITEM CSL_CITATION {"citationID":"MMif4hr9","properties":{"formattedCitation":"\\super [40,43]\\nosupersub{}","plainCitation":"[40,43]","noteIndex":0},"citationItems":[{"id":1662,"uris":["http://zotero.org/users/15831584/items/BYUVPL6G"],"itemData":{"id":1662,"type":"article-journal","abstract":"Background\nCamrelizumab and chemotherapy demonstrated durable antitumor activity with a manageable safety profile as first-line treatment in patients with advanced esophageal squamous cell carcinoma (ESCC). This study aimed to evaluate the safety and efficacy of camrelizumab plus neoadjuvant chemotherapy, using pathologically complete response (pCR) as primary endpoint, in the treatment for locally advanced ESCC.\n\nMethods\nPatients with locally advanced but resectable thoracic ESCC, staged as T1b-4a, N2-3 (≥3 stations), and M0 or M1 lymph node metastasis (confined to the supraclavicular lymph nodes) were enrolled. Eligible patients received intravenous camrelizumab (200 mg, day 1) plus nab-paclitaxel (100 mg/m2, day 1, 8, 15) and carboplatin (area under curve of 5 mg/mL/min, day 1) of each 21-days cycle, for two cycles before surgery. The primary endpoint is pCR rate in the per-protocol population. Safety was assessed in the modified intention-to-treat population that was treated with at least one dose of camrelizumab.\n\nResults\nFrom November 20, 2019 to December 22, 2020, 60 patients were enrolled. 55 (91.7%) patients completed the full two-cycle treatment successfully. 51 patients underwent surgery and R0 resection was achieved in 50 (98.0%) patients. pCR (ypT0N0) was identified in 20 (39.2%) patients and 5 (9.8%) patients had complete response of the primary tumor but residual disease in lymph nodes alone (ypT0N+). 58 patients (96.7%) had any-grade treatment-related adverse events (TRAEs), with the most common being leukocytopenia (86.7%). 34 patients (56.7%) had adverse events of grade 3 or worse, and one patient (1.7%) occurred a grade 5 adverse event. There was no in-hospital and postoperative 30-day as well as 90-day mortality.\n\nConclusions\nThe robust antitumor activity of camrelizumab and chemotherapy was confirmed and demonstrated without unexpected safety signals. Our findings established camrelizumab and chemotherapy as a promising neoadjuvant treatment for locally advanced ESCC.\n\nTrial registration number\nChiCTR1900026240.","container-title":"Journal for Immunotherapy of Cancer","DOI":"10.1136/jitc-2021-004291","ISSN":"2051-1426","issue":"3","journalAbbreviation":"J. ImmunoTher. Cancer","language":"en","note":"TLDR: The findings established camrelizumab and chemotherapy as a promising neoadjuvant treatment for locally advanced ESCC with robust antitumor activity and demonstrated without unexpected safety signals.\nJCR分区: Q1\n中科院分区升级版: 医学1区\n影响因子: 10.6\n5年影响因子: 11.5\n南农高质量: A","page":"e004291","PMID":"35338088","PMCID":"PMC8961177","source":"PubMed Central","title":"Multicenter, single-arm, phase II trial of camrelizumab and chemotherapy as neoadjuvant treatment for locally advanced esophageal squamous cell carcinoma","volume":"10","author":[{"family":"Liu","given":"Jun"},{"family":"Yang","given":"Yang"},{"family":"Liu","given":"Zhichao"},{"family":"Fu","given":"Xiaolong"},{"family":"Cai","given":"Xiaoyue"},{"family":"Li","given":"Hongxuan"},{"family":"Zhu","given":"Li"},{"family":"Shen","given":"Yan"},{"family":"Zhang","given":"Hong"},{"family":"Sun","given":"Yifeng"},{"family":"Chen","given":"Hezhong"},{"family":"Yu","given":"Bentong"},{"family":"Zhang","given":"Renquan"},{"family":"Shao","given":"Jinchen"},{"family":"Zhang","given":"Ming"},{"family":"Li","given":"Zhigang"}],"issued":{"date-parts":[["2022",3,24]]}}},{"id":1424,"uris":["http://zotero.org/users/15831584/items/HGNUBDLR"],"itemData":{"id":1424,"type":"article-journal","abstract":"4060Background: We conducted a phase II trial of preoperative chemotherapy with albumin paclitaxel\nand carboplatin combined with camrelizumab (NICE regimen), in patients with locally\nadvanced esophageal squamous cell carcinoma (ESCC) with multiple lymph ...","container-title":"Journal of Clinical Oncology","issue":"15_suppl","journalAbbreviation":"J. Clin. Oncol.","language":"en","note":"5年影响因子: 38.2\nJCR分区: Q1\n中科院分区升级版: 医学1区\n南农高质量: A\n影响因子: 43.4","page":"4060","source":"ums.xjmu.edu.cn","title":"A phase II study of neoadjuvant immunotherapy combined with chemotherapy (camrelizumab plus albumin paclitaxel and carboplatin) in resectable thoracic esophageal squamous cell cancer (NICE study): interim results","title-short":"A phase II study of neoadjuvant immunotherapy combined with chemotherapy (camrelizumab plus albumin paclitaxel and carboplatin) in resectable thoracic esophageal squamous cell cancer (NICE study)","volume":"39","author":[{"literal":"Zhigang Li"},{"literal":"Jun Liu"},{"literal":"Ming Zhang"}],"issued":{"date-parts":[["2021"]]}}}],"schema":"https://github.com/citation-style-language/schema/raw/master/csl-citation.json"} </w:instrText>
            </w:r>
            <w:r>
              <w:rPr>
                <w:rFonts w:hint="eastAsia" w:ascii="Times New Roman" w:hAnsi="Times New Roman"/>
                <w:b w:val="0"/>
                <w:bCs w:val="0"/>
                <w:sz w:val="16"/>
                <w:szCs w:val="16"/>
                <w:vertAlign w:val="baseline"/>
                <w:lang w:val="en-US" w:eastAsia="zh-CN"/>
              </w:rPr>
              <w:fldChar w:fldCharType="separate"/>
            </w:r>
            <w:r>
              <w:rPr>
                <w:rFonts w:hint="default" w:ascii="Times New Roman" w:hAnsi="Times New Roman" w:cs="Times New Roman"/>
                <w:sz w:val="16"/>
                <w:szCs w:val="24"/>
                <w:vertAlign w:val="superscript"/>
              </w:rPr>
              <w:t>[40,43]</w:t>
            </w:r>
            <w:r>
              <w:rPr>
                <w:rFonts w:hint="eastAsia" w:ascii="Times New Roman" w:hAnsi="Times New Roman"/>
                <w:b w:val="0"/>
                <w:bCs w:val="0"/>
                <w:sz w:val="16"/>
                <w:szCs w:val="16"/>
                <w:vertAlign w:val="baseline"/>
                <w:lang w:val="en-US" w:eastAsia="zh-CN"/>
              </w:rPr>
              <w:fldChar w:fldCharType="end"/>
            </w:r>
          </w:p>
        </w:tc>
        <w:tc>
          <w:tcPr>
            <w:tcW w:w="580" w:type="dxa"/>
            <w:tcBorders>
              <w:tl2br w:val="nil"/>
              <w:tr2bl w:val="nil"/>
            </w:tcBorders>
            <w:vAlign w:val="center"/>
          </w:tcPr>
          <w:p w14:paraId="6D344693">
            <w:pPr>
              <w:snapToGrid w:val="0"/>
              <w:spacing w:beforeLines="0" w:afterLines="0"/>
              <w:jc w:val="center"/>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II期</w:t>
            </w:r>
          </w:p>
        </w:tc>
        <w:tc>
          <w:tcPr>
            <w:tcW w:w="650" w:type="dxa"/>
            <w:tcBorders>
              <w:tl2br w:val="nil"/>
              <w:tr2bl w:val="nil"/>
            </w:tcBorders>
            <w:vAlign w:val="center"/>
          </w:tcPr>
          <w:p w14:paraId="3D059C3D">
            <w:pPr>
              <w:snapToGrid w:val="0"/>
              <w:spacing w:beforeLines="0" w:afterLines="0"/>
              <w:jc w:val="center"/>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单臂</w:t>
            </w:r>
          </w:p>
        </w:tc>
        <w:tc>
          <w:tcPr>
            <w:tcW w:w="675" w:type="dxa"/>
            <w:tcBorders>
              <w:tl2br w:val="nil"/>
              <w:tr2bl w:val="nil"/>
            </w:tcBorders>
            <w:vAlign w:val="center"/>
          </w:tcPr>
          <w:p w14:paraId="04D8647B">
            <w:pPr>
              <w:snapToGrid w:val="0"/>
              <w:spacing w:beforeLines="0" w:afterLines="0"/>
              <w:jc w:val="center"/>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ESCC</w:t>
            </w:r>
          </w:p>
        </w:tc>
        <w:tc>
          <w:tcPr>
            <w:tcW w:w="1644" w:type="dxa"/>
            <w:tcBorders>
              <w:tl2br w:val="nil"/>
              <w:tr2bl w:val="nil"/>
            </w:tcBorders>
            <w:vAlign w:val="center"/>
          </w:tcPr>
          <w:p w14:paraId="5B75027A">
            <w:pPr>
              <w:snapToGrid w:val="0"/>
              <w:spacing w:beforeLines="0" w:afterLines="0"/>
              <w:jc w:val="center"/>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T1b-4aN2-3M0-M1*</w:t>
            </w:r>
          </w:p>
        </w:tc>
        <w:tc>
          <w:tcPr>
            <w:tcW w:w="662" w:type="dxa"/>
            <w:tcBorders>
              <w:tl2br w:val="nil"/>
              <w:tr2bl w:val="nil"/>
            </w:tcBorders>
            <w:vAlign w:val="center"/>
          </w:tcPr>
          <w:p w14:paraId="72E16D5F">
            <w:pPr>
              <w:snapToGrid w:val="0"/>
              <w:spacing w:beforeLines="0" w:afterLines="0"/>
              <w:jc w:val="center"/>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60</w:t>
            </w:r>
          </w:p>
        </w:tc>
        <w:tc>
          <w:tcPr>
            <w:tcW w:w="1238" w:type="dxa"/>
            <w:tcBorders>
              <w:tl2br w:val="nil"/>
              <w:tr2bl w:val="nil"/>
            </w:tcBorders>
            <w:vAlign w:val="center"/>
          </w:tcPr>
          <w:p w14:paraId="469D58D4">
            <w:pPr>
              <w:snapToGrid w:val="0"/>
              <w:spacing w:beforeLines="0" w:afterLines="0"/>
              <w:jc w:val="center"/>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卡瑞</w:t>
            </w:r>
            <w:r>
              <w:rPr>
                <w:rFonts w:hint="eastAsia" w:ascii="Times New Roman" w:hAnsi="Times New Roman"/>
                <w:sz w:val="16"/>
                <w:szCs w:val="16"/>
                <w:lang w:val="en-US" w:eastAsia="zh-CN"/>
              </w:rPr>
              <w:t>利</w:t>
            </w:r>
            <w:r>
              <w:rPr>
                <w:rFonts w:hint="default" w:ascii="Times New Roman" w:hAnsi="Times New Roman"/>
                <w:sz w:val="16"/>
                <w:szCs w:val="16"/>
              </w:rPr>
              <w:t>珠单抗</w:t>
            </w:r>
          </w:p>
        </w:tc>
        <w:tc>
          <w:tcPr>
            <w:tcW w:w="737" w:type="dxa"/>
            <w:tcBorders>
              <w:tl2br w:val="nil"/>
              <w:tr2bl w:val="nil"/>
            </w:tcBorders>
            <w:vAlign w:val="center"/>
          </w:tcPr>
          <w:p w14:paraId="4C55422D">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nab-TC</w:t>
            </w:r>
          </w:p>
        </w:tc>
        <w:tc>
          <w:tcPr>
            <w:tcW w:w="519" w:type="dxa"/>
            <w:tcBorders>
              <w:tl2br w:val="nil"/>
              <w:tr2bl w:val="nil"/>
            </w:tcBorders>
            <w:vAlign w:val="center"/>
          </w:tcPr>
          <w:p w14:paraId="0B5DDF76">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2</w:t>
            </w:r>
          </w:p>
        </w:tc>
        <w:tc>
          <w:tcPr>
            <w:tcW w:w="725" w:type="dxa"/>
            <w:tcBorders>
              <w:tl2br w:val="nil"/>
              <w:tr2bl w:val="nil"/>
            </w:tcBorders>
            <w:vAlign w:val="center"/>
          </w:tcPr>
          <w:p w14:paraId="60B8EAD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5.1</w:t>
            </w:r>
          </w:p>
        </w:tc>
        <w:tc>
          <w:tcPr>
            <w:tcW w:w="611" w:type="dxa"/>
            <w:tcBorders>
              <w:tl2br w:val="nil"/>
              <w:tr2bl w:val="nil"/>
            </w:tcBorders>
            <w:vAlign w:val="center"/>
          </w:tcPr>
          <w:p w14:paraId="156F280A">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85.0</w:t>
            </w:r>
          </w:p>
        </w:tc>
        <w:tc>
          <w:tcPr>
            <w:tcW w:w="660" w:type="dxa"/>
            <w:tcBorders>
              <w:tl2br w:val="nil"/>
              <w:tr2bl w:val="nil"/>
            </w:tcBorders>
            <w:vAlign w:val="center"/>
          </w:tcPr>
          <w:p w14:paraId="09069AAC">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39.2</w:t>
            </w:r>
          </w:p>
        </w:tc>
        <w:tc>
          <w:tcPr>
            <w:tcW w:w="624" w:type="dxa"/>
            <w:tcBorders>
              <w:tl2br w:val="nil"/>
              <w:tr2bl w:val="nil"/>
            </w:tcBorders>
            <w:vAlign w:val="center"/>
          </w:tcPr>
          <w:p w14:paraId="0BEBE9DA">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68.6</w:t>
            </w:r>
          </w:p>
        </w:tc>
        <w:tc>
          <w:tcPr>
            <w:tcW w:w="869" w:type="dxa"/>
            <w:tcBorders>
              <w:tl2br w:val="nil"/>
              <w:tr2bl w:val="nil"/>
            </w:tcBorders>
            <w:vAlign w:val="center"/>
          </w:tcPr>
          <w:p w14:paraId="0F395CB4">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98.0</w:t>
            </w:r>
          </w:p>
        </w:tc>
        <w:tc>
          <w:tcPr>
            <w:tcW w:w="746" w:type="dxa"/>
            <w:tcBorders>
              <w:tl2br w:val="nil"/>
              <w:tr2bl w:val="nil"/>
            </w:tcBorders>
            <w:vAlign w:val="center"/>
          </w:tcPr>
          <w:p w14:paraId="0ADA42CA">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56.7</w:t>
            </w:r>
          </w:p>
        </w:tc>
      </w:tr>
      <w:tr w14:paraId="6137303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7" w:hRule="atLeast"/>
          <w:jc w:val="center"/>
        </w:trPr>
        <w:tc>
          <w:tcPr>
            <w:tcW w:w="1162" w:type="dxa"/>
            <w:tcBorders>
              <w:tl2br w:val="nil"/>
              <w:tr2bl w:val="nil"/>
            </w:tcBorders>
            <w:vAlign w:val="center"/>
          </w:tcPr>
          <w:p w14:paraId="2F9E020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TD-NICE</w:t>
            </w:r>
            <w:r>
              <w:rPr>
                <w:rFonts w:hint="eastAsia" w:ascii="Times New Roman" w:hAnsi="Times New Roman"/>
                <w:b w:val="0"/>
                <w:bCs w:val="0"/>
                <w:sz w:val="16"/>
                <w:szCs w:val="16"/>
                <w:vertAlign w:val="baseline"/>
                <w:lang w:val="en-US" w:eastAsia="zh-CN"/>
              </w:rPr>
              <w:fldChar w:fldCharType="begin"/>
            </w:r>
            <w:r>
              <w:rPr>
                <w:rFonts w:hint="eastAsia" w:ascii="Times New Roman" w:hAnsi="Times New Roman"/>
                <w:b w:val="0"/>
                <w:bCs w:val="0"/>
                <w:sz w:val="16"/>
                <w:szCs w:val="16"/>
                <w:vertAlign w:val="baseline"/>
                <w:lang w:val="en-US" w:eastAsia="zh-CN"/>
              </w:rPr>
              <w:instrText xml:space="preserve"> ADDIN ZOTERO_ITEM CSL_CITATION {"citationID":"0hAvDgdh","properties":{"formattedCitation":"\\super [7]\\nosupersub{}","plainCitation":"[7]","noteIndex":0},"citationItems":[{"id":1430,"uris":["http://zotero.org/users/15831584/items/F7LUHAQT"],"itemData":{"id":1430,"type":"article-journal","abstract":"BACKGROUND: Clinical benefit of neoadjuvant immunotherapy in resectable esophageal squamous cell carcinoma (ESCC). remains unclear. This study evaluated the efficacy and safety of the programmed death 1 (PD-1) inhibitor tislelizumab combined with chemotherapy as neoadjuvant therapy in patients with resectable ESCC.\nMETHODS: Treatment-naïve patients were enrolled and eligible patients received 3 cycles of neoadjuvant therapy with tislelizumab, carboplatin, and nab-paclitaxel. The primary endpoint was surgery patients major pathological response (MPR). Subgroup analysis was stratified by tumor downstaging, circumferential resection margin (CRM), PD-ligand 1 (PD-L1) expression, and tumor mutation burden (TMB). Safety was assessed by adverse events (AEs) and postoperative complications.\nRESULTS: Between September 2020 and March 2021, 45 patients were enrolled. Thirty-six (80.0%) of 45 patients underwent surgery, and 29 (80.5%) underwent successful R0 resection. MPR and pathological complete response (pCR) for surgery patients were 72.0% and 50.0%, respectively. Intention to treatment (ITT) patients MPR and PCR were 57.5% and 40%. Downgrading occurred in 75% of 36 patients. MPR and pCR were identified to be associated with tumor downstaging and CRM but not PD-L1 expression or TMB. TPS levels in MPR and pCR group were significantly higher than that in Non-MPR and Non-pCR group, respectively. Treatment-related AEs of grade 3-4 and immune-related AEs occurred in 42.2% and 22.2% of 45 patients, respectively, and postoperative complications occurred in 77.8% of 36 patients. No treatment-related surgical delay or death occurred. No associations between gene mutation and pathological efficacy were observed.\nCONCLUSIONS: Tislelizumab plus chemotherapy as neoadjuvant therapy demonstrates promising antitumor activity for resectable ESCC with high rates of MPR, pCR, and R0 resection, as well as acceptable tolerability.","container-title":"International Journal of Surgery","DOI":"10.1016/j.ijsu.2022.106680","ISSN":"17439191","journalAbbreviation":"Int. J. Surg.","language":"en","note":"5年影响因子: 10.4\nJCR分区: Q1\nTLDR: Tislelizumab plus chemotherapy as neoadjuvant therapy demonstrates promising antitumor activity for resectable ESCC with high rates of MPR, pCR, and R0 resection, as well as acceptable tolerability.\n中科院分区升级版: 医学2区\n影响因子: 10.3\n南农高质量: A","page":"106680","PMID":"35595021","source":"PubMed","title":"Tislelizumab combined with chemotherapy as neoadjuvant therapy for surgically resectable esophageal cancer: a prospective, single-arm, phase II study (TD-NICE)","title-short":"Tislelizumab combined with chemotherapy as neoadjuvant therapy for surgically resectable esophageal cancer","volume":"103","author":[{"family":"Yan","given":"Xiaolong"},{"family":"Duan","given":"Hongtao"},{"family":"Ni","given":"Yunfeng"},{"family":"Zhou","given":"Yongan"},{"family":"Wang","given":"Xiaoping"},{"family":"Qi","given":"Haini"},{"family":"Gong","given":"Li"},{"family":"Liu","given":"Honggang"},{"family":"Tian","given":"Feng"},{"family":"Lu","given":"Qiang"},{"family":"Sun","given":"Jianyong"},{"family":"Yang","given":"Ende"},{"family":"Zhong","given":"Daixing"},{"family":"Wang","given":"Tao"},{"family":"Huang","given":"Lijun"},{"family":"Wang","given":"Jian"},{"literal":"Chaoyang Wang"},{"family":"Wang","given":"Yuanyong"},{"family":"Wan","given":"Zhiyi"},{"family":"Lei","given":"Jie"},{"family":"Zhao","given":"Jinbo"},{"family":"Jiang","given":"Tao"}],"issued":{"date-parts":[["2022",7]]}}}],"schema":"https://github.com/citation-style-language/schema/raw/master/csl-citation.json"} </w:instrText>
            </w:r>
            <w:r>
              <w:rPr>
                <w:rFonts w:hint="eastAsia" w:ascii="Times New Roman" w:hAnsi="Times New Roman"/>
                <w:b w:val="0"/>
                <w:bCs w:val="0"/>
                <w:sz w:val="16"/>
                <w:szCs w:val="16"/>
                <w:vertAlign w:val="baseline"/>
                <w:lang w:val="en-US" w:eastAsia="zh-CN"/>
              </w:rPr>
              <w:fldChar w:fldCharType="separate"/>
            </w:r>
            <w:r>
              <w:rPr>
                <w:rFonts w:hint="default" w:ascii="Times New Roman" w:hAnsi="Times New Roman" w:cs="Times New Roman"/>
                <w:sz w:val="16"/>
                <w:szCs w:val="24"/>
                <w:vertAlign w:val="superscript"/>
              </w:rPr>
              <w:t>[7]</w:t>
            </w:r>
            <w:r>
              <w:rPr>
                <w:rFonts w:hint="eastAsia" w:ascii="Times New Roman" w:hAnsi="Times New Roman"/>
                <w:b w:val="0"/>
                <w:bCs w:val="0"/>
                <w:sz w:val="16"/>
                <w:szCs w:val="16"/>
                <w:vertAlign w:val="baseline"/>
                <w:lang w:val="en-US" w:eastAsia="zh-CN"/>
              </w:rPr>
              <w:fldChar w:fldCharType="end"/>
            </w:r>
          </w:p>
        </w:tc>
        <w:tc>
          <w:tcPr>
            <w:tcW w:w="580" w:type="dxa"/>
            <w:tcBorders>
              <w:tl2br w:val="nil"/>
              <w:tr2bl w:val="nil"/>
            </w:tcBorders>
            <w:vAlign w:val="center"/>
          </w:tcPr>
          <w:p w14:paraId="2040DB65">
            <w:pPr>
              <w:snapToGrid w:val="0"/>
              <w:spacing w:beforeLines="0" w:afterLines="0"/>
              <w:jc w:val="center"/>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II期</w:t>
            </w:r>
          </w:p>
        </w:tc>
        <w:tc>
          <w:tcPr>
            <w:tcW w:w="650" w:type="dxa"/>
            <w:tcBorders>
              <w:tl2br w:val="nil"/>
              <w:tr2bl w:val="nil"/>
            </w:tcBorders>
            <w:vAlign w:val="center"/>
          </w:tcPr>
          <w:p w14:paraId="2E453447">
            <w:pPr>
              <w:snapToGrid w:val="0"/>
              <w:spacing w:beforeLines="0" w:afterLines="0"/>
              <w:jc w:val="center"/>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单臂</w:t>
            </w:r>
          </w:p>
        </w:tc>
        <w:tc>
          <w:tcPr>
            <w:tcW w:w="675" w:type="dxa"/>
            <w:tcBorders>
              <w:tl2br w:val="nil"/>
              <w:tr2bl w:val="nil"/>
            </w:tcBorders>
            <w:vAlign w:val="center"/>
          </w:tcPr>
          <w:p w14:paraId="1C1700DD">
            <w:pPr>
              <w:snapToGrid w:val="0"/>
              <w:spacing w:beforeLines="0" w:afterLines="0"/>
              <w:jc w:val="center"/>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ESCC</w:t>
            </w:r>
          </w:p>
        </w:tc>
        <w:tc>
          <w:tcPr>
            <w:tcW w:w="1644" w:type="dxa"/>
            <w:tcBorders>
              <w:tl2br w:val="nil"/>
              <w:tr2bl w:val="nil"/>
            </w:tcBorders>
            <w:vAlign w:val="center"/>
          </w:tcPr>
          <w:p w14:paraId="54AA6F9F">
            <w:pPr>
              <w:snapToGrid w:val="0"/>
              <w:spacing w:beforeLines="0" w:afterLines="0"/>
              <w:jc w:val="center"/>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T2-4aNxM0</w:t>
            </w:r>
          </w:p>
        </w:tc>
        <w:tc>
          <w:tcPr>
            <w:tcW w:w="662" w:type="dxa"/>
            <w:tcBorders>
              <w:tl2br w:val="nil"/>
              <w:tr2bl w:val="nil"/>
            </w:tcBorders>
            <w:vAlign w:val="center"/>
          </w:tcPr>
          <w:p w14:paraId="22CE8196">
            <w:pPr>
              <w:snapToGrid w:val="0"/>
              <w:spacing w:beforeLines="0" w:afterLines="0"/>
              <w:jc w:val="center"/>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45</w:t>
            </w:r>
          </w:p>
        </w:tc>
        <w:tc>
          <w:tcPr>
            <w:tcW w:w="1238" w:type="dxa"/>
            <w:tcBorders>
              <w:tl2br w:val="nil"/>
              <w:tr2bl w:val="nil"/>
            </w:tcBorders>
            <w:vAlign w:val="center"/>
          </w:tcPr>
          <w:p w14:paraId="040172DC">
            <w:pPr>
              <w:snapToGrid w:val="0"/>
              <w:spacing w:beforeLines="0" w:afterLines="0"/>
              <w:jc w:val="center"/>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替雷利珠单抗</w:t>
            </w:r>
          </w:p>
        </w:tc>
        <w:tc>
          <w:tcPr>
            <w:tcW w:w="737" w:type="dxa"/>
            <w:tcBorders>
              <w:tl2br w:val="nil"/>
              <w:tr2bl w:val="nil"/>
            </w:tcBorders>
            <w:vAlign w:val="center"/>
          </w:tcPr>
          <w:p w14:paraId="27F16141">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nab-TC</w:t>
            </w:r>
          </w:p>
        </w:tc>
        <w:tc>
          <w:tcPr>
            <w:tcW w:w="519" w:type="dxa"/>
            <w:tcBorders>
              <w:tl2br w:val="nil"/>
              <w:tr2bl w:val="nil"/>
            </w:tcBorders>
            <w:vAlign w:val="center"/>
          </w:tcPr>
          <w:p w14:paraId="3D1A180D">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3</w:t>
            </w:r>
          </w:p>
        </w:tc>
        <w:tc>
          <w:tcPr>
            <w:tcW w:w="725" w:type="dxa"/>
            <w:tcBorders>
              <w:tl2br w:val="nil"/>
              <w:tr2bl w:val="nil"/>
            </w:tcBorders>
            <w:vAlign w:val="center"/>
          </w:tcPr>
          <w:p w14:paraId="0E4F5AA8">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4.3</w:t>
            </w:r>
          </w:p>
        </w:tc>
        <w:tc>
          <w:tcPr>
            <w:tcW w:w="611" w:type="dxa"/>
            <w:tcBorders>
              <w:tl2br w:val="nil"/>
              <w:tr2bl w:val="nil"/>
            </w:tcBorders>
            <w:vAlign w:val="center"/>
          </w:tcPr>
          <w:p w14:paraId="792DCE7C">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80.0</w:t>
            </w:r>
          </w:p>
        </w:tc>
        <w:tc>
          <w:tcPr>
            <w:tcW w:w="660" w:type="dxa"/>
            <w:tcBorders>
              <w:tl2br w:val="nil"/>
              <w:tr2bl w:val="nil"/>
            </w:tcBorders>
            <w:vAlign w:val="center"/>
          </w:tcPr>
          <w:p w14:paraId="6F80F393">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50.0</w:t>
            </w:r>
          </w:p>
        </w:tc>
        <w:tc>
          <w:tcPr>
            <w:tcW w:w="624" w:type="dxa"/>
            <w:tcBorders>
              <w:tl2br w:val="nil"/>
              <w:tr2bl w:val="nil"/>
            </w:tcBorders>
            <w:vAlign w:val="center"/>
          </w:tcPr>
          <w:p w14:paraId="150AEEF9">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72.0</w:t>
            </w:r>
          </w:p>
        </w:tc>
        <w:tc>
          <w:tcPr>
            <w:tcW w:w="869" w:type="dxa"/>
            <w:tcBorders>
              <w:tl2br w:val="nil"/>
              <w:tr2bl w:val="nil"/>
            </w:tcBorders>
            <w:vAlign w:val="center"/>
          </w:tcPr>
          <w:p w14:paraId="11D7E81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80.5</w:t>
            </w:r>
          </w:p>
        </w:tc>
        <w:tc>
          <w:tcPr>
            <w:tcW w:w="746" w:type="dxa"/>
            <w:tcBorders>
              <w:tl2br w:val="nil"/>
              <w:tr2bl w:val="nil"/>
            </w:tcBorders>
            <w:vAlign w:val="center"/>
          </w:tcPr>
          <w:p w14:paraId="5D02CED1">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42.2</w:t>
            </w:r>
          </w:p>
        </w:tc>
      </w:tr>
      <w:tr w14:paraId="1B3733E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62" w:type="dxa"/>
            <w:tcBorders>
              <w:tl2br w:val="nil"/>
              <w:tr2bl w:val="nil"/>
            </w:tcBorders>
            <w:vAlign w:val="center"/>
          </w:tcPr>
          <w:p w14:paraId="160FE449">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PEN-ICE</w:t>
            </w:r>
            <w:r>
              <w:rPr>
                <w:rFonts w:hint="default" w:ascii="Times New Roman" w:hAnsi="Times New Roman"/>
                <w:b w:val="0"/>
                <w:bCs w:val="0"/>
                <w:sz w:val="16"/>
                <w:szCs w:val="16"/>
                <w:vertAlign w:val="baseline"/>
                <w:lang w:val="en-US" w:eastAsia="zh-CN"/>
              </w:rPr>
              <w:fldChar w:fldCharType="begin"/>
            </w:r>
            <w:r>
              <w:rPr>
                <w:rFonts w:hint="eastAsia" w:ascii="Times New Roman" w:hAnsi="Times New Roman"/>
                <w:b w:val="0"/>
                <w:bCs w:val="0"/>
                <w:sz w:val="16"/>
                <w:szCs w:val="16"/>
                <w:vertAlign w:val="baseline"/>
                <w:lang w:val="en-US" w:eastAsia="zh-CN"/>
              </w:rPr>
              <w:instrText xml:space="preserve"> ADDIN ZOTERO_ITEM CSL_CITATION {"citationID":"wNfMEONj","properties":{"formattedCitation":"\\super [8]\\nosupersub{}","plainCitation":"[8]","noteIndex":0},"citationItems":[{"id":1479,"uris":["http://zotero.org/users/15831584/items/V6GKLLM2"],"itemData":{"id":1479,"type":"article-journal","abstract":"Background\n              In this single-arm study, the efficacy and safety of neoadjuvant pembrolizumab plus chemotherapy were evaluated in patients with resectable esophageal squamous cell carcinoma (ESCC).\n            \n            \n              Methods\n              This study included patients with ESCC of clinical stages II–IVA who underwent surgery within 4 to 6 weeks after completing treatment with pembrolizumab (200 mg) combined with a conventional chemotherapy regimen (3 cycles). The safety and efficacy of this combination treatment were evaluated as primary endpoints of the study.\n            \n            \n              Results\n              \n                From April 2019 to August 2020, a total of 18 patients (including 14 men) were enrolled, of whom 13 patients progressed to surgery. Postoperative pathology revealed a major pathological response (MPR) in 9 cases (9/13, 69.2%) and a pathological complete response (pCR) in 6 cases (6/13, 46.2%). Five patients (5/18, 27.8%) experienced serious treatment-related adverse events (AEs) of grades 3–4. At the time of data cutoff (Mar 25, 2022), the shortest duration of follow-up was 17.8 months. Programmed death-ligand 1 (PD-L1) expression in pretreatment specimens was not significantly associated with the percentage of residual viable tumor (RVT) (r=−0.55, P=0.08). Changes in counts of CD68\n                +\n                macrophage between pre- and post-treatment specimens were weakly correlated with RVT (r=0.71; P=0.07), while a positive correlation was observed between postoperative forkhead box P3-positive (Foxp3)\n                +\n                T cells/CD4\n                +\n                Tcells ratios and RVT (r=0.84, P\n                =\n                0.03).\n              \n            \n            \n              Conclusions\n              The combination of neoadjuvant immunotherapy and chemotherapy for ESCC is associated with a high pathological response and immunologic effects in the tumor microenvironment (TME). It has acceptable toxicity and great efficacy, suggesting a strong rationale for its further evaluation in randomized clinical trials (RCTs).\n            \n            \n              Trial Registration\n              ChiCTR2100048917.","container-title":"Frontiers in Immunology","DOI":"10.3389/fimmu.2022.849984","ISSN":"1664-3224","journalAbbreviation":"Front. Immunol.","language":"en","note":"5年影响因子: 6.8\nJCR分区: Q1\nTLDR: The combination of neoadjuvant immunotherapy and chemotherapy for ESCC is associated with a high pathological response and immunologic effects in the tumor microenvironment (TME), suggesting a strong rationale for its further evaluation in randomized clinical trials (RCTs).\n中科院分区升级版: 医学2区\n南农高质量: A\n影响因子: 5.9","page":"849984","PMID":"35720388","PMCID":"PMC9202755","source":"PubMed Central","title":"Neoadjuvant pembrolizumab and chemotherapy in resectable esophageal cancer: an open-label, single-arm study (PEN-ICE)","title-short":"Neoadjuvant pembrolizumab and chemotherapy in resectable esophageal cancer","volume":"13","author":[{"family":"Duan","given":"Hongtao"},{"family":"Shao","given":"Changjian"},{"family":"Pan","given":"Minghong"},{"family":"Liu","given":"Honggang"},{"family":"Dong","given":"Xiaoping"},{"family":"Zhang","given":"Yong"},{"family":"Tong","given":"Liping"},{"family":"Feng","given":"Yingtong"},{"family":"Wang","given":"Yuanyuan"},{"family":"Wang","given":"Lu"},{"family":"Newman","given":"Neil B."},{"family":"Sarkaria","given":"Inderpal S."},{"family":"Reynolds","given":"John V."},{"family":"De Cobelli","given":"Francesco"},{"family":"Ma","given":"Zhiqiang"},{"family":"Jiang","given":"Tao"},{"family":"Yan","given":"Xiaolong"}],"issued":{"date-parts":[["2022",6,2]]}}}],"schema":"https://github.com/citation-style-language/schema/raw/master/csl-citation.json"} </w:instrText>
            </w:r>
            <w:r>
              <w:rPr>
                <w:rFonts w:hint="default" w:ascii="Times New Roman" w:hAnsi="Times New Roman"/>
                <w:b w:val="0"/>
                <w:bCs w:val="0"/>
                <w:sz w:val="16"/>
                <w:szCs w:val="16"/>
                <w:vertAlign w:val="baseline"/>
                <w:lang w:val="en-US" w:eastAsia="zh-CN"/>
              </w:rPr>
              <w:fldChar w:fldCharType="separate"/>
            </w:r>
            <w:r>
              <w:rPr>
                <w:rFonts w:hint="default" w:ascii="Times New Roman" w:hAnsi="Times New Roman" w:cs="Times New Roman"/>
                <w:sz w:val="16"/>
                <w:szCs w:val="24"/>
                <w:vertAlign w:val="superscript"/>
              </w:rPr>
              <w:t>[8]</w:t>
            </w:r>
            <w:r>
              <w:rPr>
                <w:rFonts w:hint="default" w:ascii="Times New Roman" w:hAnsi="Times New Roman"/>
                <w:b w:val="0"/>
                <w:bCs w:val="0"/>
                <w:sz w:val="16"/>
                <w:szCs w:val="16"/>
                <w:vertAlign w:val="baseline"/>
                <w:lang w:val="en-US" w:eastAsia="zh-CN"/>
              </w:rPr>
              <w:fldChar w:fldCharType="end"/>
            </w:r>
          </w:p>
        </w:tc>
        <w:tc>
          <w:tcPr>
            <w:tcW w:w="580" w:type="dxa"/>
            <w:tcBorders>
              <w:tl2br w:val="nil"/>
              <w:tr2bl w:val="nil"/>
            </w:tcBorders>
            <w:vAlign w:val="center"/>
          </w:tcPr>
          <w:p w14:paraId="441011E0">
            <w:pPr>
              <w:snapToGrid w:val="0"/>
              <w:spacing w:beforeLines="0" w:afterLines="0"/>
              <w:jc w:val="center"/>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II期</w:t>
            </w:r>
          </w:p>
        </w:tc>
        <w:tc>
          <w:tcPr>
            <w:tcW w:w="650" w:type="dxa"/>
            <w:tcBorders>
              <w:tl2br w:val="nil"/>
              <w:tr2bl w:val="nil"/>
            </w:tcBorders>
            <w:vAlign w:val="center"/>
          </w:tcPr>
          <w:p w14:paraId="705796B7">
            <w:pPr>
              <w:snapToGrid w:val="0"/>
              <w:spacing w:beforeLines="0" w:afterLines="0"/>
              <w:jc w:val="center"/>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单臂</w:t>
            </w:r>
          </w:p>
        </w:tc>
        <w:tc>
          <w:tcPr>
            <w:tcW w:w="675" w:type="dxa"/>
            <w:tcBorders>
              <w:tl2br w:val="nil"/>
              <w:tr2bl w:val="nil"/>
            </w:tcBorders>
            <w:vAlign w:val="center"/>
          </w:tcPr>
          <w:p w14:paraId="51230962">
            <w:pPr>
              <w:snapToGrid w:val="0"/>
              <w:spacing w:beforeLines="0" w:afterLines="0"/>
              <w:jc w:val="center"/>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ESCC</w:t>
            </w:r>
          </w:p>
        </w:tc>
        <w:tc>
          <w:tcPr>
            <w:tcW w:w="1644" w:type="dxa"/>
            <w:tcBorders>
              <w:tl2br w:val="nil"/>
              <w:tr2bl w:val="nil"/>
            </w:tcBorders>
            <w:vAlign w:val="center"/>
          </w:tcPr>
          <w:p w14:paraId="12C2FF32">
            <w:pPr>
              <w:snapToGrid w:val="0"/>
              <w:spacing w:beforeLines="0" w:afterLines="0"/>
              <w:jc w:val="center"/>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T2-4aNxM0</w:t>
            </w:r>
          </w:p>
        </w:tc>
        <w:tc>
          <w:tcPr>
            <w:tcW w:w="662" w:type="dxa"/>
            <w:tcBorders>
              <w:tl2br w:val="nil"/>
              <w:tr2bl w:val="nil"/>
            </w:tcBorders>
            <w:vAlign w:val="center"/>
          </w:tcPr>
          <w:p w14:paraId="4D7AAA29">
            <w:pPr>
              <w:snapToGrid w:val="0"/>
              <w:spacing w:beforeLines="0" w:afterLines="0"/>
              <w:jc w:val="center"/>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18</w:t>
            </w:r>
          </w:p>
        </w:tc>
        <w:tc>
          <w:tcPr>
            <w:tcW w:w="1238" w:type="dxa"/>
            <w:tcBorders>
              <w:tl2br w:val="nil"/>
              <w:tr2bl w:val="nil"/>
            </w:tcBorders>
            <w:vAlign w:val="center"/>
          </w:tcPr>
          <w:p w14:paraId="5AF1E8EE">
            <w:pPr>
              <w:snapToGrid w:val="0"/>
              <w:spacing w:beforeLines="0" w:afterLines="0"/>
              <w:jc w:val="center"/>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帕博利珠单抗</w:t>
            </w:r>
          </w:p>
        </w:tc>
        <w:tc>
          <w:tcPr>
            <w:tcW w:w="737" w:type="dxa"/>
            <w:tcBorders>
              <w:tl2br w:val="nil"/>
              <w:tr2bl w:val="nil"/>
            </w:tcBorders>
            <w:vAlign w:val="center"/>
          </w:tcPr>
          <w:p w14:paraId="00C59E11">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ND/nab-TN</w:t>
            </w:r>
          </w:p>
        </w:tc>
        <w:tc>
          <w:tcPr>
            <w:tcW w:w="519" w:type="dxa"/>
            <w:tcBorders>
              <w:tl2br w:val="nil"/>
              <w:tr2bl w:val="nil"/>
            </w:tcBorders>
            <w:vAlign w:val="center"/>
          </w:tcPr>
          <w:p w14:paraId="3C1E8EF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3</w:t>
            </w:r>
          </w:p>
        </w:tc>
        <w:tc>
          <w:tcPr>
            <w:tcW w:w="725" w:type="dxa"/>
            <w:tcBorders>
              <w:tl2br w:val="nil"/>
              <w:tr2bl w:val="nil"/>
            </w:tcBorders>
            <w:vAlign w:val="center"/>
          </w:tcPr>
          <w:p w14:paraId="51EA62C7">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NR</w:t>
            </w:r>
          </w:p>
        </w:tc>
        <w:tc>
          <w:tcPr>
            <w:tcW w:w="611" w:type="dxa"/>
            <w:tcBorders>
              <w:tl2br w:val="nil"/>
              <w:tr2bl w:val="nil"/>
            </w:tcBorders>
            <w:vAlign w:val="center"/>
          </w:tcPr>
          <w:p w14:paraId="31F11DBD">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72.2</w:t>
            </w:r>
          </w:p>
        </w:tc>
        <w:tc>
          <w:tcPr>
            <w:tcW w:w="660" w:type="dxa"/>
            <w:tcBorders>
              <w:tl2br w:val="nil"/>
              <w:tr2bl w:val="nil"/>
            </w:tcBorders>
            <w:vAlign w:val="center"/>
          </w:tcPr>
          <w:p w14:paraId="0D59A59A">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46.2</w:t>
            </w:r>
          </w:p>
        </w:tc>
        <w:tc>
          <w:tcPr>
            <w:tcW w:w="624" w:type="dxa"/>
            <w:tcBorders>
              <w:tl2br w:val="nil"/>
              <w:tr2bl w:val="nil"/>
            </w:tcBorders>
            <w:vAlign w:val="center"/>
          </w:tcPr>
          <w:p w14:paraId="28BB3989">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69.2</w:t>
            </w:r>
          </w:p>
        </w:tc>
        <w:tc>
          <w:tcPr>
            <w:tcW w:w="869" w:type="dxa"/>
            <w:tcBorders>
              <w:tl2br w:val="nil"/>
              <w:tr2bl w:val="nil"/>
            </w:tcBorders>
            <w:vAlign w:val="center"/>
          </w:tcPr>
          <w:p w14:paraId="29F7F96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84.6</w:t>
            </w:r>
          </w:p>
        </w:tc>
        <w:tc>
          <w:tcPr>
            <w:tcW w:w="746" w:type="dxa"/>
            <w:tcBorders>
              <w:tl2br w:val="nil"/>
              <w:tr2bl w:val="nil"/>
            </w:tcBorders>
            <w:vAlign w:val="center"/>
          </w:tcPr>
          <w:p w14:paraId="76C37535">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27.8</w:t>
            </w:r>
          </w:p>
        </w:tc>
      </w:tr>
      <w:tr w14:paraId="424DEA0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62" w:type="dxa"/>
            <w:tcBorders>
              <w:tl2br w:val="nil"/>
              <w:tr2bl w:val="nil"/>
            </w:tcBorders>
            <w:vAlign w:val="center"/>
          </w:tcPr>
          <w:p w14:paraId="5E8BEB9C">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NEOSUMMIT-03</w:t>
            </w:r>
            <w:r>
              <w:rPr>
                <w:rFonts w:hint="default" w:ascii="Times New Roman" w:hAnsi="Times New Roman"/>
                <w:b w:val="0"/>
                <w:bCs w:val="0"/>
                <w:sz w:val="16"/>
                <w:szCs w:val="16"/>
                <w:vertAlign w:val="baseline"/>
                <w:lang w:val="en-US" w:eastAsia="zh-CN"/>
              </w:rPr>
              <w:fldChar w:fldCharType="begin"/>
            </w:r>
            <w:r>
              <w:rPr>
                <w:rFonts w:hint="eastAsia" w:ascii="Times New Roman" w:hAnsi="Times New Roman"/>
                <w:b w:val="0"/>
                <w:bCs w:val="0"/>
                <w:sz w:val="16"/>
                <w:szCs w:val="16"/>
                <w:vertAlign w:val="baseline"/>
                <w:lang w:val="en-US" w:eastAsia="zh-CN"/>
              </w:rPr>
              <w:instrText xml:space="preserve"> ADDIN ZOTERO_ITEM CSL_CITATION {"citationID":"PKclJ5bq","properties":{"formattedCitation":"\\super [44]\\nosupersub{}","plainCitation":"[44]","noteIndex":0},"citationItems":[{"id":1596,"uris":["http://zotero.org/users/15831584/items/SD68B6WJ"],"itemData":{"id":1596,"type":"article-journal","abstract":"This prospective, nonrandomized, open-label phase 2 trial (Chinese Clinical Trial Registry, ChiCTR2200061906) aimed to evaluate the effectiveness of adding the PD-1 antibody tislelizumab to perioperative chemotherapy in patients with locally advanced gastroesophageal junction adenocarcinoma (GEJA). This study enrolled patients with GEJA clinically staged as cT3-4aNanyM0 or cT1-2N+M0 from October 2022 to June 2023. Eligible patients were administered three preoperative and five postoperative 3-week cycles of treatment with PD-1 antibody tislelizumab plus SOX (S-1 and oxaliplatin) regimen. The primary endpoint was major pathological response (MPR) rate. Thirty-two patients were enrolled. The median age was 60 years (range: 28–74 years), and 53.1% (17/32) patients were Siewert III type. All patients received at least one cycle of assigned preoperative treatment, and 93.8% (30/32) patients completed three cycles of assigned preoperative tislelizumab and SOX. The R0 resection rate was 96.9% (31/32). MPR, pathological complete response (pCR) of primary tumors and ypT0N0 rates were 50.0% (16/32, 95% CI: 31.9–68.1%), 28.1% (9/32, 95% CI: 13.7–46.7%) and 25.0% (8/32, 95% CI: 11.5–43.4%), respectively. The surgical morbidity rate was 15.6% (5/32), and no 30-day mortality was observed. In the preoperative and postoperative treatment periods, the rate of treatment-related grade 3–4 adverse events was 31.2% (10/32). At the date of 7th Jan 2025, 8 (25.0%) patients occurred recurrence. Therefore, perioperative tislelizumab plus chemotherapy demonstrated significantly improved pathological regression and might be a promising option for patients with locally advanced resectable GEJA.","container-title":"Signal Transduction and Targeted Therapy","DOI":"10.1038/s41392-025-02160-8","ISSN":"2095-9907","journalAbbreviation":"Signal Transduction Targeted Ther.","language":"en","note":"5年影响因子: 52.2\nCSCD: 核心库\nJCR分区: Q1\nTLDR: Perioperative tislelizumab plus chemotherapy demonstrated significantly improved pathological regression and might be a promising option for patients with locally advanced resectable GEJA.\n中国科技核心期刊: 是\n中科院分区升级版: 医学1区\n南农高质量: A\n影响因子: 52.7","page":"60","PMID":"39910052","PMCID":"PMC11799164","source":"PubMed Central","title":"Perioperative tislelizumab plus chemotherapy for locally advanced gastroesophageal junction adenocarcinoma (NEOSUMMIT-03): a prospective, nonrandomized, open-label, phase 2 trial","title-short":"Perioperative tislelizumab plus chemotherapy for locally advanced gastroesophageal junction adenocarcinoma (NEOSUMMIT-03)","volume":"10","author":[{"family":"Nie","given":"Run-Cong"},{"family":"Yuan","given":"Shu-Qiang"},{"family":"Ding","given":"Ya"},{"family":"Chen","given":"Yong-Ming"},{"family":"Li","given":"Yuan-Fang"},{"family":"Liang","given":"Cheng-Cai"},{"family":"Cai","given":"Mu-Yan"},{"family":"Chen","given":"Guo-Ming"},{"family":"Wang","given":"Wei"},{"family":"Sun","given":"Xiao-Wei"},{"family":"Weng","given":"De-Sheng"},{"family":"Li","given":"Dan-Dan"},{"family":"Zhao","given":"Jing-Jing"},{"family":"Chen","given":"Xiao-Jiang"},{"family":"Guan","given":"Yuan-Xiang"},{"family":"Liu","given":"Zhi-Min"},{"family":"Liang","given":"Yao"},{"family":"Luo","given":"Ma"},{"family":"Chi","given":"Jun"},{"family":"Qiu","given":"Hai-Bo"},{"family":"Zhou","given":"Zhi-Wei"},{"family":"Zhang","given":"Xiao-Shi"},{"family":"Chen","given":"Ying-Bo"}],"issued":{"date-parts":[["2025",2,5]]}}}],"schema":"https://github.com/citation-style-language/schema/raw/master/csl-citation.json"} </w:instrText>
            </w:r>
            <w:r>
              <w:rPr>
                <w:rFonts w:hint="default" w:ascii="Times New Roman" w:hAnsi="Times New Roman"/>
                <w:b w:val="0"/>
                <w:bCs w:val="0"/>
                <w:sz w:val="16"/>
                <w:szCs w:val="16"/>
                <w:vertAlign w:val="baseline"/>
                <w:lang w:val="en-US" w:eastAsia="zh-CN"/>
              </w:rPr>
              <w:fldChar w:fldCharType="separate"/>
            </w:r>
            <w:r>
              <w:rPr>
                <w:rFonts w:hint="default" w:ascii="Times New Roman" w:hAnsi="Times New Roman" w:cs="Times New Roman"/>
                <w:sz w:val="16"/>
                <w:szCs w:val="24"/>
                <w:vertAlign w:val="superscript"/>
              </w:rPr>
              <w:t>[44]</w:t>
            </w:r>
            <w:r>
              <w:rPr>
                <w:rFonts w:hint="default" w:ascii="Times New Roman" w:hAnsi="Times New Roman"/>
                <w:b w:val="0"/>
                <w:bCs w:val="0"/>
                <w:sz w:val="16"/>
                <w:szCs w:val="16"/>
                <w:vertAlign w:val="baseline"/>
                <w:lang w:val="en-US" w:eastAsia="zh-CN"/>
              </w:rPr>
              <w:fldChar w:fldCharType="end"/>
            </w:r>
          </w:p>
        </w:tc>
        <w:tc>
          <w:tcPr>
            <w:tcW w:w="580" w:type="dxa"/>
            <w:tcBorders>
              <w:tl2br w:val="nil"/>
              <w:tr2bl w:val="nil"/>
            </w:tcBorders>
            <w:vAlign w:val="center"/>
          </w:tcPr>
          <w:p w14:paraId="0BEBB8EE">
            <w:pPr>
              <w:snapToGrid w:val="0"/>
              <w:spacing w:beforeLines="0" w:afterLines="0"/>
              <w:jc w:val="center"/>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II期</w:t>
            </w:r>
          </w:p>
        </w:tc>
        <w:tc>
          <w:tcPr>
            <w:tcW w:w="650" w:type="dxa"/>
            <w:tcBorders>
              <w:tl2br w:val="nil"/>
              <w:tr2bl w:val="nil"/>
            </w:tcBorders>
            <w:vAlign w:val="center"/>
          </w:tcPr>
          <w:p w14:paraId="4F896D12">
            <w:pPr>
              <w:snapToGrid w:val="0"/>
              <w:spacing w:beforeLines="0" w:afterLines="0"/>
              <w:jc w:val="center"/>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单臂</w:t>
            </w:r>
          </w:p>
        </w:tc>
        <w:tc>
          <w:tcPr>
            <w:tcW w:w="675" w:type="dxa"/>
            <w:tcBorders>
              <w:tl2br w:val="nil"/>
              <w:tr2bl w:val="nil"/>
            </w:tcBorders>
            <w:vAlign w:val="center"/>
          </w:tcPr>
          <w:p w14:paraId="082D16D6">
            <w:pPr>
              <w:snapToGrid w:val="0"/>
              <w:spacing w:beforeLines="0" w:afterLines="0"/>
              <w:jc w:val="center"/>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GEJA</w:t>
            </w:r>
          </w:p>
        </w:tc>
        <w:tc>
          <w:tcPr>
            <w:tcW w:w="1644" w:type="dxa"/>
            <w:tcBorders>
              <w:tl2br w:val="nil"/>
              <w:tr2bl w:val="nil"/>
            </w:tcBorders>
            <w:vAlign w:val="center"/>
          </w:tcPr>
          <w:p w14:paraId="102EDDEE">
            <w:pPr>
              <w:snapToGrid w:val="0"/>
              <w:spacing w:beforeLines="0" w:afterLines="0"/>
              <w:jc w:val="center"/>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T1-2N+M0或T3-4aNanyM0</w:t>
            </w:r>
          </w:p>
        </w:tc>
        <w:tc>
          <w:tcPr>
            <w:tcW w:w="662" w:type="dxa"/>
            <w:tcBorders>
              <w:tl2br w:val="nil"/>
              <w:tr2bl w:val="nil"/>
            </w:tcBorders>
            <w:vAlign w:val="center"/>
          </w:tcPr>
          <w:p w14:paraId="03487EE3">
            <w:pPr>
              <w:snapToGrid w:val="0"/>
              <w:spacing w:beforeLines="0" w:afterLines="0"/>
              <w:jc w:val="center"/>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32</w:t>
            </w:r>
          </w:p>
        </w:tc>
        <w:tc>
          <w:tcPr>
            <w:tcW w:w="1238" w:type="dxa"/>
            <w:tcBorders>
              <w:tl2br w:val="nil"/>
              <w:tr2bl w:val="nil"/>
            </w:tcBorders>
            <w:vAlign w:val="center"/>
          </w:tcPr>
          <w:p w14:paraId="1426EAFF">
            <w:pPr>
              <w:snapToGrid w:val="0"/>
              <w:spacing w:beforeLines="0" w:afterLines="0"/>
              <w:jc w:val="center"/>
              <w:rPr>
                <w:rFonts w:hint="default" w:ascii="Times New Roman" w:hAnsi="Times New Roman"/>
                <w:b w:val="0"/>
                <w:bCs w:val="0"/>
                <w:sz w:val="16"/>
                <w:szCs w:val="16"/>
                <w:vertAlign w:val="baseline"/>
                <w:lang w:val="en-US" w:eastAsia="zh-CN"/>
              </w:rPr>
            </w:pPr>
            <w:r>
              <w:rPr>
                <w:rFonts w:hint="default" w:ascii="Times New Roman" w:hAnsi="Times New Roman"/>
                <w:sz w:val="16"/>
                <w:szCs w:val="16"/>
              </w:rPr>
              <w:t>替雷利珠单抗</w:t>
            </w:r>
          </w:p>
        </w:tc>
        <w:tc>
          <w:tcPr>
            <w:tcW w:w="737" w:type="dxa"/>
            <w:tcBorders>
              <w:tl2br w:val="nil"/>
              <w:tr2bl w:val="nil"/>
            </w:tcBorders>
            <w:vAlign w:val="center"/>
          </w:tcPr>
          <w:p w14:paraId="7512DBE0">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SOX</w:t>
            </w:r>
          </w:p>
        </w:tc>
        <w:tc>
          <w:tcPr>
            <w:tcW w:w="519" w:type="dxa"/>
            <w:tcBorders>
              <w:tl2br w:val="nil"/>
              <w:tr2bl w:val="nil"/>
            </w:tcBorders>
            <w:vAlign w:val="center"/>
          </w:tcPr>
          <w:p w14:paraId="72E27EF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3</w:t>
            </w:r>
          </w:p>
        </w:tc>
        <w:tc>
          <w:tcPr>
            <w:tcW w:w="725" w:type="dxa"/>
            <w:tcBorders>
              <w:tl2br w:val="nil"/>
              <w:tr2bl w:val="nil"/>
            </w:tcBorders>
            <w:vAlign w:val="center"/>
          </w:tcPr>
          <w:p w14:paraId="6EE1B95E">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2.8</w:t>
            </w:r>
          </w:p>
        </w:tc>
        <w:tc>
          <w:tcPr>
            <w:tcW w:w="611" w:type="dxa"/>
            <w:tcBorders>
              <w:tl2br w:val="nil"/>
              <w:tr2bl w:val="nil"/>
            </w:tcBorders>
            <w:vAlign w:val="center"/>
          </w:tcPr>
          <w:p w14:paraId="346C424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100</w:t>
            </w:r>
          </w:p>
        </w:tc>
        <w:tc>
          <w:tcPr>
            <w:tcW w:w="660" w:type="dxa"/>
            <w:tcBorders>
              <w:tl2br w:val="nil"/>
              <w:tr2bl w:val="nil"/>
            </w:tcBorders>
            <w:vAlign w:val="center"/>
          </w:tcPr>
          <w:p w14:paraId="3C2A8BC4">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25.0</w:t>
            </w:r>
          </w:p>
        </w:tc>
        <w:tc>
          <w:tcPr>
            <w:tcW w:w="624" w:type="dxa"/>
            <w:tcBorders>
              <w:tl2br w:val="nil"/>
              <w:tr2bl w:val="nil"/>
            </w:tcBorders>
            <w:vAlign w:val="center"/>
          </w:tcPr>
          <w:p w14:paraId="17269159">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50.0</w:t>
            </w:r>
          </w:p>
        </w:tc>
        <w:tc>
          <w:tcPr>
            <w:tcW w:w="869" w:type="dxa"/>
            <w:tcBorders>
              <w:tl2br w:val="nil"/>
              <w:tr2bl w:val="nil"/>
            </w:tcBorders>
            <w:vAlign w:val="center"/>
          </w:tcPr>
          <w:p w14:paraId="18165A2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96.9</w:t>
            </w:r>
          </w:p>
        </w:tc>
        <w:tc>
          <w:tcPr>
            <w:tcW w:w="746" w:type="dxa"/>
            <w:tcBorders>
              <w:tl2br w:val="nil"/>
              <w:tr2bl w:val="nil"/>
            </w:tcBorders>
            <w:vAlign w:val="center"/>
          </w:tcPr>
          <w:p w14:paraId="445DE464">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31.2</w:t>
            </w:r>
          </w:p>
        </w:tc>
      </w:tr>
    </w:tbl>
    <w:p w14:paraId="41616732">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hAnsi="Times New Roman"/>
          <w:sz w:val="15"/>
          <w:szCs w:val="15"/>
          <w:lang w:val="en-US" w:eastAsia="zh-CN"/>
        </w:rPr>
      </w:pPr>
      <w:r>
        <w:rPr>
          <w:rFonts w:hint="eastAsia" w:ascii="Times New Roman" w:hAnsi="Times New Roman"/>
          <w:sz w:val="15"/>
          <w:szCs w:val="15"/>
          <w:lang w:val="en-US" w:eastAsia="zh-CN"/>
        </w:rPr>
        <w:t>注：ESCC：食管鳞状细胞癌；GEJA：胃食管结合部腺癌；RCT：随机对照试验。T：紫杉醇；nab-T：白蛋白结合型紫杉醇；P：顺铂；C：卡铂；N：奈达铂；D：多西他赛；SOX：替吉奥+奥沙利铂；pCR：病理完全缓解；MPR：主要病理缓解；R0切除：完整切除肿瘤，镜下切缘阴性；TRAEs：治疗相关不良事件；NR：未报告；*：局限于锁骨上淋巴结</w:t>
      </w:r>
    </w:p>
    <w:p w14:paraId="5A0006DD">
      <w:pPr>
        <w:pStyle w:val="6"/>
        <w:jc w:val="center"/>
        <w:rPr>
          <w:rFonts w:hint="default" w:ascii="Times New Roman" w:hAnsi="Times New Roman" w:eastAsia="宋体"/>
          <w:b w:val="0"/>
          <w:bCs w:val="0"/>
          <w:lang w:val="en-US" w:eastAsia="zh-CN"/>
        </w:rPr>
      </w:pPr>
      <w:r>
        <w:rPr>
          <w:rFonts w:hint="eastAsia" w:ascii="Times New Roman" w:hAnsi="Times New Roman"/>
          <w:b w:val="0"/>
          <w:bCs w:val="0"/>
          <w:lang w:val="en-US" w:eastAsia="zh-CN"/>
        </w:rPr>
        <w:t>Table. 1 Selected Clinical Studies on Neoadjuvant Immunotherapy Combined with Chemotherapy for Esophageal Cancer</w:t>
      </w:r>
    </w:p>
    <w:tbl>
      <w:tblPr>
        <w:tblStyle w:val="8"/>
        <w:tblW w:w="12102" w:type="dxa"/>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174"/>
        <w:gridCol w:w="472"/>
        <w:gridCol w:w="721"/>
        <w:gridCol w:w="687"/>
        <w:gridCol w:w="1613"/>
        <w:gridCol w:w="606"/>
        <w:gridCol w:w="1277"/>
        <w:gridCol w:w="746"/>
        <w:gridCol w:w="456"/>
        <w:gridCol w:w="791"/>
        <w:gridCol w:w="712"/>
        <w:gridCol w:w="608"/>
        <w:gridCol w:w="624"/>
        <w:gridCol w:w="869"/>
        <w:gridCol w:w="746"/>
      </w:tblGrid>
      <w:tr w14:paraId="0F1F9F1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1174" w:type="dxa"/>
            <w:tcBorders>
              <w:bottom w:val="single" w:color="auto" w:sz="8" w:space="0"/>
            </w:tcBorders>
            <w:vAlign w:val="center"/>
          </w:tcPr>
          <w:p w14:paraId="376721B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Study</w:t>
            </w:r>
          </w:p>
        </w:tc>
        <w:tc>
          <w:tcPr>
            <w:tcW w:w="472" w:type="dxa"/>
            <w:tcBorders>
              <w:bottom w:val="single" w:color="auto" w:sz="8" w:space="0"/>
            </w:tcBorders>
            <w:vAlign w:val="center"/>
          </w:tcPr>
          <w:p w14:paraId="3B437180">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Phase</w:t>
            </w:r>
          </w:p>
        </w:tc>
        <w:tc>
          <w:tcPr>
            <w:tcW w:w="721" w:type="dxa"/>
            <w:tcBorders>
              <w:bottom w:val="single" w:color="auto" w:sz="8" w:space="0"/>
            </w:tcBorders>
            <w:vAlign w:val="center"/>
          </w:tcPr>
          <w:p w14:paraId="12FEE1C1">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Study Design</w:t>
            </w:r>
          </w:p>
        </w:tc>
        <w:tc>
          <w:tcPr>
            <w:tcW w:w="687" w:type="dxa"/>
            <w:tcBorders>
              <w:bottom w:val="single" w:color="auto" w:sz="8" w:space="0"/>
            </w:tcBorders>
            <w:vAlign w:val="center"/>
          </w:tcPr>
          <w:p w14:paraId="0FC793A1">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Pathology</w:t>
            </w:r>
          </w:p>
        </w:tc>
        <w:tc>
          <w:tcPr>
            <w:tcW w:w="1613" w:type="dxa"/>
            <w:tcBorders>
              <w:bottom w:val="single" w:color="auto" w:sz="8" w:space="0"/>
            </w:tcBorders>
            <w:vAlign w:val="center"/>
          </w:tcPr>
          <w:p w14:paraId="52F31311">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Clinical Stage （cTNM）</w:t>
            </w:r>
          </w:p>
        </w:tc>
        <w:tc>
          <w:tcPr>
            <w:tcW w:w="606" w:type="dxa"/>
            <w:tcBorders>
              <w:bottom w:val="single" w:color="auto" w:sz="8" w:space="0"/>
            </w:tcBorders>
            <w:vAlign w:val="center"/>
          </w:tcPr>
          <w:p w14:paraId="7DEA9F5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Times New Roman" w:hAnsi="Times New Roman"/>
                <w:b w:val="0"/>
                <w:bCs w:val="0"/>
                <w:sz w:val="18"/>
                <w:szCs w:val="18"/>
                <w:vertAlign w:val="baseline"/>
                <w:lang w:val="en-US" w:eastAsia="zh-CN"/>
              </w:rPr>
            </w:pPr>
            <w:r>
              <w:rPr>
                <w:rFonts w:hint="eastAsia" w:ascii="Times New Roman" w:hAnsi="Times New Roman"/>
                <w:b w:val="0"/>
                <w:bCs w:val="0"/>
                <w:sz w:val="16"/>
                <w:szCs w:val="16"/>
                <w:vertAlign w:val="baseline"/>
                <w:lang w:val="en-US" w:eastAsia="zh-CN"/>
              </w:rPr>
              <w:t>Total Sample Size</w:t>
            </w:r>
          </w:p>
          <w:p w14:paraId="14C4F1C1">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(n)</w:t>
            </w:r>
          </w:p>
        </w:tc>
        <w:tc>
          <w:tcPr>
            <w:tcW w:w="1277" w:type="dxa"/>
            <w:tcBorders>
              <w:bottom w:val="single" w:color="auto" w:sz="8" w:space="0"/>
            </w:tcBorders>
            <w:vAlign w:val="center"/>
          </w:tcPr>
          <w:p w14:paraId="714CC20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Immunotherapy Agent</w:t>
            </w:r>
          </w:p>
        </w:tc>
        <w:tc>
          <w:tcPr>
            <w:tcW w:w="746" w:type="dxa"/>
            <w:tcBorders>
              <w:bottom w:val="single" w:color="auto" w:sz="8" w:space="0"/>
            </w:tcBorders>
            <w:vAlign w:val="center"/>
          </w:tcPr>
          <w:p w14:paraId="35127D9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Chemotherapy Regimen</w:t>
            </w:r>
          </w:p>
        </w:tc>
        <w:tc>
          <w:tcPr>
            <w:tcW w:w="456" w:type="dxa"/>
            <w:tcBorders>
              <w:bottom w:val="single" w:color="auto" w:sz="8" w:space="0"/>
            </w:tcBorders>
            <w:vAlign w:val="center"/>
          </w:tcPr>
          <w:p w14:paraId="0D06C569">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Neoadjuvant Cycles</w:t>
            </w:r>
          </w:p>
        </w:tc>
        <w:tc>
          <w:tcPr>
            <w:tcW w:w="791" w:type="dxa"/>
            <w:tcBorders>
              <w:bottom w:val="single" w:color="auto" w:sz="8" w:space="0"/>
            </w:tcBorders>
            <w:vAlign w:val="center"/>
          </w:tcPr>
          <w:p w14:paraId="2C4213D0">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Median Interval from Neoadjuvant Therapy to Surgery (weeks)</w:t>
            </w:r>
          </w:p>
        </w:tc>
        <w:tc>
          <w:tcPr>
            <w:tcW w:w="712" w:type="dxa"/>
            <w:tcBorders>
              <w:bottom w:val="single" w:color="auto" w:sz="8" w:space="0"/>
            </w:tcBorders>
            <w:vAlign w:val="center"/>
          </w:tcPr>
          <w:p w14:paraId="03FF016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Surgery Completion Rate（%）</w:t>
            </w:r>
          </w:p>
        </w:tc>
        <w:tc>
          <w:tcPr>
            <w:tcW w:w="608" w:type="dxa"/>
            <w:tcBorders>
              <w:bottom w:val="single" w:color="auto" w:sz="8" w:space="0"/>
            </w:tcBorders>
            <w:vAlign w:val="center"/>
          </w:tcPr>
          <w:p w14:paraId="1D25F1F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Resected pCR rate（%）</w:t>
            </w:r>
          </w:p>
        </w:tc>
        <w:tc>
          <w:tcPr>
            <w:tcW w:w="624" w:type="dxa"/>
            <w:tcBorders>
              <w:bottom w:val="single" w:color="auto" w:sz="8" w:space="0"/>
            </w:tcBorders>
            <w:vAlign w:val="center"/>
          </w:tcPr>
          <w:p w14:paraId="697B0395">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Resected MPR rate</w:t>
            </w:r>
          </w:p>
          <w:p w14:paraId="15F5735A">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w:t>
            </w:r>
          </w:p>
        </w:tc>
        <w:tc>
          <w:tcPr>
            <w:tcW w:w="869" w:type="dxa"/>
            <w:tcBorders>
              <w:bottom w:val="single" w:color="auto" w:sz="8" w:space="0"/>
            </w:tcBorders>
            <w:vAlign w:val="center"/>
          </w:tcPr>
          <w:p w14:paraId="1E0BCCB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R0 Resection Rate（%）</w:t>
            </w:r>
          </w:p>
        </w:tc>
        <w:tc>
          <w:tcPr>
            <w:tcW w:w="746" w:type="dxa"/>
            <w:tcBorders>
              <w:bottom w:val="single" w:color="auto" w:sz="8" w:space="0"/>
            </w:tcBorders>
            <w:vAlign w:val="center"/>
          </w:tcPr>
          <w:p w14:paraId="26CF7783">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≥Grade 3 TRAEs</w:t>
            </w:r>
          </w:p>
          <w:p w14:paraId="6C28C1F5">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w:t>
            </w:r>
          </w:p>
        </w:tc>
      </w:tr>
      <w:tr w14:paraId="1F425FB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74" w:type="dxa"/>
            <w:vMerge w:val="restart"/>
            <w:tcBorders>
              <w:tl2br w:val="nil"/>
              <w:tr2bl w:val="nil"/>
            </w:tcBorders>
            <w:vAlign w:val="center"/>
          </w:tcPr>
          <w:p w14:paraId="361BA055">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default" w:ascii="Times New Roman" w:hAnsi="Times New Roman"/>
                <w:b w:val="0"/>
                <w:bCs w:val="0"/>
                <w:sz w:val="16"/>
                <w:szCs w:val="16"/>
                <w:vertAlign w:val="baseline"/>
                <w:lang w:val="en-US" w:eastAsia="zh-CN"/>
              </w:rPr>
            </w:pPr>
          </w:p>
          <w:p w14:paraId="2ABD0AC0">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ESCORT-NEO/NCCES01</w:t>
            </w:r>
            <w:r>
              <w:rPr>
                <w:rFonts w:hint="default" w:ascii="Times New Roman" w:hAnsi="Times New Roman"/>
                <w:b w:val="0"/>
                <w:bCs w:val="0"/>
                <w:sz w:val="16"/>
                <w:szCs w:val="16"/>
                <w:vertAlign w:val="baseline"/>
                <w:lang w:val="en-US" w:eastAsia="zh-CN"/>
              </w:rPr>
              <w:fldChar w:fldCharType="begin"/>
            </w:r>
            <w:r>
              <w:rPr>
                <w:rFonts w:hint="eastAsia" w:ascii="Times New Roman" w:hAnsi="Times New Roman"/>
                <w:b w:val="0"/>
                <w:bCs w:val="0"/>
                <w:sz w:val="16"/>
                <w:szCs w:val="16"/>
                <w:vertAlign w:val="baseline"/>
                <w:lang w:val="en-US" w:eastAsia="zh-CN"/>
              </w:rPr>
              <w:instrText xml:space="preserve"> ADDIN ZOTERO_ITEM CSL_CITATION {"citationID":"VZkUXgnu","properties":{"formattedCitation":"\\super [6]\\nosupersub{}","plainCitation":"[6]","noteIndex":0},"citationItems":[{"id":1397,"uris":["http://zotero.org/users/15831584/items/W7LXGNZJ"],"itemData":{"id":1397,"type":"article-journal","abstract":"Recent single-arm studies involving neoadjuvant camrelizumab, a PD-1 inhibitor, plus chemotherapy for resectable locally advanced esophageal squamous cell carcinoma (LA-ESCC) have shown promising results. This multicenter, randomized, open-label phase 3 trial aimed to further assess the efficacy and safety of neoadjuvant camrelizumab plus chemotherapy followed by adjuvant camrelizumab, compared to neoadjuvant chemotherapy alone. A total of 391 patients with resectable thoracic LA-ESCC (T1b-3N1-3M0 or T3N0M0) were stratified by clinical stage (I/II, III or IVA) and randomized in a 1:1:1 ratio to undergo two cycles of neoadjuvant therapy. Treatments included camrelizumab, albumin-bound paclitaxel and cisplatin (Cam+nab-TP group; n = 132); camrelizumab, paclitaxel and cisplatin (Cam+TP group; n = 130); and paclitaxel with cisplatin (TP group; n = 129), followed by surgical resection. Both the Cam+nab-TP and Cam+TP groups also received adjuvant camrelizumab. The dual primary endpoints were the rate of pathological complete response (pCR), as evaluated by a blind independent review committee, and event-free survival (EFS), as assessed by investigators. This study reports the final analysis of pCR rates. In the intention-to-treat population, the Cam+nab-TP and Cam+TP groups exhibited significantly higher pCR rates of 28.0% and 15.4%, respectively, compared to 4.7% in the TP group (Cam+nab-TP versus TP: difference 23.5%, 95% confidence interval (CI) 15.1-32.0, P &lt; 0.0001; Cam+TP versus TP: difference 10.9%, 95% CI 3.7-18.1, P = 0.0034). The study met its primary endpoint of pCR; however, EFS is not yet mature. The incidence of grade ≥3 treatment-related adverse events during neoadjuvant treatment was 34.1% for the Cam+nab-TP group, 29.2% for the Cam+TP group and 28.8% for the TP group; the postoperative complication rates were 34.2%, 38.8% and 32.0%, respectively. Neoadjuvant camrelizumab plus chemotherapy demonstrated superior pCR rates compared to chemotherapy alone for LA-ESCC, with a tolerable safety profile. Chinese Clinical Trial Registry identifier: ChiCTR2000040034 .","container-title":"Nature Medicine","DOI":"10.1038/s41591-024-03064-w","ISSN":"1546-170X","issue":"9","journalAbbreviation":"Nat. Med.","language":"en","note":"5年影响因子: 52.4\nJCR分区: Q1\nTLDR: The study met its primary endpoint of pCR; however, EFS is not yet mature; however, Neoadjuvant camrelizumab plus chemotherapy demonstrated superior pCR rates compared to chemotherapy alone for LA-ESCC, with a tolerable safety profile.\n中科院分区升级版: 医学1区\n南农高质量: A\n影响因子: 50.0","page":"2549-2557","PMID":"38956195","PMCID":"PMC11405280","source":"PubMed","title":"Neoadjuvant chemotherapy with or without camrelizumab in resectable esophageal squamous cell carcinoma: the randomized phase 3 ESCORT-NEO/NCCES01 trial","title-short":"Neoadjuvant chemotherapy with or without camrelizumab in resectable esophageal squamous cell carcinoma","volume":"30","author":[{"family":"Qin","given":"Jianjun"},{"family":"Xue","given":"Liyan"},{"family":"Hao","given":"Anlin"},{"family":"Guo","given":"Xiaofeng"},{"family":"Jiang","given":"Tao"},{"family":"Ni","given":"Yunfeng"},{"family":"Liu","given":"Shuoyan"},{"family":"Chen","given":"Yujie"},{"family":"Jiang","given":"Hongjing"},{"family":"Zhang","given":"Chen"},{"family":"Kang","given":"Mingqiang"},{"family":"Lin","given":"Jihong"},{"family":"Li","given":"Hecheng"},{"family":"Li","given":"Chengqiang"},{"family":"Tian","given":"Hui"},{"family":"Li","given":"Lin"},{"family":"Fu","given":"Junke"},{"family":"Zhang","given":"Yong"},{"family":"Ma","given":"Jianqun"},{"family":"Wang","given":"Xiaoyuan"},{"family":"Fu","given":"Maoyong"},{"family":"Yang","given":"Hao"},{"family":"Yang","given":"Zhaoyang"},{"family":"Han","given":"Yongtao"},{"family":"Chen","given":"Longqi"},{"family":"Tan","given":"Lijie"},{"family":"Dai","given":"Tianyang"},{"family":"Liao","given":"Yongde"},{"family":"Zhang","given":"Weiguo"},{"family":"Li","given":"Bin"},{"family":"Chen","given":"Qixun"},{"family":"Guo","given":"Shiping"},{"family":"Qi","given":"Yu"},{"family":"Wei","given":"Li"},{"family":"Li","given":"Zhigang"},{"family":"Tian","given":"Ziqiang"},{"family":"Kang","given":"Xiaozheng"},{"family":"Zhang","given":"Ruixiang"},{"family":"Li","given":"Yong"},{"family":"Wang","given":"Zhen"},{"family":"Chen","given":"Xiankai"},{"family":"Hou","given":"Zhiguo"},{"family":"Zheng","given":"Rongrong"},{"family":"Zhu","given":"Wenqing"},{"family":"He","given":"Jie"},{"family":"Li","given":"Yin"}],"issued":{"date-parts":[["2024",9]]}}}],"schema":"https://github.com/citation-style-language/schema/raw/master/csl-citation.json"} </w:instrText>
            </w:r>
            <w:r>
              <w:rPr>
                <w:rFonts w:hint="default" w:ascii="Times New Roman" w:hAnsi="Times New Roman"/>
                <w:b w:val="0"/>
                <w:bCs w:val="0"/>
                <w:sz w:val="16"/>
                <w:szCs w:val="16"/>
                <w:vertAlign w:val="baseline"/>
                <w:lang w:val="en-US" w:eastAsia="zh-CN"/>
              </w:rPr>
              <w:fldChar w:fldCharType="separate"/>
            </w:r>
            <w:r>
              <w:rPr>
                <w:rFonts w:hint="default" w:ascii="Times New Roman" w:hAnsi="Times New Roman" w:cs="Times New Roman"/>
                <w:sz w:val="16"/>
                <w:szCs w:val="24"/>
                <w:vertAlign w:val="superscript"/>
              </w:rPr>
              <w:t>[6]</w:t>
            </w:r>
            <w:r>
              <w:rPr>
                <w:rFonts w:hint="default" w:ascii="Times New Roman" w:hAnsi="Times New Roman"/>
                <w:b w:val="0"/>
                <w:bCs w:val="0"/>
                <w:sz w:val="16"/>
                <w:szCs w:val="16"/>
                <w:vertAlign w:val="baseline"/>
                <w:lang w:val="en-US" w:eastAsia="zh-CN"/>
              </w:rPr>
              <w:fldChar w:fldCharType="end"/>
            </w:r>
          </w:p>
        </w:tc>
        <w:tc>
          <w:tcPr>
            <w:tcW w:w="472" w:type="dxa"/>
            <w:vMerge w:val="restart"/>
            <w:tcBorders>
              <w:tl2br w:val="nil"/>
              <w:tr2bl w:val="nil"/>
            </w:tcBorders>
            <w:vAlign w:val="center"/>
          </w:tcPr>
          <w:p w14:paraId="41D2BF25">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III</w:t>
            </w:r>
          </w:p>
        </w:tc>
        <w:tc>
          <w:tcPr>
            <w:tcW w:w="721" w:type="dxa"/>
            <w:vMerge w:val="restart"/>
            <w:tcBorders>
              <w:tl2br w:val="nil"/>
              <w:tr2bl w:val="nil"/>
            </w:tcBorders>
            <w:vAlign w:val="center"/>
          </w:tcPr>
          <w:p w14:paraId="453ECF69">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RCT</w:t>
            </w:r>
          </w:p>
        </w:tc>
        <w:tc>
          <w:tcPr>
            <w:tcW w:w="687" w:type="dxa"/>
            <w:vMerge w:val="restart"/>
            <w:tcBorders>
              <w:tl2br w:val="nil"/>
              <w:tr2bl w:val="nil"/>
            </w:tcBorders>
            <w:vAlign w:val="center"/>
          </w:tcPr>
          <w:p w14:paraId="0D3F6E0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ESCC</w:t>
            </w:r>
          </w:p>
        </w:tc>
        <w:tc>
          <w:tcPr>
            <w:tcW w:w="1613" w:type="dxa"/>
            <w:vMerge w:val="restart"/>
            <w:tcBorders>
              <w:tl2br w:val="nil"/>
              <w:tr2bl w:val="nil"/>
            </w:tcBorders>
            <w:vAlign w:val="center"/>
          </w:tcPr>
          <w:p w14:paraId="5833F8F9">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 xml:space="preserve">T1b-3N1-3M0 </w:t>
            </w:r>
            <w:r>
              <w:rPr>
                <w:rFonts w:hint="eastAsia" w:ascii="Times New Roman" w:hAnsi="Times New Roman"/>
                <w:b w:val="0"/>
                <w:bCs w:val="0"/>
                <w:sz w:val="16"/>
                <w:szCs w:val="16"/>
                <w:vertAlign w:val="baseline"/>
                <w:lang w:val="en-US" w:eastAsia="zh-CN"/>
              </w:rPr>
              <w:t xml:space="preserve">or </w:t>
            </w:r>
            <w:r>
              <w:rPr>
                <w:rFonts w:hint="default" w:ascii="Times New Roman" w:hAnsi="Times New Roman"/>
                <w:b w:val="0"/>
                <w:bCs w:val="0"/>
                <w:sz w:val="16"/>
                <w:szCs w:val="16"/>
                <w:vertAlign w:val="baseline"/>
                <w:lang w:val="en-US" w:eastAsia="zh-CN"/>
              </w:rPr>
              <w:t>T3N0M0</w:t>
            </w:r>
          </w:p>
        </w:tc>
        <w:tc>
          <w:tcPr>
            <w:tcW w:w="606" w:type="dxa"/>
            <w:tcBorders>
              <w:tl2br w:val="nil"/>
              <w:tr2bl w:val="nil"/>
            </w:tcBorders>
            <w:vAlign w:val="center"/>
          </w:tcPr>
          <w:p w14:paraId="427CBD25">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132</w:t>
            </w:r>
          </w:p>
        </w:tc>
        <w:tc>
          <w:tcPr>
            <w:tcW w:w="1277" w:type="dxa"/>
            <w:tcBorders>
              <w:tl2br w:val="nil"/>
              <w:tr2bl w:val="nil"/>
            </w:tcBorders>
            <w:vAlign w:val="center"/>
          </w:tcPr>
          <w:p w14:paraId="45182936">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Camrelizumab</w:t>
            </w:r>
          </w:p>
        </w:tc>
        <w:tc>
          <w:tcPr>
            <w:tcW w:w="746" w:type="dxa"/>
            <w:tcBorders>
              <w:tl2br w:val="nil"/>
              <w:tr2bl w:val="nil"/>
            </w:tcBorders>
            <w:vAlign w:val="center"/>
          </w:tcPr>
          <w:p w14:paraId="4E91E299">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nab-TP</w:t>
            </w:r>
          </w:p>
        </w:tc>
        <w:tc>
          <w:tcPr>
            <w:tcW w:w="456" w:type="dxa"/>
            <w:tcBorders>
              <w:tl2br w:val="nil"/>
              <w:tr2bl w:val="nil"/>
            </w:tcBorders>
            <w:vAlign w:val="center"/>
          </w:tcPr>
          <w:p w14:paraId="4EFCBDBD">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2</w:t>
            </w:r>
          </w:p>
        </w:tc>
        <w:tc>
          <w:tcPr>
            <w:tcW w:w="791" w:type="dxa"/>
            <w:tcBorders>
              <w:tl2br w:val="nil"/>
              <w:tr2bl w:val="nil"/>
            </w:tcBorders>
            <w:vAlign w:val="center"/>
          </w:tcPr>
          <w:p w14:paraId="76A334D4">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5.9</w:t>
            </w:r>
          </w:p>
        </w:tc>
        <w:tc>
          <w:tcPr>
            <w:tcW w:w="712" w:type="dxa"/>
            <w:tcBorders>
              <w:tl2br w:val="nil"/>
              <w:tr2bl w:val="nil"/>
            </w:tcBorders>
            <w:vAlign w:val="center"/>
          </w:tcPr>
          <w:p w14:paraId="72902BBA">
            <w:pPr>
              <w:snapToGrid w:val="0"/>
              <w:spacing w:beforeLines="0" w:afterLines="0"/>
              <w:jc w:val="center"/>
              <w:rPr>
                <w:rFonts w:hint="default" w:ascii="Times New Roman" w:hAnsi="Times New Roman" w:cs="Times New Roman"/>
                <w:b w:val="0"/>
                <w:bCs w:val="0"/>
                <w:sz w:val="16"/>
                <w:szCs w:val="16"/>
                <w:vertAlign w:val="baseline"/>
                <w:lang w:val="en-US" w:eastAsia="zh-CN"/>
              </w:rPr>
            </w:pPr>
            <w:r>
              <w:rPr>
                <w:rFonts w:hint="default" w:ascii="Times New Roman" w:hAnsi="Times New Roman" w:cs="Times New Roman"/>
                <w:sz w:val="16"/>
                <w:szCs w:val="16"/>
              </w:rPr>
              <w:t>86.4</w:t>
            </w:r>
          </w:p>
        </w:tc>
        <w:tc>
          <w:tcPr>
            <w:tcW w:w="608" w:type="dxa"/>
            <w:tcBorders>
              <w:tl2br w:val="nil"/>
              <w:tr2bl w:val="nil"/>
            </w:tcBorders>
            <w:vAlign w:val="center"/>
          </w:tcPr>
          <w:p w14:paraId="144D47DD">
            <w:pPr>
              <w:snapToGrid w:val="0"/>
              <w:spacing w:beforeLines="0" w:afterLines="0"/>
              <w:jc w:val="center"/>
              <w:rPr>
                <w:rFonts w:hint="default" w:ascii="Times New Roman" w:hAnsi="Times New Roman" w:cs="Times New Roman"/>
                <w:b w:val="0"/>
                <w:bCs w:val="0"/>
                <w:sz w:val="16"/>
                <w:szCs w:val="16"/>
                <w:vertAlign w:val="baseline"/>
                <w:lang w:val="en-US" w:eastAsia="zh-CN"/>
              </w:rPr>
            </w:pPr>
            <w:r>
              <w:rPr>
                <w:rFonts w:hint="default" w:ascii="Times New Roman" w:hAnsi="Times New Roman" w:cs="Times New Roman"/>
                <w:sz w:val="16"/>
                <w:szCs w:val="16"/>
              </w:rPr>
              <w:t>32.5</w:t>
            </w:r>
          </w:p>
        </w:tc>
        <w:tc>
          <w:tcPr>
            <w:tcW w:w="624" w:type="dxa"/>
            <w:tcBorders>
              <w:tl2br w:val="nil"/>
              <w:tr2bl w:val="nil"/>
            </w:tcBorders>
            <w:vAlign w:val="center"/>
          </w:tcPr>
          <w:p w14:paraId="49D082E8">
            <w:pPr>
              <w:snapToGrid w:val="0"/>
              <w:spacing w:beforeLines="0" w:afterLines="0"/>
              <w:jc w:val="center"/>
              <w:rPr>
                <w:rFonts w:hint="default" w:ascii="Times New Roman" w:hAnsi="Times New Roman" w:cs="Times New Roman"/>
                <w:b w:val="0"/>
                <w:bCs w:val="0"/>
                <w:sz w:val="16"/>
                <w:szCs w:val="16"/>
                <w:vertAlign w:val="baseline"/>
                <w:lang w:val="en-US" w:eastAsia="zh-CN"/>
              </w:rPr>
            </w:pPr>
            <w:r>
              <w:rPr>
                <w:rFonts w:hint="default" w:ascii="Times New Roman" w:hAnsi="Times New Roman" w:cs="Times New Roman"/>
                <w:sz w:val="16"/>
                <w:szCs w:val="16"/>
              </w:rPr>
              <w:t>68.4</w:t>
            </w:r>
          </w:p>
        </w:tc>
        <w:tc>
          <w:tcPr>
            <w:tcW w:w="869" w:type="dxa"/>
            <w:tcBorders>
              <w:tl2br w:val="nil"/>
              <w:tr2bl w:val="nil"/>
            </w:tcBorders>
            <w:vAlign w:val="center"/>
          </w:tcPr>
          <w:p w14:paraId="5A6766BB">
            <w:pPr>
              <w:snapToGrid w:val="0"/>
              <w:spacing w:beforeLines="0" w:afterLines="0"/>
              <w:jc w:val="center"/>
              <w:rPr>
                <w:rFonts w:hint="default" w:ascii="Times New Roman" w:hAnsi="Times New Roman" w:cs="Times New Roman"/>
                <w:b w:val="0"/>
                <w:bCs w:val="0"/>
                <w:sz w:val="16"/>
                <w:szCs w:val="16"/>
                <w:vertAlign w:val="baseline"/>
                <w:lang w:val="en-US" w:eastAsia="zh-CN"/>
              </w:rPr>
            </w:pPr>
            <w:r>
              <w:rPr>
                <w:rFonts w:hint="default" w:ascii="Times New Roman" w:hAnsi="Times New Roman" w:cs="Times New Roman"/>
                <w:sz w:val="16"/>
                <w:szCs w:val="16"/>
              </w:rPr>
              <w:t>99.1</w:t>
            </w:r>
          </w:p>
        </w:tc>
        <w:tc>
          <w:tcPr>
            <w:tcW w:w="746" w:type="dxa"/>
            <w:tcBorders>
              <w:tl2br w:val="nil"/>
              <w:tr2bl w:val="nil"/>
            </w:tcBorders>
            <w:vAlign w:val="center"/>
          </w:tcPr>
          <w:p w14:paraId="510FCF0A">
            <w:pPr>
              <w:snapToGrid w:val="0"/>
              <w:spacing w:beforeLines="0" w:afterLines="0"/>
              <w:jc w:val="center"/>
              <w:rPr>
                <w:rFonts w:hint="default" w:ascii="Times New Roman" w:hAnsi="Times New Roman" w:cs="Times New Roman"/>
                <w:b w:val="0"/>
                <w:bCs w:val="0"/>
                <w:sz w:val="16"/>
                <w:szCs w:val="16"/>
                <w:vertAlign w:val="baseline"/>
                <w:lang w:val="en-US" w:eastAsia="zh-CN"/>
              </w:rPr>
            </w:pPr>
            <w:r>
              <w:rPr>
                <w:rFonts w:hint="default" w:ascii="Times New Roman" w:hAnsi="Times New Roman" w:cs="Times New Roman"/>
                <w:sz w:val="16"/>
                <w:szCs w:val="16"/>
              </w:rPr>
              <w:t>34.1</w:t>
            </w:r>
          </w:p>
        </w:tc>
      </w:tr>
      <w:tr w14:paraId="749A1B5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74" w:type="dxa"/>
            <w:vMerge w:val="continue"/>
            <w:tcBorders>
              <w:tl2br w:val="nil"/>
              <w:tr2bl w:val="nil"/>
            </w:tcBorders>
            <w:vAlign w:val="center"/>
          </w:tcPr>
          <w:p w14:paraId="28CC0066">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rPr>
                <w:rFonts w:hint="default" w:ascii="Times New Roman" w:hAnsi="Times New Roman"/>
                <w:b w:val="0"/>
                <w:bCs w:val="0"/>
                <w:sz w:val="16"/>
                <w:szCs w:val="16"/>
                <w:vertAlign w:val="baseline"/>
                <w:lang w:val="en-US" w:eastAsia="zh-CN"/>
              </w:rPr>
            </w:pPr>
          </w:p>
        </w:tc>
        <w:tc>
          <w:tcPr>
            <w:tcW w:w="472" w:type="dxa"/>
            <w:vMerge w:val="continue"/>
            <w:tcBorders>
              <w:tl2br w:val="nil"/>
              <w:tr2bl w:val="nil"/>
            </w:tcBorders>
            <w:vAlign w:val="center"/>
          </w:tcPr>
          <w:p w14:paraId="14DC752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p>
        </w:tc>
        <w:tc>
          <w:tcPr>
            <w:tcW w:w="721" w:type="dxa"/>
            <w:vMerge w:val="continue"/>
            <w:tcBorders>
              <w:tl2br w:val="nil"/>
              <w:tr2bl w:val="nil"/>
            </w:tcBorders>
            <w:vAlign w:val="center"/>
          </w:tcPr>
          <w:p w14:paraId="04ADF8A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p>
        </w:tc>
        <w:tc>
          <w:tcPr>
            <w:tcW w:w="687" w:type="dxa"/>
            <w:vMerge w:val="continue"/>
            <w:tcBorders>
              <w:tl2br w:val="nil"/>
              <w:tr2bl w:val="nil"/>
            </w:tcBorders>
            <w:vAlign w:val="center"/>
          </w:tcPr>
          <w:p w14:paraId="4843920E">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p>
        </w:tc>
        <w:tc>
          <w:tcPr>
            <w:tcW w:w="1613" w:type="dxa"/>
            <w:vMerge w:val="continue"/>
            <w:tcBorders>
              <w:tl2br w:val="nil"/>
              <w:tr2bl w:val="nil"/>
            </w:tcBorders>
            <w:vAlign w:val="center"/>
          </w:tcPr>
          <w:p w14:paraId="06A21FD7">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p>
        </w:tc>
        <w:tc>
          <w:tcPr>
            <w:tcW w:w="606" w:type="dxa"/>
            <w:tcBorders>
              <w:tl2br w:val="nil"/>
              <w:tr2bl w:val="nil"/>
            </w:tcBorders>
            <w:vAlign w:val="center"/>
          </w:tcPr>
          <w:p w14:paraId="76DAA288">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130</w:t>
            </w:r>
          </w:p>
        </w:tc>
        <w:tc>
          <w:tcPr>
            <w:tcW w:w="1277" w:type="dxa"/>
            <w:tcBorders>
              <w:tl2br w:val="nil"/>
              <w:tr2bl w:val="nil"/>
            </w:tcBorders>
            <w:vAlign w:val="center"/>
          </w:tcPr>
          <w:p w14:paraId="4816F6B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Camrelizumab</w:t>
            </w:r>
          </w:p>
        </w:tc>
        <w:tc>
          <w:tcPr>
            <w:tcW w:w="746" w:type="dxa"/>
            <w:tcBorders>
              <w:tl2br w:val="nil"/>
              <w:tr2bl w:val="nil"/>
            </w:tcBorders>
            <w:vAlign w:val="center"/>
          </w:tcPr>
          <w:p w14:paraId="0A609D2D">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TP</w:t>
            </w:r>
          </w:p>
        </w:tc>
        <w:tc>
          <w:tcPr>
            <w:tcW w:w="456" w:type="dxa"/>
            <w:tcBorders>
              <w:tl2br w:val="nil"/>
              <w:tr2bl w:val="nil"/>
            </w:tcBorders>
            <w:vAlign w:val="center"/>
          </w:tcPr>
          <w:p w14:paraId="5221877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2</w:t>
            </w:r>
          </w:p>
        </w:tc>
        <w:tc>
          <w:tcPr>
            <w:tcW w:w="791" w:type="dxa"/>
            <w:tcBorders>
              <w:tl2br w:val="nil"/>
              <w:tr2bl w:val="nil"/>
            </w:tcBorders>
            <w:vAlign w:val="center"/>
          </w:tcPr>
          <w:p w14:paraId="5D2D03EE">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5.</w:t>
            </w:r>
            <w:r>
              <w:rPr>
                <w:rFonts w:hint="eastAsia" w:ascii="Times New Roman" w:hAnsi="Times New Roman"/>
                <w:b w:val="0"/>
                <w:bCs w:val="0"/>
                <w:sz w:val="16"/>
                <w:szCs w:val="16"/>
                <w:vertAlign w:val="baseline"/>
                <w:lang w:val="en-US" w:eastAsia="zh-CN"/>
              </w:rPr>
              <w:t>7</w:t>
            </w:r>
          </w:p>
        </w:tc>
        <w:tc>
          <w:tcPr>
            <w:tcW w:w="712" w:type="dxa"/>
            <w:tcBorders>
              <w:tl2br w:val="nil"/>
              <w:tr2bl w:val="nil"/>
            </w:tcBorders>
            <w:vAlign w:val="center"/>
          </w:tcPr>
          <w:p w14:paraId="44A37CE3">
            <w:pPr>
              <w:snapToGrid w:val="0"/>
              <w:spacing w:beforeLines="0" w:afterLines="0"/>
              <w:jc w:val="center"/>
              <w:rPr>
                <w:rFonts w:hint="default" w:ascii="Times New Roman" w:hAnsi="Times New Roman" w:cs="Times New Roman"/>
                <w:b w:val="0"/>
                <w:bCs w:val="0"/>
                <w:sz w:val="16"/>
                <w:szCs w:val="16"/>
                <w:vertAlign w:val="baseline"/>
                <w:lang w:val="en-US" w:eastAsia="zh-CN"/>
              </w:rPr>
            </w:pPr>
            <w:r>
              <w:rPr>
                <w:rFonts w:hint="default" w:ascii="Times New Roman" w:hAnsi="Times New Roman" w:cs="Times New Roman"/>
                <w:sz w:val="16"/>
                <w:szCs w:val="16"/>
              </w:rPr>
              <w:t>89.2</w:t>
            </w:r>
          </w:p>
        </w:tc>
        <w:tc>
          <w:tcPr>
            <w:tcW w:w="608" w:type="dxa"/>
            <w:tcBorders>
              <w:tl2br w:val="nil"/>
              <w:tr2bl w:val="nil"/>
            </w:tcBorders>
            <w:vAlign w:val="center"/>
          </w:tcPr>
          <w:p w14:paraId="530038D2">
            <w:pPr>
              <w:snapToGrid w:val="0"/>
              <w:spacing w:beforeLines="0" w:afterLines="0"/>
              <w:jc w:val="center"/>
              <w:rPr>
                <w:rFonts w:hint="default" w:ascii="Times New Roman" w:hAnsi="Times New Roman" w:cs="Times New Roman"/>
                <w:b w:val="0"/>
                <w:bCs w:val="0"/>
                <w:sz w:val="16"/>
                <w:szCs w:val="16"/>
                <w:vertAlign w:val="baseline"/>
                <w:lang w:val="en-US" w:eastAsia="zh-CN"/>
              </w:rPr>
            </w:pPr>
            <w:r>
              <w:rPr>
                <w:rFonts w:hint="default" w:ascii="Times New Roman" w:hAnsi="Times New Roman" w:cs="Times New Roman"/>
                <w:sz w:val="16"/>
                <w:szCs w:val="16"/>
              </w:rPr>
              <w:t>17.2</w:t>
            </w:r>
          </w:p>
        </w:tc>
        <w:tc>
          <w:tcPr>
            <w:tcW w:w="624" w:type="dxa"/>
            <w:tcBorders>
              <w:tl2br w:val="nil"/>
              <w:tr2bl w:val="nil"/>
            </w:tcBorders>
            <w:vAlign w:val="center"/>
          </w:tcPr>
          <w:p w14:paraId="616F0705">
            <w:pPr>
              <w:snapToGrid w:val="0"/>
              <w:spacing w:beforeLines="0" w:afterLines="0"/>
              <w:jc w:val="center"/>
              <w:rPr>
                <w:rFonts w:hint="default" w:ascii="Times New Roman" w:hAnsi="Times New Roman" w:cs="Times New Roman"/>
                <w:b w:val="0"/>
                <w:bCs w:val="0"/>
                <w:sz w:val="16"/>
                <w:szCs w:val="16"/>
                <w:vertAlign w:val="baseline"/>
                <w:lang w:val="en-US" w:eastAsia="zh-CN"/>
              </w:rPr>
            </w:pPr>
            <w:r>
              <w:rPr>
                <w:rFonts w:hint="default" w:ascii="Times New Roman" w:hAnsi="Times New Roman" w:cs="Times New Roman"/>
                <w:sz w:val="16"/>
                <w:szCs w:val="16"/>
              </w:rPr>
              <w:t>40.5</w:t>
            </w:r>
          </w:p>
        </w:tc>
        <w:tc>
          <w:tcPr>
            <w:tcW w:w="869" w:type="dxa"/>
            <w:tcBorders>
              <w:tl2br w:val="nil"/>
              <w:tr2bl w:val="nil"/>
            </w:tcBorders>
            <w:vAlign w:val="center"/>
          </w:tcPr>
          <w:p w14:paraId="77334A09">
            <w:pPr>
              <w:snapToGrid w:val="0"/>
              <w:spacing w:beforeLines="0" w:afterLines="0"/>
              <w:jc w:val="center"/>
              <w:rPr>
                <w:rFonts w:hint="default" w:ascii="Times New Roman" w:hAnsi="Times New Roman" w:cs="Times New Roman"/>
                <w:b w:val="0"/>
                <w:bCs w:val="0"/>
                <w:sz w:val="16"/>
                <w:szCs w:val="16"/>
                <w:vertAlign w:val="baseline"/>
                <w:lang w:val="en-US" w:eastAsia="zh-CN"/>
              </w:rPr>
            </w:pPr>
            <w:r>
              <w:rPr>
                <w:rFonts w:hint="default" w:ascii="Times New Roman" w:hAnsi="Times New Roman" w:cs="Times New Roman"/>
                <w:sz w:val="16"/>
                <w:szCs w:val="16"/>
              </w:rPr>
              <w:t>95.7</w:t>
            </w:r>
          </w:p>
        </w:tc>
        <w:tc>
          <w:tcPr>
            <w:tcW w:w="746" w:type="dxa"/>
            <w:tcBorders>
              <w:tl2br w:val="nil"/>
              <w:tr2bl w:val="nil"/>
            </w:tcBorders>
            <w:vAlign w:val="center"/>
          </w:tcPr>
          <w:p w14:paraId="0AC1823E">
            <w:pPr>
              <w:snapToGrid w:val="0"/>
              <w:spacing w:beforeLines="0" w:afterLines="0"/>
              <w:jc w:val="center"/>
              <w:rPr>
                <w:rFonts w:hint="default" w:ascii="Times New Roman" w:hAnsi="Times New Roman" w:cs="Times New Roman"/>
                <w:b w:val="0"/>
                <w:bCs w:val="0"/>
                <w:sz w:val="16"/>
                <w:szCs w:val="16"/>
                <w:vertAlign w:val="baseline"/>
                <w:lang w:val="en-US" w:eastAsia="zh-CN"/>
              </w:rPr>
            </w:pPr>
            <w:r>
              <w:rPr>
                <w:rFonts w:hint="default" w:ascii="Times New Roman" w:hAnsi="Times New Roman" w:cs="Times New Roman"/>
                <w:sz w:val="16"/>
                <w:szCs w:val="16"/>
              </w:rPr>
              <w:t>29.2</w:t>
            </w:r>
          </w:p>
        </w:tc>
      </w:tr>
      <w:tr w14:paraId="4E322AA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74" w:type="dxa"/>
            <w:tcBorders>
              <w:tl2br w:val="nil"/>
              <w:tr2bl w:val="nil"/>
            </w:tcBorders>
            <w:vAlign w:val="center"/>
          </w:tcPr>
          <w:p w14:paraId="32CC5AC7">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HCHTOG1909</w:t>
            </w:r>
            <w:r>
              <w:rPr>
                <w:rFonts w:hint="default" w:ascii="Times New Roman" w:hAnsi="Times New Roman"/>
                <w:b w:val="0"/>
                <w:bCs w:val="0"/>
                <w:sz w:val="16"/>
                <w:szCs w:val="16"/>
                <w:vertAlign w:val="baseline"/>
                <w:lang w:val="en-US" w:eastAsia="zh-CN"/>
              </w:rPr>
              <w:fldChar w:fldCharType="begin"/>
            </w:r>
            <w:r>
              <w:rPr>
                <w:rFonts w:hint="eastAsia" w:ascii="Times New Roman" w:hAnsi="Times New Roman"/>
                <w:b w:val="0"/>
                <w:bCs w:val="0"/>
                <w:sz w:val="16"/>
                <w:szCs w:val="16"/>
                <w:vertAlign w:val="baseline"/>
                <w:lang w:val="en-US" w:eastAsia="zh-CN"/>
              </w:rPr>
              <w:instrText xml:space="preserve"> ADDIN ZOTERO_ITEM CSL_CITATION {"citationID":"DvsSNA0k","properties":{"formattedCitation":"\\super [17]\\nosupersub{}","plainCitation":"[17]","noteIndex":0},"citationItems":[{"id":1439,"uris":["http://zotero.org/users/15831584/items/UV3HDNZ5"],"itemData":{"id":1439,"type":"article-journal","abstract":"Abstract\n            \n              Background\n              In the era of immunotherapy, neoadjuvant immunochemotherapy (NAIC) for the treatment of locally advanced esophageal squamous cell carcinoma (ESCC) is used clinically but lacks of high‐level clinical evidence. This study aimed to compare the safety and long‐term efficacy of NAIC followed by minimally invasive esophagectomy (MIE) with those of neoadjuvant chemotherapy (NAC) followed by MIE.\n            \n            \n              Methods\n              \n                A prospective, single‐center, open‐label, randomized phase III clinical trial was conducted at Henan Cancer Hospital, Zhengzhou, China. Patients were randomly assigned to receive either neoadjuvant toripalimab (240 mg) plus paclitaxel (175 mg/m\n                2\n                ) + cisplatin (75 mg/m\n                2\n                ) (toripalimab group) or paclitaxel + cisplatin alone (chemotherapy group) every 3 weeks for 2 cycles. After surgery, the toripalimab group received toripalimab (240 mg every 3 weeks for up to 6 months). The primary endpoint was event‐free survival (EFS). The pathological complete response (pCR) and overall survival (OS) were key secondary endpoints. Adverse events (AEs) and quality of life were also assessed.\n              \n            \n            \n              Results\n              \n                Between May 15, 2020 and August 13, 2021, 252 ESCC patients ranging from T1N1‐3M0 to T2‐3N0‐3M0 were enrolled for interim analysis, with 127 in the toripalimab group and 125 in the chemotherapy group. The 1‐year EFS rate was 77.9% in the toripalimab group compared to 64.3% in the chemotherapy group (hazard ratio [HR] = 0.62; 95% confidence interval [CI] = 0.39 to 1.00;\n                P\n                = 0.05). The 1‐year OS rates were 94.1% and 83.0% in the toripalimab and chemotherapy groups, respectively (HR = 0.48; 95% CI = 0.24 to 0.97;\n                P =\n                0.037). The patients in the toripalimab group had a higher pCR rate (18.6% vs. 4.6%;\n                P\n                = 0.001). The rates of postoperative Clavien‐Dindo grade IIIb or higher morbidity were 9.8% in the toripalimab group and 6.8% in the chemotherapy group, with no significant difference observed (\n                P\n                = 0.460). The rates of grade 3 or 4 treatment‐related AEs did not differ between the two groups (12.5% versus 12.4%).\n              \n            \n            \n              Conclusions\n              The interim results of this ongoing trial showed that in resectable ESCC, the addition of perioperative toripalimab to NAC is safe, may improve OS and might change the standard treatment in the future.","container-title":"Cancer Communications","DOI":"10.1002/cac2.12604","ISSN":"2523-3548, 2523-3548","issue":"10","journalAbbreviation":"Cancer Commun.","language":"en","license":"© 2024 The Author(s). Cancer Communications published by John Wiley &amp; Sons Australia, Ltd on behalf of Sun Yat-sen University Cancer Center.","note":"_eprint: https://onlinelibrary.wiley.com/doi/pdf/10.1002/cac2.12604\n5年影响因子: 22.2\nCSCD: 核心库\nJCR分区: Q1\nTLDR: This study aimed to compare the safety and long‐term efficacy of NAIC followed by minimally invasive esophagectomy (MIE) with those of neoadjuvant chemotherapy (NAC) followed by MIE.\n中科院分区升级版: 医学1区\n影响因子: 24.9\n南农高质量: A","page":"1214-1227","source":"Wiley Online Library","title":"Perioperative toripalimab plus neoadjuvant chemotherapy might improve outcomes in resectable esophageal cancer: an interim analysis of a phase III randomized clinical trial","title-short":"Perioperative toripalimab plus neoadjuvant chemotherapy might improve outcomes in resectable esophageal cancer","volume":"44","author":[{"family":"Zheng","given":"Yan"},{"family":"Liang","given":"Guanghui"},{"family":"Yuan","given":"Dongfeng"},{"family":"Liu","given":"Xianben"},{"family":"Ba","given":"Yufeng"},{"family":"Qin","given":"Zimin"},{"family":"Shen","given":"Sining"},{"family":"Li","given":"Zhenxuan"},{"family":"Sun","given":"Haibo"},{"family":"Liu","given":"Baoxing"},{"family":"Gao","given":"Quanli"},{"family":"Li","given":"Peng"},{"family":"Wang","given":"Zongfei"},{"family":"Liu","given":"Shilei"},{"family":"Zhu","given":"Jianping"},{"family":"Wang","given":"Haoran"},{"family":"Ma","given":"Haibo"},{"family":"Liu","given":"Zhenzhen"},{"family":"Zhao","given":"Fei"},{"family":"Zhang","given":"Jun"},{"family":"Zhang","given":"He"},{"family":"Wu","given":"Daoyuan"},{"family":"Qu","given":"Jinrong"},{"family":"Ma","given":"Jie"},{"family":"Zhang","given":"Peng"},{"family":"Ma","given":"Wenjie"},{"family":"Yan","given":"Ming"},{"family":"Yu","given":"Yongkui"},{"family":"Li","given":"Qing"},{"family":"Zhang","given":"Jiangong"},{"family":"Xing","given":"Wenqun"}],"issued":{"date-parts":[["2024",10]]}}}],"schema":"https://github.com/citation-style-language/schema/raw/master/csl-citation.json"} </w:instrText>
            </w:r>
            <w:r>
              <w:rPr>
                <w:rFonts w:hint="default" w:ascii="Times New Roman" w:hAnsi="Times New Roman"/>
                <w:b w:val="0"/>
                <w:bCs w:val="0"/>
                <w:sz w:val="16"/>
                <w:szCs w:val="16"/>
                <w:vertAlign w:val="baseline"/>
                <w:lang w:val="en-US" w:eastAsia="zh-CN"/>
              </w:rPr>
              <w:fldChar w:fldCharType="separate"/>
            </w:r>
            <w:r>
              <w:rPr>
                <w:rFonts w:hint="default" w:ascii="Times New Roman" w:hAnsi="Times New Roman" w:cs="Times New Roman"/>
                <w:sz w:val="16"/>
                <w:szCs w:val="24"/>
                <w:vertAlign w:val="superscript"/>
              </w:rPr>
              <w:t>[17]</w:t>
            </w:r>
            <w:r>
              <w:rPr>
                <w:rFonts w:hint="default" w:ascii="Times New Roman" w:hAnsi="Times New Roman"/>
                <w:b w:val="0"/>
                <w:bCs w:val="0"/>
                <w:sz w:val="16"/>
                <w:szCs w:val="16"/>
                <w:vertAlign w:val="baseline"/>
                <w:lang w:val="en-US" w:eastAsia="zh-CN"/>
              </w:rPr>
              <w:fldChar w:fldCharType="end"/>
            </w:r>
          </w:p>
        </w:tc>
        <w:tc>
          <w:tcPr>
            <w:tcW w:w="472" w:type="dxa"/>
            <w:tcBorders>
              <w:tl2br w:val="nil"/>
              <w:tr2bl w:val="nil"/>
            </w:tcBorders>
            <w:vAlign w:val="center"/>
          </w:tcPr>
          <w:p w14:paraId="67AC3C97">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III</w:t>
            </w:r>
          </w:p>
        </w:tc>
        <w:tc>
          <w:tcPr>
            <w:tcW w:w="721" w:type="dxa"/>
            <w:tcBorders>
              <w:tl2br w:val="nil"/>
              <w:tr2bl w:val="nil"/>
            </w:tcBorders>
            <w:vAlign w:val="center"/>
          </w:tcPr>
          <w:p w14:paraId="1A732227">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RCT</w:t>
            </w:r>
          </w:p>
        </w:tc>
        <w:tc>
          <w:tcPr>
            <w:tcW w:w="687" w:type="dxa"/>
            <w:tcBorders>
              <w:tl2br w:val="nil"/>
              <w:tr2bl w:val="nil"/>
            </w:tcBorders>
            <w:vAlign w:val="center"/>
          </w:tcPr>
          <w:p w14:paraId="10527C8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ESCC</w:t>
            </w:r>
          </w:p>
        </w:tc>
        <w:tc>
          <w:tcPr>
            <w:tcW w:w="1613" w:type="dxa"/>
            <w:tcBorders>
              <w:tl2br w:val="nil"/>
              <w:tr2bl w:val="nil"/>
            </w:tcBorders>
            <w:vAlign w:val="center"/>
          </w:tcPr>
          <w:p w14:paraId="2C5BBD58">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T1N1-3M0</w:t>
            </w:r>
            <w:r>
              <w:rPr>
                <w:rFonts w:hint="eastAsia" w:ascii="Times New Roman" w:hAnsi="Times New Roman"/>
                <w:b w:val="0"/>
                <w:bCs w:val="0"/>
                <w:sz w:val="16"/>
                <w:szCs w:val="16"/>
                <w:vertAlign w:val="baseline"/>
                <w:lang w:val="en-US" w:eastAsia="zh-CN"/>
              </w:rPr>
              <w:t xml:space="preserve"> </w:t>
            </w:r>
            <w:r>
              <w:rPr>
                <w:rFonts w:hint="default" w:ascii="Times New Roman" w:hAnsi="Times New Roman"/>
                <w:b w:val="0"/>
                <w:bCs w:val="0"/>
                <w:sz w:val="16"/>
                <w:szCs w:val="16"/>
                <w:vertAlign w:val="baseline"/>
                <w:lang w:val="en-US" w:eastAsia="zh-CN"/>
              </w:rPr>
              <w:t>or</w:t>
            </w:r>
            <w:r>
              <w:rPr>
                <w:rFonts w:hint="eastAsia" w:ascii="Times New Roman" w:hAnsi="Times New Roman"/>
                <w:b w:val="0"/>
                <w:bCs w:val="0"/>
                <w:sz w:val="16"/>
                <w:szCs w:val="16"/>
                <w:vertAlign w:val="baseline"/>
                <w:lang w:val="en-US" w:eastAsia="zh-CN"/>
              </w:rPr>
              <w:t xml:space="preserve"> </w:t>
            </w:r>
            <w:r>
              <w:rPr>
                <w:rFonts w:hint="default" w:ascii="Times New Roman" w:hAnsi="Times New Roman"/>
                <w:b w:val="0"/>
                <w:bCs w:val="0"/>
                <w:sz w:val="16"/>
                <w:szCs w:val="16"/>
                <w:vertAlign w:val="baseline"/>
                <w:lang w:val="en-US" w:eastAsia="zh-CN"/>
              </w:rPr>
              <w:t>T2-3N0</w:t>
            </w:r>
            <w:r>
              <w:rPr>
                <w:rFonts w:hint="eastAsia" w:ascii="Times New Roman" w:hAnsi="Times New Roman"/>
                <w:b w:val="0"/>
                <w:bCs w:val="0"/>
                <w:sz w:val="16"/>
                <w:szCs w:val="16"/>
                <w:vertAlign w:val="baseline"/>
                <w:lang w:val="en-US" w:eastAsia="zh-CN"/>
              </w:rPr>
              <w:t>-</w:t>
            </w:r>
            <w:r>
              <w:rPr>
                <w:rFonts w:hint="default" w:ascii="Times New Roman" w:hAnsi="Times New Roman"/>
                <w:b w:val="0"/>
                <w:bCs w:val="0"/>
                <w:sz w:val="16"/>
                <w:szCs w:val="16"/>
                <w:vertAlign w:val="baseline"/>
                <w:lang w:val="en-US" w:eastAsia="zh-CN"/>
              </w:rPr>
              <w:t>3M0</w:t>
            </w:r>
          </w:p>
        </w:tc>
        <w:tc>
          <w:tcPr>
            <w:tcW w:w="606" w:type="dxa"/>
            <w:tcBorders>
              <w:tl2br w:val="nil"/>
              <w:tr2bl w:val="nil"/>
            </w:tcBorders>
            <w:vAlign w:val="center"/>
          </w:tcPr>
          <w:p w14:paraId="061C4C5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1</w:t>
            </w:r>
            <w:r>
              <w:rPr>
                <w:rFonts w:hint="eastAsia" w:ascii="Times New Roman" w:hAnsi="Times New Roman"/>
                <w:b w:val="0"/>
                <w:bCs w:val="0"/>
                <w:sz w:val="16"/>
                <w:szCs w:val="16"/>
                <w:vertAlign w:val="baseline"/>
                <w:lang w:val="en-US" w:eastAsia="zh-CN"/>
              </w:rPr>
              <w:t>27</w:t>
            </w:r>
          </w:p>
        </w:tc>
        <w:tc>
          <w:tcPr>
            <w:tcW w:w="1277" w:type="dxa"/>
            <w:tcBorders>
              <w:tl2br w:val="nil"/>
              <w:tr2bl w:val="nil"/>
            </w:tcBorders>
            <w:vAlign w:val="center"/>
          </w:tcPr>
          <w:p w14:paraId="3B073C9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Toripalimab</w:t>
            </w:r>
          </w:p>
        </w:tc>
        <w:tc>
          <w:tcPr>
            <w:tcW w:w="746" w:type="dxa"/>
            <w:tcBorders>
              <w:tl2br w:val="nil"/>
              <w:tr2bl w:val="nil"/>
            </w:tcBorders>
            <w:vAlign w:val="center"/>
          </w:tcPr>
          <w:p w14:paraId="669BA36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TP</w:t>
            </w:r>
          </w:p>
        </w:tc>
        <w:tc>
          <w:tcPr>
            <w:tcW w:w="456" w:type="dxa"/>
            <w:tcBorders>
              <w:tl2br w:val="nil"/>
              <w:tr2bl w:val="nil"/>
            </w:tcBorders>
            <w:vAlign w:val="center"/>
          </w:tcPr>
          <w:p w14:paraId="2A2834B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2</w:t>
            </w:r>
          </w:p>
        </w:tc>
        <w:tc>
          <w:tcPr>
            <w:tcW w:w="791" w:type="dxa"/>
            <w:tcBorders>
              <w:tl2br w:val="nil"/>
              <w:tr2bl w:val="nil"/>
            </w:tcBorders>
            <w:vAlign w:val="center"/>
          </w:tcPr>
          <w:p w14:paraId="533BE136">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4.6</w:t>
            </w:r>
          </w:p>
        </w:tc>
        <w:tc>
          <w:tcPr>
            <w:tcW w:w="712" w:type="dxa"/>
            <w:tcBorders>
              <w:tl2br w:val="nil"/>
              <w:tr2bl w:val="nil"/>
            </w:tcBorders>
            <w:vAlign w:val="center"/>
          </w:tcPr>
          <w:p w14:paraId="74DA94E4">
            <w:pPr>
              <w:snapToGrid w:val="0"/>
              <w:spacing w:beforeLines="0" w:afterLines="0"/>
              <w:jc w:val="center"/>
              <w:rPr>
                <w:rFonts w:hint="default" w:ascii="Times New Roman" w:hAnsi="Times New Roman" w:cs="Times New Roman"/>
                <w:b w:val="0"/>
                <w:bCs w:val="0"/>
                <w:sz w:val="16"/>
                <w:szCs w:val="16"/>
                <w:vertAlign w:val="baseline"/>
                <w:lang w:val="en-US" w:eastAsia="zh-CN"/>
              </w:rPr>
            </w:pPr>
            <w:r>
              <w:rPr>
                <w:rFonts w:hint="default" w:ascii="Times New Roman" w:hAnsi="Times New Roman" w:cs="Times New Roman"/>
                <w:sz w:val="16"/>
                <w:szCs w:val="16"/>
              </w:rPr>
              <w:t>80.3</w:t>
            </w:r>
          </w:p>
        </w:tc>
        <w:tc>
          <w:tcPr>
            <w:tcW w:w="608" w:type="dxa"/>
            <w:tcBorders>
              <w:tl2br w:val="nil"/>
              <w:tr2bl w:val="nil"/>
            </w:tcBorders>
            <w:vAlign w:val="center"/>
          </w:tcPr>
          <w:p w14:paraId="17776CC9">
            <w:pPr>
              <w:snapToGrid w:val="0"/>
              <w:spacing w:beforeLines="0" w:afterLines="0"/>
              <w:jc w:val="center"/>
              <w:rPr>
                <w:rFonts w:hint="default" w:ascii="Times New Roman" w:hAnsi="Times New Roman" w:cs="Times New Roman"/>
                <w:b w:val="0"/>
                <w:bCs w:val="0"/>
                <w:sz w:val="16"/>
                <w:szCs w:val="16"/>
                <w:vertAlign w:val="baseline"/>
                <w:lang w:val="en-US" w:eastAsia="zh-CN"/>
              </w:rPr>
            </w:pPr>
            <w:r>
              <w:rPr>
                <w:rFonts w:hint="default" w:ascii="Times New Roman" w:hAnsi="Times New Roman" w:cs="Times New Roman"/>
                <w:sz w:val="16"/>
                <w:szCs w:val="16"/>
              </w:rPr>
              <w:t>18.6</w:t>
            </w:r>
          </w:p>
        </w:tc>
        <w:tc>
          <w:tcPr>
            <w:tcW w:w="624" w:type="dxa"/>
            <w:tcBorders>
              <w:tl2br w:val="nil"/>
              <w:tr2bl w:val="nil"/>
            </w:tcBorders>
            <w:vAlign w:val="center"/>
          </w:tcPr>
          <w:p w14:paraId="457FCA1A">
            <w:pPr>
              <w:snapToGrid w:val="0"/>
              <w:spacing w:beforeLines="0" w:afterLines="0"/>
              <w:jc w:val="center"/>
              <w:rPr>
                <w:rFonts w:hint="default" w:ascii="Times New Roman" w:hAnsi="Times New Roman" w:cs="Times New Roman"/>
                <w:b w:val="0"/>
                <w:bCs w:val="0"/>
                <w:sz w:val="16"/>
                <w:szCs w:val="16"/>
                <w:vertAlign w:val="baseline"/>
                <w:lang w:val="en-US" w:eastAsia="zh-CN"/>
              </w:rPr>
            </w:pPr>
            <w:r>
              <w:rPr>
                <w:rFonts w:hint="default" w:ascii="Times New Roman" w:hAnsi="Times New Roman" w:cs="Times New Roman"/>
                <w:sz w:val="16"/>
                <w:szCs w:val="16"/>
              </w:rPr>
              <w:t>29.4</w:t>
            </w:r>
          </w:p>
        </w:tc>
        <w:tc>
          <w:tcPr>
            <w:tcW w:w="869" w:type="dxa"/>
            <w:tcBorders>
              <w:tl2br w:val="nil"/>
              <w:tr2bl w:val="nil"/>
            </w:tcBorders>
            <w:vAlign w:val="center"/>
          </w:tcPr>
          <w:p w14:paraId="57B226D9">
            <w:pPr>
              <w:snapToGrid w:val="0"/>
              <w:spacing w:beforeLines="0" w:afterLines="0"/>
              <w:jc w:val="center"/>
              <w:rPr>
                <w:rFonts w:hint="default" w:ascii="Times New Roman" w:hAnsi="Times New Roman" w:cs="Times New Roman"/>
                <w:b w:val="0"/>
                <w:bCs w:val="0"/>
                <w:sz w:val="16"/>
                <w:szCs w:val="16"/>
                <w:vertAlign w:val="baseline"/>
                <w:lang w:val="en-US" w:eastAsia="zh-CN"/>
              </w:rPr>
            </w:pPr>
            <w:r>
              <w:rPr>
                <w:rFonts w:hint="default" w:ascii="Times New Roman" w:hAnsi="Times New Roman" w:cs="Times New Roman"/>
                <w:sz w:val="16"/>
                <w:szCs w:val="16"/>
              </w:rPr>
              <w:t>100</w:t>
            </w:r>
          </w:p>
        </w:tc>
        <w:tc>
          <w:tcPr>
            <w:tcW w:w="746" w:type="dxa"/>
            <w:tcBorders>
              <w:tl2br w:val="nil"/>
              <w:tr2bl w:val="nil"/>
            </w:tcBorders>
            <w:vAlign w:val="center"/>
          </w:tcPr>
          <w:p w14:paraId="5067F5B0">
            <w:pPr>
              <w:snapToGrid w:val="0"/>
              <w:spacing w:beforeLines="0" w:afterLines="0"/>
              <w:jc w:val="center"/>
              <w:rPr>
                <w:rFonts w:hint="default" w:ascii="Times New Roman" w:hAnsi="Times New Roman" w:cs="Times New Roman"/>
                <w:b w:val="0"/>
                <w:bCs w:val="0"/>
                <w:sz w:val="16"/>
                <w:szCs w:val="16"/>
                <w:vertAlign w:val="baseline"/>
                <w:lang w:val="en-US" w:eastAsia="zh-CN"/>
              </w:rPr>
            </w:pPr>
            <w:r>
              <w:rPr>
                <w:rFonts w:hint="default" w:ascii="Times New Roman" w:hAnsi="Times New Roman" w:cs="Times New Roman"/>
                <w:sz w:val="16"/>
                <w:szCs w:val="16"/>
              </w:rPr>
              <w:t>12.5</w:t>
            </w:r>
          </w:p>
        </w:tc>
      </w:tr>
      <w:tr w14:paraId="77EBDDD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74" w:type="dxa"/>
            <w:tcBorders>
              <w:tl2br w:val="nil"/>
              <w:tr2bl w:val="nil"/>
            </w:tcBorders>
            <w:vAlign w:val="center"/>
          </w:tcPr>
          <w:p w14:paraId="23B54D1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REVO</w:t>
            </w:r>
            <w:r>
              <w:rPr>
                <w:rFonts w:hint="default" w:ascii="Times New Roman" w:hAnsi="Times New Roman"/>
                <w:b w:val="0"/>
                <w:bCs w:val="0"/>
                <w:sz w:val="16"/>
                <w:szCs w:val="16"/>
                <w:vertAlign w:val="baseline"/>
                <w:lang w:val="en-US" w:eastAsia="zh-CN"/>
              </w:rPr>
              <w:fldChar w:fldCharType="begin"/>
            </w:r>
            <w:r>
              <w:rPr>
                <w:rFonts w:hint="eastAsia" w:ascii="Times New Roman" w:hAnsi="Times New Roman"/>
                <w:b w:val="0"/>
                <w:bCs w:val="0"/>
                <w:sz w:val="16"/>
                <w:szCs w:val="16"/>
                <w:vertAlign w:val="baseline"/>
                <w:lang w:val="en-US" w:eastAsia="zh-CN"/>
              </w:rPr>
              <w:instrText xml:space="preserve"> ADDIN ZOTERO_ITEM CSL_CITATION {"citationID":"uWZP6fuM","properties":{"formattedCitation":"\\super [16]\\nosupersub{}","plainCitation":"[16]","noteIndex":0},"citationItems":[{"id":1584,"uris":["http://zotero.org/users/15831584/items/GQ23BZHP"],"itemData":{"id":1584,"type":"article-journal","abstract":"Several studies have evaluated PD-1 inhibitors plus chemotherapy as neoadjuvant treatment for locally advanced esophageal squamous cell carcinoma (ESCC), but comparative data with chemoradiotherapy (CRT) remain limited. This multicenter, randomized, open-label, phase 2 non-inferiority trial (REVO, NCT05007145) assessed the efficacy and safety of neoadjuvant camrelizumab plus chemotherapy (ICT) versus CRT in patients with resectable, locally advanced ESCC. A total of 104 patients were randomized to ICT (camrelizumab, nab-paclitaxel, cisplatin) or CRT (nab-paclitaxel, cisplatin, radiotherapy). The primary endpoint was pathologic complete response (pCR). ICT achieved a pCR rate of 32.7% versus 34.6% with CRT (rate ratio 0.94, 90% CI 0.6-1.49), demonstrating non-inferiority and meeting the pre-specified primary endpoint. Major pathologic response was observed in 42.3% of ICT patients and 57.7% of CRT patients, with R0 resection achieved in 100% of both groups. 1-year disease-free survival was 89.1% versus 78.2%, and 1-year overall survival was 100% versus 92.3% for ICT and CRT, respectively. Grade ≥3 treatment-related adverse events occurred in 19.2% of ICT patients and 33.3% of CRT patients, and surgical complications were reported in 31.1% and 35.9%, respectively. These findings indicate that ICT is a safe and effective neoadjuvant strategy for resectable ESCC with a more favorable safety profile.","container-title":"Nature Communications","DOI":"10.1038/s41467-025-64660-z","ISSN":"2041-1723","issue":"1","journalAbbreviation":"Nat. Commun.","language":"en","note":"5年影响因子: 17.2\nJCR分区: Q1\n中科院分区升级版: 综合性期刊1区\n南农高质量: A\n影响因子: 15.7","page":"9676","PMID":"41184224","PMCID":"PMC12583711","source":"PubMed","title":"Camrelizumab plus chemotherapy versus chemoradiotherapy as neoadjuvant therapy for resectable esophageal squamous cell carcinoma: phase 2 randomized trial (REVO)","title-short":"Camrelizumab plus chemotherapy versus chemoradiotherapy as neoadjuvant therapy for resectable esophageal squamous cell carcinoma","volume":"16","author":[{"family":"Wang","given":"Peiyuan"},{"family":"Chen","given":"Yujie"},{"family":"Wang","given":"Feng"},{"family":"Chen","given":"Mingqiu"},{"family":"Zheng","given":"Buhong"},{"family":"Zhang","given":"Derong"},{"family":"Zheng","given":"Qingfeng"},{"family":"Wang","given":"Jiezhong"},{"family":"Chen","given":"Junqiang"},{"family":"Cai","given":"Huaxin"},{"family":"Liu","given":"Junhua"},{"family":"Zhang","given":"Wenshan"},{"family":"Lian","given":"Changhong"},{"family":"Chen","given":"Juhui"},{"family":"Lin","given":"Yu"},{"family":"Xu","given":"Yuanji"},{"family":"Huang","given":"Rongfang"},{"family":"Lei","given":"Mengxia"},{"family":"Chen","given":"Peng"},{"family":"He","given":"Hao"},{"family":"Lin","given":"Hui"},{"family":"Chen","given":"Xiaofeng"},{"family":"Zhou","given":"Hang"},{"family":"Chen","given":"Weijie"},{"family":"Wei","given":"Wenwei"},{"family":"Zhuang","given":"Fengnian"},{"family":"Lin","given":"Junpeng"},{"family":"Huang","given":"Canhua"},{"family":"Guan","given":"Ni"},{"family":"Yan","given":"Jin"},{"family":"Liang","given":"Shujun"},{"family":"Liu","given":"Shuoyan"},{"family":"Li","given":"Jiancheng"}],"issued":{"date-parts":[["2025",11,3]]}}}],"schema":"https://github.com/citation-style-language/schema/raw/master/csl-citation.json"} </w:instrText>
            </w:r>
            <w:r>
              <w:rPr>
                <w:rFonts w:hint="default" w:ascii="Times New Roman" w:hAnsi="Times New Roman"/>
                <w:b w:val="0"/>
                <w:bCs w:val="0"/>
                <w:sz w:val="16"/>
                <w:szCs w:val="16"/>
                <w:vertAlign w:val="baseline"/>
                <w:lang w:val="en-US" w:eastAsia="zh-CN"/>
              </w:rPr>
              <w:fldChar w:fldCharType="separate"/>
            </w:r>
            <w:r>
              <w:rPr>
                <w:rFonts w:hint="default" w:ascii="Times New Roman" w:hAnsi="Times New Roman" w:cs="Times New Roman"/>
                <w:sz w:val="16"/>
                <w:szCs w:val="24"/>
                <w:vertAlign w:val="superscript"/>
              </w:rPr>
              <w:t>[16]</w:t>
            </w:r>
            <w:r>
              <w:rPr>
                <w:rFonts w:hint="default" w:ascii="Times New Roman" w:hAnsi="Times New Roman"/>
                <w:b w:val="0"/>
                <w:bCs w:val="0"/>
                <w:sz w:val="16"/>
                <w:szCs w:val="16"/>
                <w:vertAlign w:val="baseline"/>
                <w:lang w:val="en-US" w:eastAsia="zh-CN"/>
              </w:rPr>
              <w:fldChar w:fldCharType="end"/>
            </w:r>
          </w:p>
        </w:tc>
        <w:tc>
          <w:tcPr>
            <w:tcW w:w="472" w:type="dxa"/>
            <w:tcBorders>
              <w:tl2br w:val="nil"/>
              <w:tr2bl w:val="nil"/>
            </w:tcBorders>
            <w:vAlign w:val="center"/>
          </w:tcPr>
          <w:p w14:paraId="0B7B248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II</w:t>
            </w:r>
          </w:p>
        </w:tc>
        <w:tc>
          <w:tcPr>
            <w:tcW w:w="721" w:type="dxa"/>
            <w:tcBorders>
              <w:tl2br w:val="nil"/>
              <w:tr2bl w:val="nil"/>
            </w:tcBorders>
            <w:vAlign w:val="center"/>
          </w:tcPr>
          <w:p w14:paraId="0D9D3880">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RCT</w:t>
            </w:r>
          </w:p>
        </w:tc>
        <w:tc>
          <w:tcPr>
            <w:tcW w:w="687" w:type="dxa"/>
            <w:tcBorders>
              <w:tl2br w:val="nil"/>
              <w:tr2bl w:val="nil"/>
            </w:tcBorders>
            <w:vAlign w:val="center"/>
          </w:tcPr>
          <w:p w14:paraId="6399D9CD">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ESCC</w:t>
            </w:r>
          </w:p>
        </w:tc>
        <w:tc>
          <w:tcPr>
            <w:tcW w:w="1613" w:type="dxa"/>
            <w:tcBorders>
              <w:tl2br w:val="nil"/>
              <w:tr2bl w:val="nil"/>
            </w:tcBorders>
            <w:vAlign w:val="center"/>
          </w:tcPr>
          <w:p w14:paraId="44AB6FC6">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T1b-4aN1-3M0-1  or T3-4aN0M0-1*</w:t>
            </w:r>
          </w:p>
        </w:tc>
        <w:tc>
          <w:tcPr>
            <w:tcW w:w="606" w:type="dxa"/>
            <w:tcBorders>
              <w:tl2br w:val="nil"/>
              <w:tr2bl w:val="nil"/>
            </w:tcBorders>
            <w:vAlign w:val="center"/>
          </w:tcPr>
          <w:p w14:paraId="206931A7">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52</w:t>
            </w:r>
          </w:p>
        </w:tc>
        <w:tc>
          <w:tcPr>
            <w:tcW w:w="1277" w:type="dxa"/>
            <w:tcBorders>
              <w:tl2br w:val="nil"/>
              <w:tr2bl w:val="nil"/>
            </w:tcBorders>
            <w:vAlign w:val="center"/>
          </w:tcPr>
          <w:p w14:paraId="30479565">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Camrelizumab</w:t>
            </w:r>
          </w:p>
        </w:tc>
        <w:tc>
          <w:tcPr>
            <w:tcW w:w="746" w:type="dxa"/>
            <w:tcBorders>
              <w:tl2br w:val="nil"/>
              <w:tr2bl w:val="nil"/>
            </w:tcBorders>
            <w:vAlign w:val="center"/>
          </w:tcPr>
          <w:p w14:paraId="01960E61">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nab-TP</w:t>
            </w:r>
          </w:p>
        </w:tc>
        <w:tc>
          <w:tcPr>
            <w:tcW w:w="456" w:type="dxa"/>
            <w:tcBorders>
              <w:tl2br w:val="nil"/>
              <w:tr2bl w:val="nil"/>
            </w:tcBorders>
            <w:vAlign w:val="center"/>
          </w:tcPr>
          <w:p w14:paraId="43A69C7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2-4</w:t>
            </w:r>
          </w:p>
        </w:tc>
        <w:tc>
          <w:tcPr>
            <w:tcW w:w="791" w:type="dxa"/>
            <w:tcBorders>
              <w:tl2br w:val="nil"/>
              <w:tr2bl w:val="nil"/>
            </w:tcBorders>
            <w:vAlign w:val="center"/>
          </w:tcPr>
          <w:p w14:paraId="5AA673D6">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NR</w:t>
            </w:r>
          </w:p>
        </w:tc>
        <w:tc>
          <w:tcPr>
            <w:tcW w:w="712" w:type="dxa"/>
            <w:tcBorders>
              <w:tl2br w:val="nil"/>
              <w:tr2bl w:val="nil"/>
            </w:tcBorders>
            <w:vAlign w:val="center"/>
          </w:tcPr>
          <w:p w14:paraId="4D58F8E0">
            <w:pPr>
              <w:snapToGrid w:val="0"/>
              <w:spacing w:beforeLines="0" w:afterLines="0"/>
              <w:jc w:val="center"/>
              <w:rPr>
                <w:rFonts w:hint="default" w:ascii="Times New Roman" w:hAnsi="Times New Roman" w:cs="Times New Roman"/>
                <w:b w:val="0"/>
                <w:bCs w:val="0"/>
                <w:sz w:val="16"/>
                <w:szCs w:val="16"/>
                <w:vertAlign w:val="baseline"/>
                <w:lang w:val="en-US" w:eastAsia="zh-CN"/>
              </w:rPr>
            </w:pPr>
            <w:r>
              <w:rPr>
                <w:rFonts w:hint="default" w:ascii="Times New Roman" w:hAnsi="Times New Roman" w:cs="Times New Roman"/>
                <w:sz w:val="16"/>
                <w:szCs w:val="16"/>
              </w:rPr>
              <w:t>86.5</w:t>
            </w:r>
          </w:p>
        </w:tc>
        <w:tc>
          <w:tcPr>
            <w:tcW w:w="608" w:type="dxa"/>
            <w:tcBorders>
              <w:tl2br w:val="nil"/>
              <w:tr2bl w:val="nil"/>
            </w:tcBorders>
            <w:vAlign w:val="center"/>
          </w:tcPr>
          <w:p w14:paraId="0C703F3E">
            <w:pPr>
              <w:snapToGrid w:val="0"/>
              <w:spacing w:beforeLines="0" w:afterLines="0"/>
              <w:jc w:val="center"/>
              <w:rPr>
                <w:rFonts w:hint="default" w:ascii="Times New Roman" w:hAnsi="Times New Roman" w:cs="Times New Roman"/>
                <w:b w:val="0"/>
                <w:bCs w:val="0"/>
                <w:sz w:val="16"/>
                <w:szCs w:val="16"/>
                <w:vertAlign w:val="baseline"/>
                <w:lang w:val="en-US" w:eastAsia="zh-CN"/>
              </w:rPr>
            </w:pPr>
            <w:r>
              <w:rPr>
                <w:rFonts w:hint="default" w:ascii="Times New Roman" w:hAnsi="Times New Roman" w:cs="Times New Roman"/>
                <w:sz w:val="16"/>
                <w:szCs w:val="16"/>
              </w:rPr>
              <w:t>37.8</w:t>
            </w:r>
          </w:p>
        </w:tc>
        <w:tc>
          <w:tcPr>
            <w:tcW w:w="624" w:type="dxa"/>
            <w:tcBorders>
              <w:tl2br w:val="nil"/>
              <w:tr2bl w:val="nil"/>
            </w:tcBorders>
            <w:vAlign w:val="center"/>
          </w:tcPr>
          <w:p w14:paraId="45AF879B">
            <w:pPr>
              <w:snapToGrid w:val="0"/>
              <w:spacing w:beforeLines="0" w:afterLines="0"/>
              <w:jc w:val="center"/>
              <w:rPr>
                <w:rFonts w:hint="default" w:ascii="Times New Roman" w:hAnsi="Times New Roman" w:cs="Times New Roman"/>
                <w:b w:val="0"/>
                <w:bCs w:val="0"/>
                <w:sz w:val="16"/>
                <w:szCs w:val="16"/>
                <w:vertAlign w:val="baseline"/>
                <w:lang w:val="en-US" w:eastAsia="zh-CN"/>
              </w:rPr>
            </w:pPr>
            <w:r>
              <w:rPr>
                <w:rFonts w:hint="default" w:ascii="Times New Roman" w:hAnsi="Times New Roman" w:cs="Times New Roman"/>
                <w:sz w:val="16"/>
                <w:szCs w:val="16"/>
              </w:rPr>
              <w:t>48.9</w:t>
            </w:r>
          </w:p>
        </w:tc>
        <w:tc>
          <w:tcPr>
            <w:tcW w:w="869" w:type="dxa"/>
            <w:tcBorders>
              <w:tl2br w:val="nil"/>
              <w:tr2bl w:val="nil"/>
            </w:tcBorders>
            <w:vAlign w:val="center"/>
          </w:tcPr>
          <w:p w14:paraId="26AC1612">
            <w:pPr>
              <w:snapToGrid w:val="0"/>
              <w:spacing w:beforeLines="0" w:afterLines="0"/>
              <w:jc w:val="center"/>
              <w:rPr>
                <w:rFonts w:hint="default" w:ascii="Times New Roman" w:hAnsi="Times New Roman" w:cs="Times New Roman"/>
                <w:b w:val="0"/>
                <w:bCs w:val="0"/>
                <w:sz w:val="16"/>
                <w:szCs w:val="16"/>
                <w:vertAlign w:val="baseline"/>
                <w:lang w:val="en-US" w:eastAsia="zh-CN"/>
              </w:rPr>
            </w:pPr>
            <w:r>
              <w:rPr>
                <w:rFonts w:hint="default" w:ascii="Times New Roman" w:hAnsi="Times New Roman" w:cs="Times New Roman"/>
                <w:sz w:val="16"/>
                <w:szCs w:val="16"/>
              </w:rPr>
              <w:t>100</w:t>
            </w:r>
          </w:p>
        </w:tc>
        <w:tc>
          <w:tcPr>
            <w:tcW w:w="746" w:type="dxa"/>
            <w:tcBorders>
              <w:tl2br w:val="nil"/>
              <w:tr2bl w:val="nil"/>
            </w:tcBorders>
            <w:vAlign w:val="center"/>
          </w:tcPr>
          <w:p w14:paraId="60DADD80">
            <w:pPr>
              <w:snapToGrid w:val="0"/>
              <w:spacing w:beforeLines="0" w:afterLines="0"/>
              <w:jc w:val="center"/>
              <w:rPr>
                <w:rFonts w:hint="default" w:ascii="Times New Roman" w:hAnsi="Times New Roman" w:cs="Times New Roman"/>
                <w:b w:val="0"/>
                <w:bCs w:val="0"/>
                <w:sz w:val="16"/>
                <w:szCs w:val="16"/>
                <w:vertAlign w:val="baseline"/>
                <w:lang w:val="en-US" w:eastAsia="zh-CN"/>
              </w:rPr>
            </w:pPr>
            <w:r>
              <w:rPr>
                <w:rFonts w:hint="default" w:ascii="Times New Roman" w:hAnsi="Times New Roman" w:cs="Times New Roman"/>
                <w:sz w:val="16"/>
                <w:szCs w:val="16"/>
              </w:rPr>
              <w:t>19.2</w:t>
            </w:r>
          </w:p>
        </w:tc>
      </w:tr>
      <w:tr w14:paraId="4A50E2A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74" w:type="dxa"/>
            <w:tcBorders>
              <w:tl2br w:val="nil"/>
              <w:tr2bl w:val="nil"/>
            </w:tcBorders>
            <w:vAlign w:val="center"/>
          </w:tcPr>
          <w:p w14:paraId="2433C614">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SCIENCE</w:t>
            </w:r>
            <w:r>
              <w:rPr>
                <w:rFonts w:hint="default" w:ascii="Times New Roman" w:hAnsi="Times New Roman"/>
                <w:b w:val="0"/>
                <w:bCs w:val="0"/>
                <w:sz w:val="16"/>
                <w:szCs w:val="16"/>
                <w:vertAlign w:val="baseline"/>
                <w:lang w:val="en-US" w:eastAsia="zh-CN"/>
              </w:rPr>
              <w:fldChar w:fldCharType="begin"/>
            </w:r>
            <w:r>
              <w:rPr>
                <w:rFonts w:hint="eastAsia" w:ascii="Times New Roman" w:hAnsi="Times New Roman"/>
                <w:b w:val="0"/>
                <w:bCs w:val="0"/>
                <w:sz w:val="16"/>
                <w:szCs w:val="16"/>
                <w:vertAlign w:val="baseline"/>
                <w:lang w:val="en-US" w:eastAsia="zh-CN"/>
              </w:rPr>
              <w:instrText xml:space="preserve"> ADDIN ZOTERO_ITEM CSL_CITATION {"citationID":"fYi9nhuU","properties":{"formattedCitation":"\\super [39]\\nosupersub{}","plainCitation":"[39]","noteIndex":0},"citationItems":[{"id":1579,"uris":["http://zotero.org/users/15831584/items/JNUSSF4A"],"itemData":{"id":1579,"type":"webpage","language":"en","title":"Preliminary results from the multicenter, randomized phase III trial (SCIENCE): comparing chemotherapy plus sintilimab and chemoradiotherapy plus sintilimab versus chemoradiotherapy for neoadjuvant treatment in resectable locally advanced esophageal squamous cell carcinoma","title-short":"Preliminary results from the multicenter, randomized phase III trial (SCIENCE)","URL":"https://www.onclive.com/view/neoadjuvant-sintilimab-plus-chemoradiotherapy-improves-pcr-rate-in-resectable-locally-advanced-escc","author":[{"literal":"Leng X"},{"literal":"He W"},{"literal":"Lyu J"}],"accessed":{"date-parts":[["2025",11,10]]}}}],"schema":"https://github.com/citation-style-language/schema/raw/master/csl-citation.json"} </w:instrText>
            </w:r>
            <w:r>
              <w:rPr>
                <w:rFonts w:hint="default" w:ascii="Times New Roman" w:hAnsi="Times New Roman"/>
                <w:b w:val="0"/>
                <w:bCs w:val="0"/>
                <w:sz w:val="16"/>
                <w:szCs w:val="16"/>
                <w:vertAlign w:val="baseline"/>
                <w:lang w:val="en-US" w:eastAsia="zh-CN"/>
              </w:rPr>
              <w:fldChar w:fldCharType="separate"/>
            </w:r>
            <w:r>
              <w:rPr>
                <w:rFonts w:hint="default" w:ascii="Times New Roman" w:hAnsi="Times New Roman" w:cs="Times New Roman"/>
                <w:sz w:val="16"/>
                <w:szCs w:val="24"/>
                <w:vertAlign w:val="superscript"/>
              </w:rPr>
              <w:t>[39]</w:t>
            </w:r>
            <w:r>
              <w:rPr>
                <w:rFonts w:hint="default" w:ascii="Times New Roman" w:hAnsi="Times New Roman"/>
                <w:b w:val="0"/>
                <w:bCs w:val="0"/>
                <w:sz w:val="16"/>
                <w:szCs w:val="16"/>
                <w:vertAlign w:val="baseline"/>
                <w:lang w:val="en-US" w:eastAsia="zh-CN"/>
              </w:rPr>
              <w:fldChar w:fldCharType="end"/>
            </w:r>
          </w:p>
        </w:tc>
        <w:tc>
          <w:tcPr>
            <w:tcW w:w="472" w:type="dxa"/>
            <w:tcBorders>
              <w:tl2br w:val="nil"/>
              <w:tr2bl w:val="nil"/>
            </w:tcBorders>
            <w:vAlign w:val="center"/>
          </w:tcPr>
          <w:p w14:paraId="4EEF43CA">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III</w:t>
            </w:r>
          </w:p>
        </w:tc>
        <w:tc>
          <w:tcPr>
            <w:tcW w:w="721" w:type="dxa"/>
            <w:tcBorders>
              <w:tl2br w:val="nil"/>
              <w:tr2bl w:val="nil"/>
            </w:tcBorders>
            <w:vAlign w:val="center"/>
          </w:tcPr>
          <w:p w14:paraId="07B78FD7">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RCT</w:t>
            </w:r>
          </w:p>
        </w:tc>
        <w:tc>
          <w:tcPr>
            <w:tcW w:w="687" w:type="dxa"/>
            <w:tcBorders>
              <w:tl2br w:val="nil"/>
              <w:tr2bl w:val="nil"/>
            </w:tcBorders>
            <w:vAlign w:val="center"/>
          </w:tcPr>
          <w:p w14:paraId="58E5B1E4">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ESCC</w:t>
            </w:r>
          </w:p>
        </w:tc>
        <w:tc>
          <w:tcPr>
            <w:tcW w:w="1613" w:type="dxa"/>
            <w:tcBorders>
              <w:tl2br w:val="nil"/>
              <w:tr2bl w:val="nil"/>
            </w:tcBorders>
            <w:vAlign w:val="center"/>
          </w:tcPr>
          <w:p w14:paraId="082D60FA">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T1N2-3M0 or T2-4aN0-3M0</w:t>
            </w:r>
          </w:p>
        </w:tc>
        <w:tc>
          <w:tcPr>
            <w:tcW w:w="606" w:type="dxa"/>
            <w:tcBorders>
              <w:tl2br w:val="nil"/>
              <w:tr2bl w:val="nil"/>
            </w:tcBorders>
            <w:vAlign w:val="center"/>
          </w:tcPr>
          <w:p w14:paraId="318B5D36">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46</w:t>
            </w:r>
          </w:p>
        </w:tc>
        <w:tc>
          <w:tcPr>
            <w:tcW w:w="1277" w:type="dxa"/>
            <w:tcBorders>
              <w:tl2br w:val="nil"/>
              <w:tr2bl w:val="nil"/>
            </w:tcBorders>
            <w:vAlign w:val="center"/>
          </w:tcPr>
          <w:p w14:paraId="726B9AC8">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Sintilimab</w:t>
            </w:r>
          </w:p>
        </w:tc>
        <w:tc>
          <w:tcPr>
            <w:tcW w:w="746" w:type="dxa"/>
            <w:tcBorders>
              <w:tl2br w:val="nil"/>
              <w:tr2bl w:val="nil"/>
            </w:tcBorders>
            <w:vAlign w:val="center"/>
          </w:tcPr>
          <w:p w14:paraId="1F2DA37C">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nab-T</w:t>
            </w:r>
            <w:r>
              <w:rPr>
                <w:rFonts w:hint="eastAsia" w:ascii="Times New Roman" w:hAnsi="Times New Roman"/>
                <w:b w:val="0"/>
                <w:bCs w:val="0"/>
                <w:sz w:val="16"/>
                <w:szCs w:val="16"/>
                <w:vertAlign w:val="baseline"/>
                <w:lang w:val="en-US" w:eastAsia="zh-CN"/>
              </w:rPr>
              <w:t>C</w:t>
            </w:r>
          </w:p>
        </w:tc>
        <w:tc>
          <w:tcPr>
            <w:tcW w:w="456" w:type="dxa"/>
            <w:tcBorders>
              <w:tl2br w:val="nil"/>
              <w:tr2bl w:val="nil"/>
            </w:tcBorders>
            <w:vAlign w:val="center"/>
          </w:tcPr>
          <w:p w14:paraId="019F2C13">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2</w:t>
            </w:r>
          </w:p>
        </w:tc>
        <w:tc>
          <w:tcPr>
            <w:tcW w:w="791" w:type="dxa"/>
            <w:tcBorders>
              <w:tl2br w:val="nil"/>
              <w:tr2bl w:val="nil"/>
            </w:tcBorders>
            <w:vAlign w:val="center"/>
          </w:tcPr>
          <w:p w14:paraId="44ABD36C">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NR</w:t>
            </w:r>
          </w:p>
        </w:tc>
        <w:tc>
          <w:tcPr>
            <w:tcW w:w="712" w:type="dxa"/>
            <w:tcBorders>
              <w:tl2br w:val="nil"/>
              <w:tr2bl w:val="nil"/>
            </w:tcBorders>
            <w:vAlign w:val="center"/>
          </w:tcPr>
          <w:p w14:paraId="20F6B047">
            <w:pPr>
              <w:snapToGrid w:val="0"/>
              <w:spacing w:beforeLines="0" w:afterLines="0"/>
              <w:jc w:val="center"/>
              <w:rPr>
                <w:rFonts w:hint="default" w:ascii="Times New Roman" w:hAnsi="Times New Roman" w:cs="Times New Roman"/>
                <w:b w:val="0"/>
                <w:bCs w:val="0"/>
                <w:sz w:val="16"/>
                <w:szCs w:val="16"/>
                <w:vertAlign w:val="baseline"/>
                <w:lang w:val="en-US" w:eastAsia="zh-CN"/>
              </w:rPr>
            </w:pPr>
            <w:r>
              <w:rPr>
                <w:rFonts w:hint="default" w:ascii="Times New Roman" w:hAnsi="Times New Roman" w:cs="Times New Roman"/>
                <w:sz w:val="16"/>
                <w:szCs w:val="16"/>
              </w:rPr>
              <w:t>100</w:t>
            </w:r>
          </w:p>
        </w:tc>
        <w:tc>
          <w:tcPr>
            <w:tcW w:w="608" w:type="dxa"/>
            <w:tcBorders>
              <w:tl2br w:val="nil"/>
              <w:tr2bl w:val="nil"/>
            </w:tcBorders>
            <w:vAlign w:val="center"/>
          </w:tcPr>
          <w:p w14:paraId="577430CB">
            <w:pPr>
              <w:snapToGrid w:val="0"/>
              <w:spacing w:beforeLines="0" w:afterLines="0"/>
              <w:jc w:val="center"/>
              <w:rPr>
                <w:rFonts w:hint="default" w:ascii="Times New Roman" w:hAnsi="Times New Roman" w:cs="Times New Roman"/>
                <w:b w:val="0"/>
                <w:bCs w:val="0"/>
                <w:sz w:val="16"/>
                <w:szCs w:val="16"/>
                <w:vertAlign w:val="baseline"/>
                <w:lang w:val="en-US" w:eastAsia="zh-CN"/>
              </w:rPr>
            </w:pPr>
            <w:r>
              <w:rPr>
                <w:rFonts w:hint="default" w:ascii="Times New Roman" w:hAnsi="Times New Roman" w:cs="Times New Roman"/>
                <w:sz w:val="16"/>
                <w:szCs w:val="16"/>
              </w:rPr>
              <w:t>13.0</w:t>
            </w:r>
          </w:p>
        </w:tc>
        <w:tc>
          <w:tcPr>
            <w:tcW w:w="624" w:type="dxa"/>
            <w:tcBorders>
              <w:tl2br w:val="nil"/>
              <w:tr2bl w:val="nil"/>
            </w:tcBorders>
            <w:vAlign w:val="center"/>
          </w:tcPr>
          <w:p w14:paraId="48EBE906">
            <w:pPr>
              <w:snapToGrid w:val="0"/>
              <w:spacing w:beforeLines="0" w:afterLines="0"/>
              <w:jc w:val="center"/>
              <w:rPr>
                <w:rFonts w:hint="default" w:ascii="Times New Roman" w:hAnsi="Times New Roman" w:cs="Times New Roman"/>
                <w:b w:val="0"/>
                <w:bCs w:val="0"/>
                <w:sz w:val="16"/>
                <w:szCs w:val="16"/>
                <w:vertAlign w:val="baseline"/>
                <w:lang w:val="en-US" w:eastAsia="zh-CN"/>
              </w:rPr>
            </w:pPr>
            <w:r>
              <w:rPr>
                <w:rFonts w:hint="default" w:ascii="Times New Roman" w:hAnsi="Times New Roman" w:cs="Times New Roman"/>
                <w:sz w:val="16"/>
                <w:szCs w:val="16"/>
              </w:rPr>
              <w:t>26.0</w:t>
            </w:r>
          </w:p>
        </w:tc>
        <w:tc>
          <w:tcPr>
            <w:tcW w:w="869" w:type="dxa"/>
            <w:tcBorders>
              <w:tl2br w:val="nil"/>
              <w:tr2bl w:val="nil"/>
            </w:tcBorders>
            <w:vAlign w:val="center"/>
          </w:tcPr>
          <w:p w14:paraId="021C852C">
            <w:pPr>
              <w:snapToGrid w:val="0"/>
              <w:spacing w:beforeLines="0" w:afterLines="0"/>
              <w:jc w:val="center"/>
              <w:rPr>
                <w:rFonts w:hint="default" w:ascii="Times New Roman" w:hAnsi="Times New Roman" w:cs="Times New Roman"/>
                <w:b w:val="0"/>
                <w:bCs w:val="0"/>
                <w:sz w:val="16"/>
                <w:szCs w:val="16"/>
                <w:vertAlign w:val="baseline"/>
                <w:lang w:val="en-US" w:eastAsia="zh-CN"/>
              </w:rPr>
            </w:pPr>
            <w:r>
              <w:rPr>
                <w:rFonts w:hint="default" w:ascii="Times New Roman" w:hAnsi="Times New Roman" w:cs="Times New Roman"/>
                <w:sz w:val="16"/>
                <w:szCs w:val="16"/>
              </w:rPr>
              <w:t>100</w:t>
            </w:r>
          </w:p>
        </w:tc>
        <w:tc>
          <w:tcPr>
            <w:tcW w:w="746" w:type="dxa"/>
            <w:tcBorders>
              <w:tl2br w:val="nil"/>
              <w:tr2bl w:val="nil"/>
            </w:tcBorders>
            <w:vAlign w:val="center"/>
          </w:tcPr>
          <w:p w14:paraId="246CD806">
            <w:pPr>
              <w:snapToGrid w:val="0"/>
              <w:spacing w:beforeLines="0" w:afterLines="0"/>
              <w:jc w:val="center"/>
              <w:rPr>
                <w:rFonts w:hint="default" w:ascii="Times New Roman" w:hAnsi="Times New Roman" w:cs="Times New Roman"/>
                <w:b w:val="0"/>
                <w:bCs w:val="0"/>
                <w:sz w:val="16"/>
                <w:szCs w:val="16"/>
                <w:vertAlign w:val="baseline"/>
                <w:lang w:val="en-US" w:eastAsia="zh-CN"/>
              </w:rPr>
            </w:pPr>
            <w:r>
              <w:rPr>
                <w:rFonts w:hint="default" w:ascii="Times New Roman" w:hAnsi="Times New Roman" w:cs="Times New Roman"/>
                <w:sz w:val="16"/>
                <w:szCs w:val="16"/>
              </w:rPr>
              <w:t>0</w:t>
            </w:r>
          </w:p>
        </w:tc>
      </w:tr>
      <w:tr w14:paraId="2E76E38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74" w:type="dxa"/>
            <w:tcBorders>
              <w:tl2br w:val="nil"/>
              <w:tr2bl w:val="nil"/>
            </w:tcBorders>
            <w:vAlign w:val="center"/>
          </w:tcPr>
          <w:p w14:paraId="25107F75">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NICE</w:t>
            </w:r>
            <w:r>
              <w:rPr>
                <w:rFonts w:hint="eastAsia" w:ascii="Times New Roman" w:hAnsi="Times New Roman"/>
                <w:b w:val="0"/>
                <w:bCs w:val="0"/>
                <w:sz w:val="16"/>
                <w:szCs w:val="16"/>
                <w:vertAlign w:val="baseline"/>
                <w:lang w:val="en-US" w:eastAsia="zh-CN"/>
              </w:rPr>
              <w:fldChar w:fldCharType="begin"/>
            </w:r>
            <w:r>
              <w:rPr>
                <w:rFonts w:hint="eastAsia" w:ascii="Times New Roman" w:hAnsi="Times New Roman"/>
                <w:b w:val="0"/>
                <w:bCs w:val="0"/>
                <w:sz w:val="16"/>
                <w:szCs w:val="16"/>
                <w:vertAlign w:val="baseline"/>
                <w:lang w:val="en-US" w:eastAsia="zh-CN"/>
              </w:rPr>
              <w:instrText xml:space="preserve"> ADDIN ZOTERO_ITEM CSL_CITATION {"citationID":"wDxUCdbX","properties":{"formattedCitation":"\\super [40,43]\\nosupersub{}","plainCitation":"[40,43]","noteIndex":0},"citationItems":[{"id":1662,"uris":["http://zotero.org/users/15831584/items/BYUVPL6G"],"itemData":{"id":1662,"type":"article-journal","abstract":"Background\nCamrelizumab and chemotherapy demonstrated durable antitumor activity with a manageable safety profile as first-line treatment in patients with advanced esophageal squamous cell carcinoma (ESCC). This study aimed to evaluate the safety and efficacy of camrelizumab plus neoadjuvant chemotherapy, using pathologically complete response (pCR) as primary endpoint, in the treatment for locally advanced ESCC.\n\nMethods\nPatients with locally advanced but resectable thoracic ESCC, staged as T1b-4a, N2-3 (≥3 stations), and M0 or M1 lymph node metastasis (confined to the supraclavicular lymph nodes) were enrolled. Eligible patients received intravenous camrelizumab (200 mg, day 1) plus nab-paclitaxel (100 mg/m2, day 1, 8, 15) and carboplatin (area under curve of 5 mg/mL/min, day 1) of each 21-days cycle, for two cycles before surgery. The primary endpoint is pCR rate in the per-protocol population. Safety was assessed in the modified intention-to-treat population that was treated with at least one dose of camrelizumab.\n\nResults\nFrom November 20, 2019 to December 22, 2020, 60 patients were enrolled. 55 (91.7%) patients completed the full two-cycle treatment successfully. 51 patients underwent surgery and R0 resection was achieved in 50 (98.0%) patients. pCR (ypT0N0) was identified in 20 (39.2%) patients and 5 (9.8%) patients had complete response of the primary tumor but residual disease in lymph nodes alone (ypT0N+). 58 patients (96.7%) had any-grade treatment-related adverse events (TRAEs), with the most common being leukocytopenia (86.7%). 34 patients (56.7%) had adverse events of grade 3 or worse, and one patient (1.7%) occurred a grade 5 adverse event. There was no in-hospital and postoperative 30-day as well as 90-day mortality.\n\nConclusions\nThe robust antitumor activity of camrelizumab and chemotherapy was confirmed and demonstrated without unexpected safety signals. Our findings established camrelizumab and chemotherapy as a promising neoadjuvant treatment for locally advanced ESCC.\n\nTrial registration number\nChiCTR1900026240.","container-title":"Journal for Immunotherapy of Cancer","DOI":"10.1136/jitc-2021-004291","ISSN":"2051-1426","issue":"3","journalAbbreviation":"J. ImmunoTher. Cancer","language":"en","note":"TLDR: The findings established camrelizumab and chemotherapy as a promising neoadjuvant treatment for locally advanced ESCC with robust antitumor activity and demonstrated without unexpected safety signals.\nJCR分区: Q1\n中科院分区升级版: 医学1区\n影响因子: 10.6\n5年影响因子: 11.5\n南农高质量: A","page":"e004291","PMID":"35338088","PMCID":"PMC8961177","source":"PubMed Central","title":"Multicenter, single-arm, phase II trial of camrelizumab and chemotherapy as neoadjuvant treatment for locally advanced esophageal squamous cell carcinoma","volume":"10","author":[{"family":"Liu","given":"Jun"},{"family":"Yang","given":"Yang"},{"family":"Liu","given":"Zhichao"},{"family":"Fu","given":"Xiaolong"},{"family":"Cai","given":"Xiaoyue"},{"family":"Li","given":"Hongxuan"},{"family":"Zhu","given":"Li"},{"family":"Shen","given":"Yan"},{"family":"Zhang","given":"Hong"},{"family":"Sun","given":"Yifeng"},{"family":"Chen","given":"Hezhong"},{"family":"Yu","given":"Bentong"},{"family":"Zhang","given":"Renquan"},{"family":"Shao","given":"Jinchen"},{"family":"Zhang","given":"Ming"},{"family":"Li","given":"Zhigang"}],"issued":{"date-parts":[["2022",3,24]]}}},{"id":1424,"uris":["http://zotero.org/users/15831584/items/HGNUBDLR"],"itemData":{"id":1424,"type":"article-journal","abstract":"4060Background: We conducted a phase II trial of preoperative chemotherapy with albumin paclitaxel\nand carboplatin combined with camrelizumab (NICE regimen), in patients with locally\nadvanced esophageal squamous cell carcinoma (ESCC) with multiple lymph ...","container-title":"Journal of Clinical Oncology","issue":"15_suppl","journalAbbreviation":"J. Clin. Oncol.","language":"en","note":"5年影响因子: 38.2\nJCR分区: Q1\n中科院分区升级版: 医学1区\n南农高质量: A\n影响因子: 43.4","page":"4060","source":"ums.xjmu.edu.cn","title":"A phase II study of neoadjuvant immunotherapy combined with chemotherapy (camrelizumab plus albumin paclitaxel and carboplatin) in resectable thoracic esophageal squamous cell cancer (NICE study): interim results","title-short":"A phase II study of neoadjuvant immunotherapy combined with chemotherapy (camrelizumab plus albumin paclitaxel and carboplatin) in resectable thoracic esophageal squamous cell cancer (NICE study)","volume":"39","author":[{"literal":"Zhigang Li"},{"literal":"Jun Liu"},{"literal":"Ming Zhang"}],"issued":{"date-parts":[["2021"]]}}}],"schema":"https://github.com/citation-style-language/schema/raw/master/csl-citation.json"} </w:instrText>
            </w:r>
            <w:r>
              <w:rPr>
                <w:rFonts w:hint="eastAsia" w:ascii="Times New Roman" w:hAnsi="Times New Roman"/>
                <w:b w:val="0"/>
                <w:bCs w:val="0"/>
                <w:sz w:val="16"/>
                <w:szCs w:val="16"/>
                <w:vertAlign w:val="baseline"/>
                <w:lang w:val="en-US" w:eastAsia="zh-CN"/>
              </w:rPr>
              <w:fldChar w:fldCharType="separate"/>
            </w:r>
            <w:r>
              <w:rPr>
                <w:rFonts w:hint="default" w:ascii="Times New Roman" w:hAnsi="Times New Roman" w:cs="Times New Roman"/>
                <w:sz w:val="16"/>
                <w:szCs w:val="24"/>
                <w:vertAlign w:val="superscript"/>
              </w:rPr>
              <w:t>[40,43]</w:t>
            </w:r>
            <w:r>
              <w:rPr>
                <w:rFonts w:hint="eastAsia" w:ascii="Times New Roman" w:hAnsi="Times New Roman"/>
                <w:b w:val="0"/>
                <w:bCs w:val="0"/>
                <w:sz w:val="16"/>
                <w:szCs w:val="16"/>
                <w:vertAlign w:val="baseline"/>
                <w:lang w:val="en-US" w:eastAsia="zh-CN"/>
              </w:rPr>
              <w:fldChar w:fldCharType="end"/>
            </w:r>
          </w:p>
        </w:tc>
        <w:tc>
          <w:tcPr>
            <w:tcW w:w="472" w:type="dxa"/>
            <w:tcBorders>
              <w:tl2br w:val="nil"/>
              <w:tr2bl w:val="nil"/>
            </w:tcBorders>
            <w:vAlign w:val="center"/>
          </w:tcPr>
          <w:p w14:paraId="40A8BD7D">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II</w:t>
            </w:r>
          </w:p>
        </w:tc>
        <w:tc>
          <w:tcPr>
            <w:tcW w:w="721" w:type="dxa"/>
            <w:tcBorders>
              <w:tl2br w:val="nil"/>
              <w:tr2bl w:val="nil"/>
            </w:tcBorders>
            <w:vAlign w:val="center"/>
          </w:tcPr>
          <w:p w14:paraId="26DFCFE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Single-arm</w:t>
            </w:r>
          </w:p>
        </w:tc>
        <w:tc>
          <w:tcPr>
            <w:tcW w:w="687" w:type="dxa"/>
            <w:tcBorders>
              <w:tl2br w:val="nil"/>
              <w:tr2bl w:val="nil"/>
            </w:tcBorders>
            <w:vAlign w:val="center"/>
          </w:tcPr>
          <w:p w14:paraId="6145515C">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ESCC</w:t>
            </w:r>
          </w:p>
        </w:tc>
        <w:tc>
          <w:tcPr>
            <w:tcW w:w="1613" w:type="dxa"/>
            <w:tcBorders>
              <w:tl2br w:val="nil"/>
              <w:tr2bl w:val="nil"/>
            </w:tcBorders>
            <w:vAlign w:val="center"/>
          </w:tcPr>
          <w:p w14:paraId="7D18C57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T1b-4aN2-3M0</w:t>
            </w:r>
            <w:r>
              <w:rPr>
                <w:rFonts w:hint="eastAsia" w:ascii="Times New Roman" w:hAnsi="Times New Roman"/>
                <w:b w:val="0"/>
                <w:bCs w:val="0"/>
                <w:sz w:val="16"/>
                <w:szCs w:val="16"/>
                <w:vertAlign w:val="baseline"/>
                <w:lang w:val="en-US" w:eastAsia="zh-CN"/>
              </w:rPr>
              <w:t>-</w:t>
            </w:r>
            <w:r>
              <w:rPr>
                <w:rFonts w:hint="default" w:ascii="Times New Roman" w:hAnsi="Times New Roman"/>
                <w:b w:val="0"/>
                <w:bCs w:val="0"/>
                <w:sz w:val="16"/>
                <w:szCs w:val="16"/>
                <w:vertAlign w:val="baseline"/>
                <w:lang w:val="en-US" w:eastAsia="zh-CN"/>
              </w:rPr>
              <w:t>M1*</w:t>
            </w:r>
          </w:p>
        </w:tc>
        <w:tc>
          <w:tcPr>
            <w:tcW w:w="606" w:type="dxa"/>
            <w:tcBorders>
              <w:tl2br w:val="nil"/>
              <w:tr2bl w:val="nil"/>
            </w:tcBorders>
            <w:vAlign w:val="center"/>
          </w:tcPr>
          <w:p w14:paraId="16B1F151">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60</w:t>
            </w:r>
          </w:p>
        </w:tc>
        <w:tc>
          <w:tcPr>
            <w:tcW w:w="1277" w:type="dxa"/>
            <w:tcBorders>
              <w:tl2br w:val="nil"/>
              <w:tr2bl w:val="nil"/>
            </w:tcBorders>
            <w:vAlign w:val="center"/>
          </w:tcPr>
          <w:p w14:paraId="0B704CB9">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Camrelizumab</w:t>
            </w:r>
          </w:p>
        </w:tc>
        <w:tc>
          <w:tcPr>
            <w:tcW w:w="746" w:type="dxa"/>
            <w:tcBorders>
              <w:tl2br w:val="nil"/>
              <w:tr2bl w:val="nil"/>
            </w:tcBorders>
            <w:vAlign w:val="center"/>
          </w:tcPr>
          <w:p w14:paraId="22AE9935">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nab-TC</w:t>
            </w:r>
          </w:p>
        </w:tc>
        <w:tc>
          <w:tcPr>
            <w:tcW w:w="456" w:type="dxa"/>
            <w:tcBorders>
              <w:tl2br w:val="nil"/>
              <w:tr2bl w:val="nil"/>
            </w:tcBorders>
            <w:vAlign w:val="center"/>
          </w:tcPr>
          <w:p w14:paraId="5B268491">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2</w:t>
            </w:r>
          </w:p>
        </w:tc>
        <w:tc>
          <w:tcPr>
            <w:tcW w:w="791" w:type="dxa"/>
            <w:tcBorders>
              <w:tl2br w:val="nil"/>
              <w:tr2bl w:val="nil"/>
            </w:tcBorders>
            <w:vAlign w:val="center"/>
          </w:tcPr>
          <w:p w14:paraId="2192E204">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5.1</w:t>
            </w:r>
          </w:p>
        </w:tc>
        <w:tc>
          <w:tcPr>
            <w:tcW w:w="712" w:type="dxa"/>
            <w:tcBorders>
              <w:tl2br w:val="nil"/>
              <w:tr2bl w:val="nil"/>
            </w:tcBorders>
            <w:vAlign w:val="center"/>
          </w:tcPr>
          <w:p w14:paraId="4E915C56">
            <w:pPr>
              <w:snapToGrid w:val="0"/>
              <w:spacing w:beforeLines="0" w:afterLines="0"/>
              <w:jc w:val="center"/>
              <w:rPr>
                <w:rFonts w:hint="eastAsia" w:ascii="Times New Roman" w:hAnsi="Times New Roman" w:cs="Times New Roman" w:eastAsiaTheme="minorEastAsia"/>
                <w:b w:val="0"/>
                <w:bCs w:val="0"/>
                <w:sz w:val="16"/>
                <w:szCs w:val="16"/>
                <w:vertAlign w:val="baseline"/>
                <w:lang w:val="en-US" w:eastAsia="zh-CN"/>
              </w:rPr>
            </w:pPr>
            <w:r>
              <w:rPr>
                <w:rFonts w:hint="default" w:ascii="Times New Roman" w:hAnsi="Times New Roman" w:cs="Times New Roman"/>
                <w:sz w:val="16"/>
                <w:szCs w:val="16"/>
              </w:rPr>
              <w:t>85.0</w:t>
            </w:r>
          </w:p>
        </w:tc>
        <w:tc>
          <w:tcPr>
            <w:tcW w:w="608" w:type="dxa"/>
            <w:tcBorders>
              <w:tl2br w:val="nil"/>
              <w:tr2bl w:val="nil"/>
            </w:tcBorders>
            <w:vAlign w:val="center"/>
          </w:tcPr>
          <w:p w14:paraId="64682416">
            <w:pPr>
              <w:snapToGrid w:val="0"/>
              <w:spacing w:beforeLines="0" w:afterLines="0"/>
              <w:jc w:val="center"/>
              <w:rPr>
                <w:rFonts w:hint="default" w:ascii="Times New Roman" w:hAnsi="Times New Roman" w:cs="Times New Roman"/>
                <w:b w:val="0"/>
                <w:bCs w:val="0"/>
                <w:sz w:val="16"/>
                <w:szCs w:val="16"/>
                <w:vertAlign w:val="baseline"/>
                <w:lang w:val="en-US" w:eastAsia="zh-CN"/>
              </w:rPr>
            </w:pPr>
            <w:r>
              <w:rPr>
                <w:rFonts w:hint="default" w:ascii="Times New Roman" w:hAnsi="Times New Roman" w:cs="Times New Roman"/>
                <w:sz w:val="16"/>
                <w:szCs w:val="16"/>
              </w:rPr>
              <w:t>39.2</w:t>
            </w:r>
          </w:p>
        </w:tc>
        <w:tc>
          <w:tcPr>
            <w:tcW w:w="624" w:type="dxa"/>
            <w:tcBorders>
              <w:tl2br w:val="nil"/>
              <w:tr2bl w:val="nil"/>
            </w:tcBorders>
            <w:vAlign w:val="center"/>
          </w:tcPr>
          <w:p w14:paraId="1D3CAA2F">
            <w:pPr>
              <w:snapToGrid w:val="0"/>
              <w:spacing w:beforeLines="0" w:afterLines="0"/>
              <w:jc w:val="center"/>
              <w:rPr>
                <w:rFonts w:hint="default" w:ascii="Times New Roman" w:hAnsi="Times New Roman" w:cs="Times New Roman"/>
                <w:b w:val="0"/>
                <w:bCs w:val="0"/>
                <w:sz w:val="16"/>
                <w:szCs w:val="16"/>
                <w:vertAlign w:val="baseline"/>
                <w:lang w:val="en-US" w:eastAsia="zh-CN"/>
              </w:rPr>
            </w:pPr>
            <w:r>
              <w:rPr>
                <w:rFonts w:hint="default" w:ascii="Times New Roman" w:hAnsi="Times New Roman" w:cs="Times New Roman"/>
                <w:sz w:val="16"/>
                <w:szCs w:val="16"/>
              </w:rPr>
              <w:t>68.6</w:t>
            </w:r>
          </w:p>
        </w:tc>
        <w:tc>
          <w:tcPr>
            <w:tcW w:w="869" w:type="dxa"/>
            <w:tcBorders>
              <w:tl2br w:val="nil"/>
              <w:tr2bl w:val="nil"/>
            </w:tcBorders>
            <w:vAlign w:val="center"/>
          </w:tcPr>
          <w:p w14:paraId="7C31D455">
            <w:pPr>
              <w:snapToGrid w:val="0"/>
              <w:spacing w:beforeLines="0" w:afterLines="0"/>
              <w:jc w:val="center"/>
              <w:rPr>
                <w:rFonts w:hint="default" w:ascii="Times New Roman" w:hAnsi="Times New Roman" w:cs="Times New Roman"/>
                <w:b w:val="0"/>
                <w:bCs w:val="0"/>
                <w:sz w:val="16"/>
                <w:szCs w:val="16"/>
                <w:vertAlign w:val="baseline"/>
                <w:lang w:val="en-US" w:eastAsia="zh-CN"/>
              </w:rPr>
            </w:pPr>
            <w:r>
              <w:rPr>
                <w:rFonts w:hint="default" w:ascii="Times New Roman" w:hAnsi="Times New Roman" w:cs="Times New Roman"/>
                <w:sz w:val="16"/>
                <w:szCs w:val="16"/>
              </w:rPr>
              <w:t>98.0</w:t>
            </w:r>
          </w:p>
        </w:tc>
        <w:tc>
          <w:tcPr>
            <w:tcW w:w="746" w:type="dxa"/>
            <w:tcBorders>
              <w:tl2br w:val="nil"/>
              <w:tr2bl w:val="nil"/>
            </w:tcBorders>
            <w:vAlign w:val="center"/>
          </w:tcPr>
          <w:p w14:paraId="076ACEFF">
            <w:pPr>
              <w:snapToGrid w:val="0"/>
              <w:spacing w:beforeLines="0" w:afterLines="0"/>
              <w:jc w:val="center"/>
              <w:rPr>
                <w:rFonts w:hint="default" w:ascii="Times New Roman" w:hAnsi="Times New Roman" w:cs="Times New Roman"/>
                <w:b w:val="0"/>
                <w:bCs w:val="0"/>
                <w:sz w:val="16"/>
                <w:szCs w:val="16"/>
                <w:vertAlign w:val="baseline"/>
                <w:lang w:val="en-US" w:eastAsia="zh-CN"/>
              </w:rPr>
            </w:pPr>
            <w:r>
              <w:rPr>
                <w:rFonts w:hint="default" w:ascii="Times New Roman" w:hAnsi="Times New Roman" w:cs="Times New Roman"/>
                <w:sz w:val="16"/>
                <w:szCs w:val="16"/>
              </w:rPr>
              <w:t>56.7</w:t>
            </w:r>
          </w:p>
        </w:tc>
      </w:tr>
      <w:tr w14:paraId="01A8168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7" w:hRule="atLeast"/>
          <w:jc w:val="center"/>
        </w:trPr>
        <w:tc>
          <w:tcPr>
            <w:tcW w:w="1174" w:type="dxa"/>
            <w:tcBorders>
              <w:tl2br w:val="nil"/>
              <w:tr2bl w:val="nil"/>
            </w:tcBorders>
            <w:vAlign w:val="center"/>
          </w:tcPr>
          <w:p w14:paraId="4E728DC5">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TD-NICE</w:t>
            </w:r>
            <w:r>
              <w:rPr>
                <w:rFonts w:hint="eastAsia" w:ascii="Times New Roman" w:hAnsi="Times New Roman"/>
                <w:b w:val="0"/>
                <w:bCs w:val="0"/>
                <w:sz w:val="16"/>
                <w:szCs w:val="16"/>
                <w:vertAlign w:val="baseline"/>
                <w:lang w:val="en-US" w:eastAsia="zh-CN"/>
              </w:rPr>
              <w:fldChar w:fldCharType="begin"/>
            </w:r>
            <w:r>
              <w:rPr>
                <w:rFonts w:hint="eastAsia" w:ascii="Times New Roman" w:hAnsi="Times New Roman"/>
                <w:b w:val="0"/>
                <w:bCs w:val="0"/>
                <w:sz w:val="16"/>
                <w:szCs w:val="16"/>
                <w:vertAlign w:val="baseline"/>
                <w:lang w:val="en-US" w:eastAsia="zh-CN"/>
              </w:rPr>
              <w:instrText xml:space="preserve"> ADDIN ZOTERO_ITEM CSL_CITATION {"citationID":"ZGNEOQun","properties":{"formattedCitation":"\\super [7]\\nosupersub{}","plainCitation":"[7]","noteIndex":0},"citationItems":[{"id":1430,"uris":["http://zotero.org/users/15831584/items/F7LUHAQT"],"itemData":{"id":1430,"type":"article-journal","abstract":"BACKGROUND: Clinical benefit of neoadjuvant immunotherapy in resectable esophageal squamous cell carcinoma (ESCC). remains unclear. This study evaluated the efficacy and safety of the programmed death 1 (PD-1) inhibitor tislelizumab combined with chemotherapy as neoadjuvant therapy in patients with resectable ESCC.\nMETHODS: Treatment-naïve patients were enrolled and eligible patients received 3 cycles of neoadjuvant therapy with tislelizumab, carboplatin, and nab-paclitaxel. The primary endpoint was surgery patients major pathological response (MPR). Subgroup analysis was stratified by tumor downstaging, circumferential resection margin (CRM), PD-ligand 1 (PD-L1) expression, and tumor mutation burden (TMB). Safety was assessed by adverse events (AEs) and postoperative complications.\nRESULTS: Between September 2020 and March 2021, 45 patients were enrolled. Thirty-six (80.0%) of 45 patients underwent surgery, and 29 (80.5%) underwent successful R0 resection. MPR and pathological complete response (pCR) for surgery patients were 72.0% and 50.0%, respectively. Intention to treatment (ITT) patients MPR and PCR were 57.5% and 40%. Downgrading occurred in 75% of 36 patients. MPR and pCR were identified to be associated with tumor downstaging and CRM but not PD-L1 expression or TMB. TPS levels in MPR and pCR group were significantly higher than that in Non-MPR and Non-pCR group, respectively. Treatment-related AEs of grade 3-4 and immune-related AEs occurred in 42.2% and 22.2% of 45 patients, respectively, and postoperative complications occurred in 77.8% of 36 patients. No treatment-related surgical delay or death occurred. No associations between gene mutation and pathological efficacy were observed.\nCONCLUSIONS: Tislelizumab plus chemotherapy as neoadjuvant therapy demonstrates promising antitumor activity for resectable ESCC with high rates of MPR, pCR, and R0 resection, as well as acceptable tolerability.","container-title":"International Journal of Surgery","DOI":"10.1016/j.ijsu.2022.106680","ISSN":"17439191","journalAbbreviation":"Int. J. Surg.","language":"en","note":"5年影响因子: 10.4\nJCR分区: Q1\nTLDR: Tislelizumab plus chemotherapy as neoadjuvant therapy demonstrates promising antitumor activity for resectable ESCC with high rates of MPR, pCR, and R0 resection, as well as acceptable tolerability.\n中科院分区升级版: 医学2区\n影响因子: 10.3\n南农高质量: A","page":"106680","PMID":"35595021","source":"PubMed","title":"Tislelizumab combined with chemotherapy as neoadjuvant therapy for surgically resectable esophageal cancer: a prospective, single-arm, phase II study (TD-NICE)","title-short":"Tislelizumab combined with chemotherapy as neoadjuvant therapy for surgically resectable esophageal cancer","volume":"103","author":[{"family":"Yan","given":"Xiaolong"},{"family":"Duan","given":"Hongtao"},{"family":"Ni","given":"Yunfeng"},{"family":"Zhou","given":"Yongan"},{"family":"Wang","given":"Xiaoping"},{"family":"Qi","given":"Haini"},{"family":"Gong","given":"Li"},{"family":"Liu","given":"Honggang"},{"family":"Tian","given":"Feng"},{"family":"Lu","given":"Qiang"},{"family":"Sun","given":"Jianyong"},{"family":"Yang","given":"Ende"},{"family":"Zhong","given":"Daixing"},{"family":"Wang","given":"Tao"},{"family":"Huang","given":"Lijun"},{"family":"Wang","given":"Jian"},{"literal":"Chaoyang Wang"},{"family":"Wang","given":"Yuanyong"},{"family":"Wan","given":"Zhiyi"},{"family":"Lei","given":"Jie"},{"family":"Zhao","given":"Jinbo"},{"family":"Jiang","given":"Tao"}],"issued":{"date-parts":[["2022",7]]}}}],"schema":"https://github.com/citation-style-language/schema/raw/master/csl-citation.json"} </w:instrText>
            </w:r>
            <w:r>
              <w:rPr>
                <w:rFonts w:hint="eastAsia" w:ascii="Times New Roman" w:hAnsi="Times New Roman"/>
                <w:b w:val="0"/>
                <w:bCs w:val="0"/>
                <w:sz w:val="16"/>
                <w:szCs w:val="16"/>
                <w:vertAlign w:val="baseline"/>
                <w:lang w:val="en-US" w:eastAsia="zh-CN"/>
              </w:rPr>
              <w:fldChar w:fldCharType="separate"/>
            </w:r>
            <w:r>
              <w:rPr>
                <w:rFonts w:hint="default" w:ascii="Times New Roman" w:hAnsi="Times New Roman" w:cs="Times New Roman"/>
                <w:sz w:val="16"/>
                <w:szCs w:val="24"/>
                <w:vertAlign w:val="superscript"/>
              </w:rPr>
              <w:t>[7]</w:t>
            </w:r>
            <w:r>
              <w:rPr>
                <w:rFonts w:hint="eastAsia" w:ascii="Times New Roman" w:hAnsi="Times New Roman"/>
                <w:b w:val="0"/>
                <w:bCs w:val="0"/>
                <w:sz w:val="16"/>
                <w:szCs w:val="16"/>
                <w:vertAlign w:val="baseline"/>
                <w:lang w:val="en-US" w:eastAsia="zh-CN"/>
              </w:rPr>
              <w:fldChar w:fldCharType="end"/>
            </w:r>
          </w:p>
        </w:tc>
        <w:tc>
          <w:tcPr>
            <w:tcW w:w="472" w:type="dxa"/>
            <w:tcBorders>
              <w:tl2br w:val="nil"/>
              <w:tr2bl w:val="nil"/>
            </w:tcBorders>
            <w:vAlign w:val="center"/>
          </w:tcPr>
          <w:p w14:paraId="596357B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II</w:t>
            </w:r>
          </w:p>
        </w:tc>
        <w:tc>
          <w:tcPr>
            <w:tcW w:w="721" w:type="dxa"/>
            <w:tcBorders>
              <w:tl2br w:val="nil"/>
              <w:tr2bl w:val="nil"/>
            </w:tcBorders>
            <w:vAlign w:val="center"/>
          </w:tcPr>
          <w:p w14:paraId="7F66D56E">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Single-arm</w:t>
            </w:r>
          </w:p>
        </w:tc>
        <w:tc>
          <w:tcPr>
            <w:tcW w:w="687" w:type="dxa"/>
            <w:tcBorders>
              <w:tl2br w:val="nil"/>
              <w:tr2bl w:val="nil"/>
            </w:tcBorders>
            <w:vAlign w:val="center"/>
          </w:tcPr>
          <w:p w14:paraId="43D5D6C6">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ESCC</w:t>
            </w:r>
          </w:p>
        </w:tc>
        <w:tc>
          <w:tcPr>
            <w:tcW w:w="1613" w:type="dxa"/>
            <w:tcBorders>
              <w:tl2br w:val="nil"/>
              <w:tr2bl w:val="nil"/>
            </w:tcBorders>
            <w:vAlign w:val="center"/>
          </w:tcPr>
          <w:p w14:paraId="093360D0">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T2-4aNxM</w:t>
            </w:r>
            <w:r>
              <w:rPr>
                <w:rFonts w:hint="eastAsia" w:ascii="Times New Roman" w:hAnsi="Times New Roman"/>
                <w:b w:val="0"/>
                <w:bCs w:val="0"/>
                <w:sz w:val="16"/>
                <w:szCs w:val="16"/>
                <w:vertAlign w:val="baseline"/>
                <w:lang w:val="en-US" w:eastAsia="zh-CN"/>
              </w:rPr>
              <w:t>0</w:t>
            </w:r>
          </w:p>
        </w:tc>
        <w:tc>
          <w:tcPr>
            <w:tcW w:w="606" w:type="dxa"/>
            <w:tcBorders>
              <w:tl2br w:val="nil"/>
              <w:tr2bl w:val="nil"/>
            </w:tcBorders>
            <w:vAlign w:val="center"/>
          </w:tcPr>
          <w:p w14:paraId="021F8AA8">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45</w:t>
            </w:r>
          </w:p>
        </w:tc>
        <w:tc>
          <w:tcPr>
            <w:tcW w:w="1277" w:type="dxa"/>
            <w:tcBorders>
              <w:tl2br w:val="nil"/>
              <w:tr2bl w:val="nil"/>
            </w:tcBorders>
            <w:vAlign w:val="center"/>
          </w:tcPr>
          <w:p w14:paraId="67F509F1">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Tislelizumab</w:t>
            </w:r>
          </w:p>
        </w:tc>
        <w:tc>
          <w:tcPr>
            <w:tcW w:w="746" w:type="dxa"/>
            <w:tcBorders>
              <w:tl2br w:val="nil"/>
              <w:tr2bl w:val="nil"/>
            </w:tcBorders>
            <w:vAlign w:val="center"/>
          </w:tcPr>
          <w:p w14:paraId="1B4AA30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nab-TC</w:t>
            </w:r>
          </w:p>
        </w:tc>
        <w:tc>
          <w:tcPr>
            <w:tcW w:w="456" w:type="dxa"/>
            <w:tcBorders>
              <w:tl2br w:val="nil"/>
              <w:tr2bl w:val="nil"/>
            </w:tcBorders>
            <w:vAlign w:val="center"/>
          </w:tcPr>
          <w:p w14:paraId="193EBA96">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3</w:t>
            </w:r>
          </w:p>
        </w:tc>
        <w:tc>
          <w:tcPr>
            <w:tcW w:w="791" w:type="dxa"/>
            <w:tcBorders>
              <w:tl2br w:val="nil"/>
              <w:tr2bl w:val="nil"/>
            </w:tcBorders>
            <w:vAlign w:val="center"/>
          </w:tcPr>
          <w:p w14:paraId="342C607A">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4.3</w:t>
            </w:r>
          </w:p>
        </w:tc>
        <w:tc>
          <w:tcPr>
            <w:tcW w:w="712" w:type="dxa"/>
            <w:tcBorders>
              <w:tl2br w:val="nil"/>
              <w:tr2bl w:val="nil"/>
            </w:tcBorders>
            <w:vAlign w:val="center"/>
          </w:tcPr>
          <w:p w14:paraId="695D3366">
            <w:pPr>
              <w:snapToGrid w:val="0"/>
              <w:spacing w:beforeLines="0" w:afterLines="0"/>
              <w:jc w:val="center"/>
              <w:rPr>
                <w:rFonts w:hint="default" w:ascii="Times New Roman" w:hAnsi="Times New Roman" w:cs="Times New Roman"/>
                <w:b w:val="0"/>
                <w:bCs w:val="0"/>
                <w:sz w:val="16"/>
                <w:szCs w:val="16"/>
                <w:vertAlign w:val="baseline"/>
                <w:lang w:val="en-US" w:eastAsia="zh-CN"/>
              </w:rPr>
            </w:pPr>
            <w:r>
              <w:rPr>
                <w:rFonts w:hint="default" w:ascii="Times New Roman" w:hAnsi="Times New Roman" w:cs="Times New Roman"/>
                <w:sz w:val="16"/>
                <w:szCs w:val="16"/>
              </w:rPr>
              <w:t>80.0</w:t>
            </w:r>
          </w:p>
        </w:tc>
        <w:tc>
          <w:tcPr>
            <w:tcW w:w="608" w:type="dxa"/>
            <w:tcBorders>
              <w:tl2br w:val="nil"/>
              <w:tr2bl w:val="nil"/>
            </w:tcBorders>
            <w:vAlign w:val="center"/>
          </w:tcPr>
          <w:p w14:paraId="23D61650">
            <w:pPr>
              <w:snapToGrid w:val="0"/>
              <w:spacing w:beforeLines="0" w:afterLines="0"/>
              <w:jc w:val="center"/>
              <w:rPr>
                <w:rFonts w:hint="default" w:ascii="Times New Roman" w:hAnsi="Times New Roman" w:cs="Times New Roman"/>
                <w:b w:val="0"/>
                <w:bCs w:val="0"/>
                <w:sz w:val="16"/>
                <w:szCs w:val="16"/>
                <w:vertAlign w:val="baseline"/>
                <w:lang w:val="en-US" w:eastAsia="zh-CN"/>
              </w:rPr>
            </w:pPr>
            <w:r>
              <w:rPr>
                <w:rFonts w:hint="default" w:ascii="Times New Roman" w:hAnsi="Times New Roman" w:cs="Times New Roman"/>
                <w:sz w:val="16"/>
                <w:szCs w:val="16"/>
              </w:rPr>
              <w:t>50.0</w:t>
            </w:r>
          </w:p>
        </w:tc>
        <w:tc>
          <w:tcPr>
            <w:tcW w:w="624" w:type="dxa"/>
            <w:tcBorders>
              <w:tl2br w:val="nil"/>
              <w:tr2bl w:val="nil"/>
            </w:tcBorders>
            <w:vAlign w:val="center"/>
          </w:tcPr>
          <w:p w14:paraId="041397F3">
            <w:pPr>
              <w:snapToGrid w:val="0"/>
              <w:spacing w:beforeLines="0" w:afterLines="0"/>
              <w:jc w:val="center"/>
              <w:rPr>
                <w:rFonts w:hint="default" w:ascii="Times New Roman" w:hAnsi="Times New Roman" w:cs="Times New Roman"/>
                <w:b w:val="0"/>
                <w:bCs w:val="0"/>
                <w:sz w:val="16"/>
                <w:szCs w:val="16"/>
                <w:vertAlign w:val="baseline"/>
                <w:lang w:val="en-US" w:eastAsia="zh-CN"/>
              </w:rPr>
            </w:pPr>
            <w:r>
              <w:rPr>
                <w:rFonts w:hint="default" w:ascii="Times New Roman" w:hAnsi="Times New Roman" w:cs="Times New Roman"/>
                <w:sz w:val="16"/>
                <w:szCs w:val="16"/>
              </w:rPr>
              <w:t>72.0</w:t>
            </w:r>
          </w:p>
        </w:tc>
        <w:tc>
          <w:tcPr>
            <w:tcW w:w="869" w:type="dxa"/>
            <w:tcBorders>
              <w:tl2br w:val="nil"/>
              <w:tr2bl w:val="nil"/>
            </w:tcBorders>
            <w:vAlign w:val="center"/>
          </w:tcPr>
          <w:p w14:paraId="691F2D99">
            <w:pPr>
              <w:snapToGrid w:val="0"/>
              <w:spacing w:beforeLines="0" w:afterLines="0"/>
              <w:jc w:val="center"/>
              <w:rPr>
                <w:rFonts w:hint="default" w:ascii="Times New Roman" w:hAnsi="Times New Roman" w:cs="Times New Roman"/>
                <w:b w:val="0"/>
                <w:bCs w:val="0"/>
                <w:sz w:val="16"/>
                <w:szCs w:val="16"/>
                <w:vertAlign w:val="baseline"/>
                <w:lang w:val="en-US" w:eastAsia="zh-CN"/>
              </w:rPr>
            </w:pPr>
            <w:r>
              <w:rPr>
                <w:rFonts w:hint="default" w:ascii="Times New Roman" w:hAnsi="Times New Roman" w:cs="Times New Roman"/>
                <w:sz w:val="16"/>
                <w:szCs w:val="16"/>
              </w:rPr>
              <w:t>80.5</w:t>
            </w:r>
          </w:p>
        </w:tc>
        <w:tc>
          <w:tcPr>
            <w:tcW w:w="746" w:type="dxa"/>
            <w:tcBorders>
              <w:tl2br w:val="nil"/>
              <w:tr2bl w:val="nil"/>
            </w:tcBorders>
            <w:vAlign w:val="center"/>
          </w:tcPr>
          <w:p w14:paraId="441B1B1B">
            <w:pPr>
              <w:snapToGrid w:val="0"/>
              <w:spacing w:beforeLines="0" w:afterLines="0"/>
              <w:jc w:val="center"/>
              <w:rPr>
                <w:rFonts w:hint="default" w:ascii="Times New Roman" w:hAnsi="Times New Roman" w:cs="Times New Roman"/>
                <w:b w:val="0"/>
                <w:bCs w:val="0"/>
                <w:sz w:val="16"/>
                <w:szCs w:val="16"/>
                <w:vertAlign w:val="baseline"/>
                <w:lang w:val="en-US" w:eastAsia="zh-CN"/>
              </w:rPr>
            </w:pPr>
            <w:r>
              <w:rPr>
                <w:rFonts w:hint="default" w:ascii="Times New Roman" w:hAnsi="Times New Roman" w:cs="Times New Roman"/>
                <w:sz w:val="16"/>
                <w:szCs w:val="16"/>
              </w:rPr>
              <w:t>42.2</w:t>
            </w:r>
          </w:p>
        </w:tc>
      </w:tr>
      <w:tr w14:paraId="4028E6B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74" w:type="dxa"/>
            <w:tcBorders>
              <w:tl2br w:val="nil"/>
              <w:tr2bl w:val="nil"/>
            </w:tcBorders>
            <w:vAlign w:val="center"/>
          </w:tcPr>
          <w:p w14:paraId="6A5B7B6E">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PEN-ICE</w:t>
            </w:r>
            <w:r>
              <w:rPr>
                <w:rFonts w:hint="default" w:ascii="Times New Roman" w:hAnsi="Times New Roman"/>
                <w:b w:val="0"/>
                <w:bCs w:val="0"/>
                <w:sz w:val="16"/>
                <w:szCs w:val="16"/>
                <w:vertAlign w:val="baseline"/>
                <w:lang w:val="en-US" w:eastAsia="zh-CN"/>
              </w:rPr>
              <w:fldChar w:fldCharType="begin"/>
            </w:r>
            <w:r>
              <w:rPr>
                <w:rFonts w:hint="eastAsia" w:ascii="Times New Roman" w:hAnsi="Times New Roman"/>
                <w:b w:val="0"/>
                <w:bCs w:val="0"/>
                <w:sz w:val="16"/>
                <w:szCs w:val="16"/>
                <w:vertAlign w:val="baseline"/>
                <w:lang w:val="en-US" w:eastAsia="zh-CN"/>
              </w:rPr>
              <w:instrText xml:space="preserve"> ADDIN ZOTERO_ITEM CSL_CITATION {"citationID":"S2X95G6m","properties":{"formattedCitation":"\\super [8]\\nosupersub{}","plainCitation":"[8]","noteIndex":0},"citationItems":[{"id":1479,"uris":["http://zotero.org/users/15831584/items/V6GKLLM2"],"itemData":{"id":1479,"type":"article-journal","abstract":"Background\n              In this single-arm study, the efficacy and safety of neoadjuvant pembrolizumab plus chemotherapy were evaluated in patients with resectable esophageal squamous cell carcinoma (ESCC).\n            \n            \n              Methods\n              This study included patients with ESCC of clinical stages II–IVA who underwent surgery within 4 to 6 weeks after completing treatment with pembrolizumab (200 mg) combined with a conventional chemotherapy regimen (3 cycles). The safety and efficacy of this combination treatment were evaluated as primary endpoints of the study.\n            \n            \n              Results\n              \n                From April 2019 to August 2020, a total of 18 patients (including 14 men) were enrolled, of whom 13 patients progressed to surgery. Postoperative pathology revealed a major pathological response (MPR) in 9 cases (9/13, 69.2%) and a pathological complete response (pCR) in 6 cases (6/13, 46.2%). Five patients (5/18, 27.8%) experienced serious treatment-related adverse events (AEs) of grades 3–4. At the time of data cutoff (Mar 25, 2022), the shortest duration of follow-up was 17.8 months. Programmed death-ligand 1 (PD-L1) expression in pretreatment specimens was not significantly associated with the percentage of residual viable tumor (RVT) (r=−0.55, P=0.08). Changes in counts of CD68\n                +\n                macrophage between pre- and post-treatment specimens were weakly correlated with RVT (r=0.71; P=0.07), while a positive correlation was observed between postoperative forkhead box P3-positive (Foxp3)\n                +\n                T cells/CD4\n                +\n                Tcells ratios and RVT (r=0.84, P\n                =\n                0.03).\n              \n            \n            \n              Conclusions\n              The combination of neoadjuvant immunotherapy and chemotherapy for ESCC is associated with a high pathological response and immunologic effects in the tumor microenvironment (TME). It has acceptable toxicity and great efficacy, suggesting a strong rationale for its further evaluation in randomized clinical trials (RCTs).\n            \n            \n              Trial Registration\n              ChiCTR2100048917.","container-title":"Frontiers in Immunology","DOI":"10.3389/fimmu.2022.849984","ISSN":"1664-3224","journalAbbreviation":"Front. Immunol.","language":"en","note":"5年影响因子: 6.8\nJCR分区: Q1\nTLDR: The combination of neoadjuvant immunotherapy and chemotherapy for ESCC is associated with a high pathological response and immunologic effects in the tumor microenvironment (TME), suggesting a strong rationale for its further evaluation in randomized clinical trials (RCTs).\n中科院分区升级版: 医学2区\n南农高质量: A\n影响因子: 5.9","page":"849984","PMID":"35720388","PMCID":"PMC9202755","source":"PubMed Central","title":"Neoadjuvant pembrolizumab and chemotherapy in resectable esophageal cancer: an open-label, single-arm study (PEN-ICE)","title-short":"Neoadjuvant pembrolizumab and chemotherapy in resectable esophageal cancer","volume":"13","author":[{"family":"Duan","given":"Hongtao"},{"family":"Shao","given":"Changjian"},{"family":"Pan","given":"Minghong"},{"family":"Liu","given":"Honggang"},{"family":"Dong","given":"Xiaoping"},{"family":"Zhang","given":"Yong"},{"family":"Tong","given":"Liping"},{"family":"Feng","given":"Yingtong"},{"family":"Wang","given":"Yuanyuan"},{"family":"Wang","given":"Lu"},{"family":"Newman","given":"Neil B."},{"family":"Sarkaria","given":"Inderpal S."},{"family":"Reynolds","given":"John V."},{"family":"De Cobelli","given":"Francesco"},{"family":"Ma","given":"Zhiqiang"},{"family":"Jiang","given":"Tao"},{"family":"Yan","given":"Xiaolong"}],"issued":{"date-parts":[["2022",6,2]]}}}],"schema":"https://github.com/citation-style-language/schema/raw/master/csl-citation.json"} </w:instrText>
            </w:r>
            <w:r>
              <w:rPr>
                <w:rFonts w:hint="default" w:ascii="Times New Roman" w:hAnsi="Times New Roman"/>
                <w:b w:val="0"/>
                <w:bCs w:val="0"/>
                <w:sz w:val="16"/>
                <w:szCs w:val="16"/>
                <w:vertAlign w:val="baseline"/>
                <w:lang w:val="en-US" w:eastAsia="zh-CN"/>
              </w:rPr>
              <w:fldChar w:fldCharType="separate"/>
            </w:r>
            <w:r>
              <w:rPr>
                <w:rFonts w:hint="default" w:ascii="Times New Roman" w:hAnsi="Times New Roman" w:cs="Times New Roman"/>
                <w:sz w:val="16"/>
                <w:szCs w:val="24"/>
                <w:vertAlign w:val="superscript"/>
              </w:rPr>
              <w:t>[8]</w:t>
            </w:r>
            <w:r>
              <w:rPr>
                <w:rFonts w:hint="default" w:ascii="Times New Roman" w:hAnsi="Times New Roman"/>
                <w:b w:val="0"/>
                <w:bCs w:val="0"/>
                <w:sz w:val="16"/>
                <w:szCs w:val="16"/>
                <w:vertAlign w:val="baseline"/>
                <w:lang w:val="en-US" w:eastAsia="zh-CN"/>
              </w:rPr>
              <w:fldChar w:fldCharType="end"/>
            </w:r>
          </w:p>
        </w:tc>
        <w:tc>
          <w:tcPr>
            <w:tcW w:w="472" w:type="dxa"/>
            <w:tcBorders>
              <w:tl2br w:val="nil"/>
              <w:tr2bl w:val="nil"/>
            </w:tcBorders>
            <w:vAlign w:val="center"/>
          </w:tcPr>
          <w:p w14:paraId="51760B28">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II</w:t>
            </w:r>
          </w:p>
        </w:tc>
        <w:tc>
          <w:tcPr>
            <w:tcW w:w="721" w:type="dxa"/>
            <w:tcBorders>
              <w:tl2br w:val="nil"/>
              <w:tr2bl w:val="nil"/>
            </w:tcBorders>
            <w:vAlign w:val="center"/>
          </w:tcPr>
          <w:p w14:paraId="64ACD940">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Single-arm</w:t>
            </w:r>
          </w:p>
        </w:tc>
        <w:tc>
          <w:tcPr>
            <w:tcW w:w="687" w:type="dxa"/>
            <w:tcBorders>
              <w:tl2br w:val="nil"/>
              <w:tr2bl w:val="nil"/>
            </w:tcBorders>
            <w:vAlign w:val="center"/>
          </w:tcPr>
          <w:p w14:paraId="6CAA6E13">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ESCC</w:t>
            </w:r>
          </w:p>
        </w:tc>
        <w:tc>
          <w:tcPr>
            <w:tcW w:w="1613" w:type="dxa"/>
            <w:tcBorders>
              <w:tl2br w:val="nil"/>
              <w:tr2bl w:val="nil"/>
            </w:tcBorders>
            <w:vAlign w:val="center"/>
          </w:tcPr>
          <w:p w14:paraId="3B5A5C2C">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T2-4aNxM0</w:t>
            </w:r>
          </w:p>
        </w:tc>
        <w:tc>
          <w:tcPr>
            <w:tcW w:w="606" w:type="dxa"/>
            <w:tcBorders>
              <w:tl2br w:val="nil"/>
              <w:tr2bl w:val="nil"/>
            </w:tcBorders>
            <w:vAlign w:val="center"/>
          </w:tcPr>
          <w:p w14:paraId="7A2ADD16">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18</w:t>
            </w:r>
          </w:p>
        </w:tc>
        <w:tc>
          <w:tcPr>
            <w:tcW w:w="1277" w:type="dxa"/>
            <w:tcBorders>
              <w:tl2br w:val="nil"/>
              <w:tr2bl w:val="nil"/>
            </w:tcBorders>
            <w:vAlign w:val="center"/>
          </w:tcPr>
          <w:p w14:paraId="77B54994">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Pembrolizumab</w:t>
            </w:r>
          </w:p>
        </w:tc>
        <w:tc>
          <w:tcPr>
            <w:tcW w:w="746" w:type="dxa"/>
            <w:tcBorders>
              <w:tl2br w:val="nil"/>
              <w:tr2bl w:val="nil"/>
            </w:tcBorders>
            <w:vAlign w:val="center"/>
          </w:tcPr>
          <w:p w14:paraId="44971A83">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ND/nab-TN</w:t>
            </w:r>
          </w:p>
        </w:tc>
        <w:tc>
          <w:tcPr>
            <w:tcW w:w="456" w:type="dxa"/>
            <w:tcBorders>
              <w:tl2br w:val="nil"/>
              <w:tr2bl w:val="nil"/>
            </w:tcBorders>
            <w:vAlign w:val="center"/>
          </w:tcPr>
          <w:p w14:paraId="0D2FAEC0">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3</w:t>
            </w:r>
          </w:p>
        </w:tc>
        <w:tc>
          <w:tcPr>
            <w:tcW w:w="791" w:type="dxa"/>
            <w:tcBorders>
              <w:tl2br w:val="nil"/>
              <w:tr2bl w:val="nil"/>
            </w:tcBorders>
            <w:vAlign w:val="center"/>
          </w:tcPr>
          <w:p w14:paraId="61BC3839">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NR</w:t>
            </w:r>
          </w:p>
        </w:tc>
        <w:tc>
          <w:tcPr>
            <w:tcW w:w="712" w:type="dxa"/>
            <w:tcBorders>
              <w:tl2br w:val="nil"/>
              <w:tr2bl w:val="nil"/>
            </w:tcBorders>
            <w:vAlign w:val="center"/>
          </w:tcPr>
          <w:p w14:paraId="456D1F23">
            <w:pPr>
              <w:snapToGrid w:val="0"/>
              <w:spacing w:beforeLines="0" w:afterLines="0"/>
              <w:jc w:val="center"/>
              <w:rPr>
                <w:rFonts w:hint="default" w:ascii="Times New Roman" w:hAnsi="Times New Roman" w:cs="Times New Roman"/>
                <w:b w:val="0"/>
                <w:bCs w:val="0"/>
                <w:sz w:val="16"/>
                <w:szCs w:val="16"/>
                <w:vertAlign w:val="baseline"/>
                <w:lang w:val="en-US" w:eastAsia="zh-CN"/>
              </w:rPr>
            </w:pPr>
            <w:r>
              <w:rPr>
                <w:rFonts w:hint="default" w:ascii="Times New Roman" w:hAnsi="Times New Roman" w:cs="Times New Roman"/>
                <w:sz w:val="16"/>
                <w:szCs w:val="16"/>
              </w:rPr>
              <w:t>72.2</w:t>
            </w:r>
          </w:p>
        </w:tc>
        <w:tc>
          <w:tcPr>
            <w:tcW w:w="608" w:type="dxa"/>
            <w:tcBorders>
              <w:tl2br w:val="nil"/>
              <w:tr2bl w:val="nil"/>
            </w:tcBorders>
            <w:vAlign w:val="center"/>
          </w:tcPr>
          <w:p w14:paraId="0DE5A371">
            <w:pPr>
              <w:snapToGrid w:val="0"/>
              <w:spacing w:beforeLines="0" w:afterLines="0"/>
              <w:jc w:val="center"/>
              <w:rPr>
                <w:rFonts w:hint="default" w:ascii="Times New Roman" w:hAnsi="Times New Roman" w:cs="Times New Roman"/>
                <w:b w:val="0"/>
                <w:bCs w:val="0"/>
                <w:sz w:val="16"/>
                <w:szCs w:val="16"/>
                <w:vertAlign w:val="baseline"/>
                <w:lang w:val="en-US" w:eastAsia="zh-CN"/>
              </w:rPr>
            </w:pPr>
            <w:r>
              <w:rPr>
                <w:rFonts w:hint="default" w:ascii="Times New Roman" w:hAnsi="Times New Roman" w:cs="Times New Roman"/>
                <w:sz w:val="16"/>
                <w:szCs w:val="16"/>
              </w:rPr>
              <w:t>46.2</w:t>
            </w:r>
          </w:p>
        </w:tc>
        <w:tc>
          <w:tcPr>
            <w:tcW w:w="624" w:type="dxa"/>
            <w:tcBorders>
              <w:tl2br w:val="nil"/>
              <w:tr2bl w:val="nil"/>
            </w:tcBorders>
            <w:vAlign w:val="center"/>
          </w:tcPr>
          <w:p w14:paraId="48BD9A93">
            <w:pPr>
              <w:snapToGrid w:val="0"/>
              <w:spacing w:beforeLines="0" w:afterLines="0"/>
              <w:jc w:val="center"/>
              <w:rPr>
                <w:rFonts w:hint="default" w:ascii="Times New Roman" w:hAnsi="Times New Roman" w:cs="Times New Roman"/>
                <w:b w:val="0"/>
                <w:bCs w:val="0"/>
                <w:sz w:val="16"/>
                <w:szCs w:val="16"/>
                <w:vertAlign w:val="baseline"/>
                <w:lang w:val="en-US" w:eastAsia="zh-CN"/>
              </w:rPr>
            </w:pPr>
            <w:r>
              <w:rPr>
                <w:rFonts w:hint="default" w:ascii="Times New Roman" w:hAnsi="Times New Roman" w:cs="Times New Roman"/>
                <w:sz w:val="16"/>
                <w:szCs w:val="16"/>
              </w:rPr>
              <w:t>69.2</w:t>
            </w:r>
          </w:p>
        </w:tc>
        <w:tc>
          <w:tcPr>
            <w:tcW w:w="869" w:type="dxa"/>
            <w:tcBorders>
              <w:tl2br w:val="nil"/>
              <w:tr2bl w:val="nil"/>
            </w:tcBorders>
            <w:vAlign w:val="center"/>
          </w:tcPr>
          <w:p w14:paraId="339AA74E">
            <w:pPr>
              <w:snapToGrid w:val="0"/>
              <w:spacing w:beforeLines="0" w:afterLines="0"/>
              <w:jc w:val="center"/>
              <w:rPr>
                <w:rFonts w:hint="default" w:ascii="Times New Roman" w:hAnsi="Times New Roman" w:cs="Times New Roman"/>
                <w:b w:val="0"/>
                <w:bCs w:val="0"/>
                <w:sz w:val="16"/>
                <w:szCs w:val="16"/>
                <w:vertAlign w:val="baseline"/>
                <w:lang w:val="en-US" w:eastAsia="zh-CN"/>
              </w:rPr>
            </w:pPr>
            <w:r>
              <w:rPr>
                <w:rFonts w:hint="default" w:ascii="Times New Roman" w:hAnsi="Times New Roman" w:cs="Times New Roman"/>
                <w:sz w:val="16"/>
                <w:szCs w:val="16"/>
              </w:rPr>
              <w:t>84.6</w:t>
            </w:r>
          </w:p>
        </w:tc>
        <w:tc>
          <w:tcPr>
            <w:tcW w:w="746" w:type="dxa"/>
            <w:tcBorders>
              <w:tl2br w:val="nil"/>
              <w:tr2bl w:val="nil"/>
            </w:tcBorders>
            <w:vAlign w:val="center"/>
          </w:tcPr>
          <w:p w14:paraId="0BA34D34">
            <w:pPr>
              <w:snapToGrid w:val="0"/>
              <w:spacing w:beforeLines="0" w:afterLines="0"/>
              <w:jc w:val="center"/>
              <w:rPr>
                <w:rFonts w:hint="default" w:ascii="Times New Roman" w:hAnsi="Times New Roman" w:cs="Times New Roman"/>
                <w:b w:val="0"/>
                <w:bCs w:val="0"/>
                <w:sz w:val="16"/>
                <w:szCs w:val="16"/>
                <w:vertAlign w:val="baseline"/>
                <w:lang w:val="en-US" w:eastAsia="zh-CN"/>
              </w:rPr>
            </w:pPr>
            <w:r>
              <w:rPr>
                <w:rFonts w:hint="default" w:ascii="Times New Roman" w:hAnsi="Times New Roman" w:cs="Times New Roman"/>
                <w:sz w:val="16"/>
                <w:szCs w:val="16"/>
              </w:rPr>
              <w:t>27.8</w:t>
            </w:r>
          </w:p>
        </w:tc>
      </w:tr>
      <w:tr w14:paraId="09A4379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74" w:type="dxa"/>
            <w:tcBorders>
              <w:tl2br w:val="nil"/>
              <w:tr2bl w:val="nil"/>
            </w:tcBorders>
            <w:vAlign w:val="center"/>
          </w:tcPr>
          <w:p w14:paraId="088EFC4E">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NEOSUMMIT-03</w:t>
            </w:r>
            <w:r>
              <w:rPr>
                <w:rFonts w:hint="default" w:ascii="Times New Roman" w:hAnsi="Times New Roman"/>
                <w:b w:val="0"/>
                <w:bCs w:val="0"/>
                <w:sz w:val="16"/>
                <w:szCs w:val="16"/>
                <w:vertAlign w:val="baseline"/>
                <w:lang w:val="en-US" w:eastAsia="zh-CN"/>
              </w:rPr>
              <w:fldChar w:fldCharType="begin"/>
            </w:r>
            <w:r>
              <w:rPr>
                <w:rFonts w:hint="eastAsia" w:ascii="Times New Roman" w:hAnsi="Times New Roman"/>
                <w:b w:val="0"/>
                <w:bCs w:val="0"/>
                <w:sz w:val="16"/>
                <w:szCs w:val="16"/>
                <w:vertAlign w:val="baseline"/>
                <w:lang w:val="en-US" w:eastAsia="zh-CN"/>
              </w:rPr>
              <w:instrText xml:space="preserve"> ADDIN ZOTERO_ITEM CSL_CITATION {"citationID":"EsyFXKtF","properties":{"formattedCitation":"\\super [44]\\nosupersub{}","plainCitation":"[44]","noteIndex":0},"citationItems":[{"id":1596,"uris":["http://zotero.org/users/15831584/items/SD68B6WJ"],"itemData":{"id":1596,"type":"article-journal","abstract":"This prospective, nonrandomized, open-label phase 2 trial (Chinese Clinical Trial Registry, ChiCTR2200061906) aimed to evaluate the effectiveness of adding the PD-1 antibody tislelizumab to perioperative chemotherapy in patients with locally advanced gastroesophageal junction adenocarcinoma (GEJA). This study enrolled patients with GEJA clinically staged as cT3-4aNanyM0 or cT1-2N+M0 from October 2022 to June 2023. Eligible patients were administered three preoperative and five postoperative 3-week cycles of treatment with PD-1 antibody tislelizumab plus SOX (S-1 and oxaliplatin) regimen. The primary endpoint was major pathological response (MPR) rate. Thirty-two patients were enrolled. The median age was 60 years (range: 28–74 years), and 53.1% (17/32) patients were Siewert III type. All patients received at least one cycle of assigned preoperative treatment, and 93.8% (30/32) patients completed three cycles of assigned preoperative tislelizumab and SOX. The R0 resection rate was 96.9% (31/32). MPR, pathological complete response (pCR) of primary tumors and ypT0N0 rates were 50.0% (16/32, 95% CI: 31.9–68.1%), 28.1% (9/32, 95% CI: 13.7–46.7%) and 25.0% (8/32, 95% CI: 11.5–43.4%), respectively. The surgical morbidity rate was 15.6% (5/32), and no 30-day mortality was observed. In the preoperative and postoperative treatment periods, the rate of treatment-related grade 3–4 adverse events was 31.2% (10/32). At the date of 7th Jan 2025, 8 (25.0%) patients occurred recurrence. Therefore, perioperative tislelizumab plus chemotherapy demonstrated significantly improved pathological regression and might be a promising option for patients with locally advanced resectable GEJA.","container-title":"Signal Transduction and Targeted Therapy","DOI":"10.1038/s41392-025-02160-8","ISSN":"2095-9907","journalAbbreviation":"Signal Transduction Targeted Ther.","language":"en","note":"5年影响因子: 52.2\nCSCD: 核心库\nJCR分区: Q1\nTLDR: Perioperative tislelizumab plus chemotherapy demonstrated significantly improved pathological regression and might be a promising option for patients with locally advanced resectable GEJA.\n中国科技核心期刊: 是\n中科院分区升级版: 医学1区\n南农高质量: A\n影响因子: 52.7","page":"60","PMID":"39910052","PMCID":"PMC11799164","source":"PubMed Central","title":"Perioperative tislelizumab plus chemotherapy for locally advanced gastroesophageal junction adenocarcinoma (NEOSUMMIT-03): a prospective, nonrandomized, open-label, phase 2 trial","title-short":"Perioperative tislelizumab plus chemotherapy for locally advanced gastroesophageal junction adenocarcinoma (NEOSUMMIT-03)","volume":"10","author":[{"family":"Nie","given":"Run-Cong"},{"family":"Yuan","given":"Shu-Qiang"},{"family":"Ding","given":"Ya"},{"family":"Chen","given":"Yong-Ming"},{"family":"Li","given":"Yuan-Fang"},{"family":"Liang","given":"Cheng-Cai"},{"family":"Cai","given":"Mu-Yan"},{"family":"Chen","given":"Guo-Ming"},{"family":"Wang","given":"Wei"},{"family":"Sun","given":"Xiao-Wei"},{"family":"Weng","given":"De-Sheng"},{"family":"Li","given":"Dan-Dan"},{"family":"Zhao","given":"Jing-Jing"},{"family":"Chen","given":"Xiao-Jiang"},{"family":"Guan","given":"Yuan-Xiang"},{"family":"Liu","given":"Zhi-Min"},{"family":"Liang","given":"Yao"},{"family":"Luo","given":"Ma"},{"family":"Chi","given":"Jun"},{"family":"Qiu","given":"Hai-Bo"},{"family":"Zhou","given":"Zhi-Wei"},{"family":"Zhang","given":"Xiao-Shi"},{"family":"Chen","given":"Ying-Bo"}],"issued":{"date-parts":[["2025",2,5]]}}}],"schema":"https://github.com/citation-style-language/schema/raw/master/csl-citation.json"} </w:instrText>
            </w:r>
            <w:r>
              <w:rPr>
                <w:rFonts w:hint="default" w:ascii="Times New Roman" w:hAnsi="Times New Roman"/>
                <w:b w:val="0"/>
                <w:bCs w:val="0"/>
                <w:sz w:val="16"/>
                <w:szCs w:val="16"/>
                <w:vertAlign w:val="baseline"/>
                <w:lang w:val="en-US" w:eastAsia="zh-CN"/>
              </w:rPr>
              <w:fldChar w:fldCharType="separate"/>
            </w:r>
            <w:r>
              <w:rPr>
                <w:rFonts w:hint="default" w:ascii="Times New Roman" w:hAnsi="Times New Roman" w:cs="Times New Roman"/>
                <w:sz w:val="16"/>
                <w:szCs w:val="24"/>
                <w:vertAlign w:val="superscript"/>
              </w:rPr>
              <w:t>[44]</w:t>
            </w:r>
            <w:r>
              <w:rPr>
                <w:rFonts w:hint="default" w:ascii="Times New Roman" w:hAnsi="Times New Roman"/>
                <w:b w:val="0"/>
                <w:bCs w:val="0"/>
                <w:sz w:val="16"/>
                <w:szCs w:val="16"/>
                <w:vertAlign w:val="baseline"/>
                <w:lang w:val="en-US" w:eastAsia="zh-CN"/>
              </w:rPr>
              <w:fldChar w:fldCharType="end"/>
            </w:r>
          </w:p>
        </w:tc>
        <w:tc>
          <w:tcPr>
            <w:tcW w:w="472" w:type="dxa"/>
            <w:tcBorders>
              <w:tl2br w:val="nil"/>
              <w:tr2bl w:val="nil"/>
            </w:tcBorders>
            <w:vAlign w:val="center"/>
          </w:tcPr>
          <w:p w14:paraId="779312C8">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II</w:t>
            </w:r>
          </w:p>
        </w:tc>
        <w:tc>
          <w:tcPr>
            <w:tcW w:w="721" w:type="dxa"/>
            <w:tcBorders>
              <w:tl2br w:val="nil"/>
              <w:tr2bl w:val="nil"/>
            </w:tcBorders>
            <w:vAlign w:val="center"/>
          </w:tcPr>
          <w:p w14:paraId="6258F0F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Single-arm</w:t>
            </w:r>
          </w:p>
        </w:tc>
        <w:tc>
          <w:tcPr>
            <w:tcW w:w="687" w:type="dxa"/>
            <w:tcBorders>
              <w:tl2br w:val="nil"/>
              <w:tr2bl w:val="nil"/>
            </w:tcBorders>
            <w:vAlign w:val="center"/>
          </w:tcPr>
          <w:p w14:paraId="63F71BAA">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GEJA</w:t>
            </w:r>
          </w:p>
        </w:tc>
        <w:tc>
          <w:tcPr>
            <w:tcW w:w="1613" w:type="dxa"/>
            <w:tcBorders>
              <w:tl2br w:val="nil"/>
              <w:tr2bl w:val="nil"/>
            </w:tcBorders>
            <w:vAlign w:val="center"/>
          </w:tcPr>
          <w:p w14:paraId="1855D4B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T1-2N+M0</w:t>
            </w:r>
            <w:r>
              <w:rPr>
                <w:rFonts w:hint="eastAsia" w:ascii="Times New Roman" w:hAnsi="Times New Roman"/>
                <w:b w:val="0"/>
                <w:bCs w:val="0"/>
                <w:sz w:val="16"/>
                <w:szCs w:val="16"/>
                <w:vertAlign w:val="baseline"/>
                <w:lang w:val="en-US" w:eastAsia="zh-CN"/>
              </w:rPr>
              <w:t xml:space="preserve"> or </w:t>
            </w:r>
            <w:r>
              <w:rPr>
                <w:rFonts w:hint="default" w:ascii="Times New Roman" w:hAnsi="Times New Roman"/>
                <w:b w:val="0"/>
                <w:bCs w:val="0"/>
                <w:sz w:val="16"/>
                <w:szCs w:val="16"/>
                <w:vertAlign w:val="baseline"/>
                <w:lang w:val="en-US" w:eastAsia="zh-CN"/>
              </w:rPr>
              <w:t>T3-4aN</w:t>
            </w:r>
            <w:r>
              <w:rPr>
                <w:rFonts w:hint="eastAsia" w:ascii="Times New Roman" w:hAnsi="Times New Roman"/>
                <w:b w:val="0"/>
                <w:bCs w:val="0"/>
                <w:sz w:val="16"/>
                <w:szCs w:val="16"/>
                <w:vertAlign w:val="baseline"/>
                <w:lang w:val="en-US" w:eastAsia="zh-CN"/>
              </w:rPr>
              <w:t>any</w:t>
            </w:r>
            <w:r>
              <w:rPr>
                <w:rFonts w:hint="default" w:ascii="Times New Roman" w:hAnsi="Times New Roman"/>
                <w:b w:val="0"/>
                <w:bCs w:val="0"/>
                <w:sz w:val="16"/>
                <w:szCs w:val="16"/>
                <w:vertAlign w:val="baseline"/>
                <w:lang w:val="en-US" w:eastAsia="zh-CN"/>
              </w:rPr>
              <w:t xml:space="preserve">M0 </w:t>
            </w:r>
          </w:p>
        </w:tc>
        <w:tc>
          <w:tcPr>
            <w:tcW w:w="606" w:type="dxa"/>
            <w:tcBorders>
              <w:tl2br w:val="nil"/>
              <w:tr2bl w:val="nil"/>
            </w:tcBorders>
            <w:vAlign w:val="center"/>
          </w:tcPr>
          <w:p w14:paraId="4A2E6388">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32</w:t>
            </w:r>
          </w:p>
        </w:tc>
        <w:tc>
          <w:tcPr>
            <w:tcW w:w="1277" w:type="dxa"/>
            <w:tcBorders>
              <w:tl2br w:val="nil"/>
              <w:tr2bl w:val="nil"/>
            </w:tcBorders>
            <w:vAlign w:val="center"/>
          </w:tcPr>
          <w:p w14:paraId="1B938745">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Tislelizumab</w:t>
            </w:r>
          </w:p>
        </w:tc>
        <w:tc>
          <w:tcPr>
            <w:tcW w:w="746" w:type="dxa"/>
            <w:tcBorders>
              <w:tl2br w:val="nil"/>
              <w:tr2bl w:val="nil"/>
            </w:tcBorders>
            <w:vAlign w:val="center"/>
          </w:tcPr>
          <w:p w14:paraId="23577F83">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SOX</w:t>
            </w:r>
          </w:p>
        </w:tc>
        <w:tc>
          <w:tcPr>
            <w:tcW w:w="456" w:type="dxa"/>
            <w:tcBorders>
              <w:tl2br w:val="nil"/>
              <w:tr2bl w:val="nil"/>
            </w:tcBorders>
            <w:vAlign w:val="center"/>
          </w:tcPr>
          <w:p w14:paraId="50DD04D4">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eastAsia" w:ascii="Times New Roman" w:hAnsi="Times New Roman"/>
                <w:b w:val="0"/>
                <w:bCs w:val="0"/>
                <w:sz w:val="16"/>
                <w:szCs w:val="16"/>
                <w:vertAlign w:val="baseline"/>
                <w:lang w:val="en-US" w:eastAsia="zh-CN"/>
              </w:rPr>
              <w:t>3</w:t>
            </w:r>
          </w:p>
        </w:tc>
        <w:tc>
          <w:tcPr>
            <w:tcW w:w="791" w:type="dxa"/>
            <w:tcBorders>
              <w:tl2br w:val="nil"/>
              <w:tr2bl w:val="nil"/>
            </w:tcBorders>
            <w:vAlign w:val="center"/>
          </w:tcPr>
          <w:p w14:paraId="7BFB89C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b w:val="0"/>
                <w:bCs w:val="0"/>
                <w:sz w:val="16"/>
                <w:szCs w:val="16"/>
                <w:vertAlign w:val="baseline"/>
                <w:lang w:val="en-US" w:eastAsia="zh-CN"/>
              </w:rPr>
            </w:pPr>
            <w:r>
              <w:rPr>
                <w:rFonts w:hint="default" w:ascii="Times New Roman" w:hAnsi="Times New Roman"/>
                <w:b w:val="0"/>
                <w:bCs w:val="0"/>
                <w:sz w:val="16"/>
                <w:szCs w:val="16"/>
                <w:vertAlign w:val="baseline"/>
                <w:lang w:val="en-US" w:eastAsia="zh-CN"/>
              </w:rPr>
              <w:t>2.8</w:t>
            </w:r>
          </w:p>
        </w:tc>
        <w:tc>
          <w:tcPr>
            <w:tcW w:w="712" w:type="dxa"/>
            <w:tcBorders>
              <w:tl2br w:val="nil"/>
              <w:tr2bl w:val="nil"/>
            </w:tcBorders>
            <w:vAlign w:val="center"/>
          </w:tcPr>
          <w:p w14:paraId="3B4680BA">
            <w:pPr>
              <w:snapToGrid w:val="0"/>
              <w:spacing w:beforeLines="0" w:afterLines="0"/>
              <w:jc w:val="center"/>
              <w:rPr>
                <w:rFonts w:hint="default" w:ascii="Times New Roman" w:hAnsi="Times New Roman" w:cs="Times New Roman"/>
                <w:b w:val="0"/>
                <w:bCs w:val="0"/>
                <w:sz w:val="16"/>
                <w:szCs w:val="16"/>
                <w:vertAlign w:val="baseline"/>
                <w:lang w:val="en-US" w:eastAsia="zh-CN"/>
              </w:rPr>
            </w:pPr>
            <w:r>
              <w:rPr>
                <w:rFonts w:hint="default" w:ascii="Times New Roman" w:hAnsi="Times New Roman" w:cs="Times New Roman"/>
                <w:sz w:val="16"/>
                <w:szCs w:val="16"/>
              </w:rPr>
              <w:t>100</w:t>
            </w:r>
          </w:p>
        </w:tc>
        <w:tc>
          <w:tcPr>
            <w:tcW w:w="608" w:type="dxa"/>
            <w:tcBorders>
              <w:tl2br w:val="nil"/>
              <w:tr2bl w:val="nil"/>
            </w:tcBorders>
            <w:vAlign w:val="center"/>
          </w:tcPr>
          <w:p w14:paraId="4BA7A365">
            <w:pPr>
              <w:snapToGrid w:val="0"/>
              <w:spacing w:beforeLines="0" w:afterLines="0"/>
              <w:jc w:val="center"/>
              <w:rPr>
                <w:rFonts w:hint="default" w:ascii="Times New Roman" w:hAnsi="Times New Roman" w:cs="Times New Roman"/>
                <w:b w:val="0"/>
                <w:bCs w:val="0"/>
                <w:sz w:val="16"/>
                <w:szCs w:val="16"/>
                <w:vertAlign w:val="baseline"/>
                <w:lang w:val="en-US" w:eastAsia="zh-CN"/>
              </w:rPr>
            </w:pPr>
            <w:r>
              <w:rPr>
                <w:rFonts w:hint="default" w:ascii="Times New Roman" w:hAnsi="Times New Roman" w:cs="Times New Roman"/>
                <w:sz w:val="16"/>
                <w:szCs w:val="16"/>
              </w:rPr>
              <w:t>25.0</w:t>
            </w:r>
          </w:p>
        </w:tc>
        <w:tc>
          <w:tcPr>
            <w:tcW w:w="624" w:type="dxa"/>
            <w:tcBorders>
              <w:tl2br w:val="nil"/>
              <w:tr2bl w:val="nil"/>
            </w:tcBorders>
            <w:vAlign w:val="center"/>
          </w:tcPr>
          <w:p w14:paraId="1ED5B8BB">
            <w:pPr>
              <w:snapToGrid w:val="0"/>
              <w:spacing w:beforeLines="0" w:afterLines="0"/>
              <w:jc w:val="center"/>
              <w:rPr>
                <w:rFonts w:hint="default" w:ascii="Times New Roman" w:hAnsi="Times New Roman" w:cs="Times New Roman"/>
                <w:b w:val="0"/>
                <w:bCs w:val="0"/>
                <w:sz w:val="16"/>
                <w:szCs w:val="16"/>
                <w:vertAlign w:val="baseline"/>
                <w:lang w:val="en-US" w:eastAsia="zh-CN"/>
              </w:rPr>
            </w:pPr>
            <w:r>
              <w:rPr>
                <w:rFonts w:hint="default" w:ascii="Times New Roman" w:hAnsi="Times New Roman" w:cs="Times New Roman"/>
                <w:sz w:val="16"/>
                <w:szCs w:val="16"/>
              </w:rPr>
              <w:t>50.0</w:t>
            </w:r>
          </w:p>
        </w:tc>
        <w:tc>
          <w:tcPr>
            <w:tcW w:w="869" w:type="dxa"/>
            <w:tcBorders>
              <w:tl2br w:val="nil"/>
              <w:tr2bl w:val="nil"/>
            </w:tcBorders>
            <w:vAlign w:val="center"/>
          </w:tcPr>
          <w:p w14:paraId="21339847">
            <w:pPr>
              <w:snapToGrid w:val="0"/>
              <w:spacing w:beforeLines="0" w:afterLines="0"/>
              <w:jc w:val="center"/>
              <w:rPr>
                <w:rFonts w:hint="default" w:ascii="Times New Roman" w:hAnsi="Times New Roman" w:cs="Times New Roman"/>
                <w:b w:val="0"/>
                <w:bCs w:val="0"/>
                <w:sz w:val="16"/>
                <w:szCs w:val="16"/>
                <w:vertAlign w:val="baseline"/>
                <w:lang w:val="en-US" w:eastAsia="zh-CN"/>
              </w:rPr>
            </w:pPr>
            <w:r>
              <w:rPr>
                <w:rFonts w:hint="default" w:ascii="Times New Roman" w:hAnsi="Times New Roman" w:cs="Times New Roman"/>
                <w:sz w:val="16"/>
                <w:szCs w:val="16"/>
              </w:rPr>
              <w:t>96.9</w:t>
            </w:r>
          </w:p>
        </w:tc>
        <w:tc>
          <w:tcPr>
            <w:tcW w:w="746" w:type="dxa"/>
            <w:tcBorders>
              <w:tl2br w:val="nil"/>
              <w:tr2bl w:val="nil"/>
            </w:tcBorders>
            <w:vAlign w:val="center"/>
          </w:tcPr>
          <w:p w14:paraId="6FC069A8">
            <w:pPr>
              <w:snapToGrid w:val="0"/>
              <w:spacing w:beforeLines="0" w:afterLines="0"/>
              <w:jc w:val="center"/>
              <w:rPr>
                <w:rFonts w:hint="default" w:ascii="Times New Roman" w:hAnsi="Times New Roman" w:cs="Times New Roman"/>
                <w:b w:val="0"/>
                <w:bCs w:val="0"/>
                <w:sz w:val="16"/>
                <w:szCs w:val="16"/>
                <w:vertAlign w:val="baseline"/>
                <w:lang w:val="en-US" w:eastAsia="zh-CN"/>
              </w:rPr>
            </w:pPr>
            <w:r>
              <w:rPr>
                <w:rFonts w:hint="default" w:ascii="Times New Roman" w:hAnsi="Times New Roman" w:cs="Times New Roman"/>
                <w:sz w:val="16"/>
                <w:szCs w:val="16"/>
              </w:rPr>
              <w:t>31.2</w:t>
            </w:r>
          </w:p>
        </w:tc>
      </w:tr>
    </w:tbl>
    <w:p w14:paraId="1EE033E4">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sz w:val="15"/>
          <w:szCs w:val="15"/>
          <w:lang w:val="en-US" w:eastAsia="zh-CN"/>
        </w:rPr>
      </w:pPr>
      <w:r>
        <w:rPr>
          <w:rFonts w:hint="eastAsia" w:ascii="Times New Roman" w:hAnsi="Times New Roman"/>
          <w:sz w:val="15"/>
          <w:szCs w:val="15"/>
          <w:lang w:val="en-US" w:eastAsia="zh-CN"/>
        </w:rPr>
        <w:t>Notes: ESCC: esophageal squamous cell carcinoma; GEJA: gastroesophageal junction adenocarcinoma; RCT: randomized controlled trial. T: paclitaxel; nab-T: nanoparticle albumin-bound paclitaxel; P: cisplatin; C: carboplatin; N: nedaplatin; D: docetaxel; SOX: S-1 plus oxaliplatin; pCR: pathological complete response; MPR: major pathological response; R0 resection: complete tumor resection with microscopically negative margins; TRAEs: treatment-related adverse events; NR: not reported;*:limited to supraclavicular lymph nodes.</w:t>
      </w:r>
    </w:p>
    <w:p w14:paraId="5743F1C4">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imes New Roman" w:hAnsi="Times New Roman"/>
          <w:sz w:val="21"/>
          <w:szCs w:val="21"/>
          <w:lang w:val="en-US" w:eastAsia="zh-CN"/>
        </w:rPr>
      </w:pPr>
      <w:r>
        <w:rPr>
          <w:rFonts w:hint="eastAsia" w:ascii="Times New Roman" w:hAnsi="Times New Roman"/>
          <w:sz w:val="21"/>
          <w:szCs w:val="21"/>
          <w:lang w:val="en-US" w:eastAsia="zh-CN"/>
        </w:rPr>
        <w:t>在化疗药物配伍方面，目前直接的前瞻性比较证据仍然有限。ESCORT-NEO研究在统一使用卡瑞利珠单抗的前提下，对比白蛋白紫杉醇+顺铂与紫杉醇+顺铂，结果显示前者在短期终点具有相对优势，但该差异可能主要源于紫杉类药物的剂型改良，尚不足以完全阐明不同化疗配伍的优劣之分</w:t>
      </w:r>
      <w:r>
        <w:rPr>
          <w:rFonts w:hint="eastAsia" w:ascii="Times New Roman" w:hAnsi="Times New Roman"/>
          <w:sz w:val="21"/>
          <w:szCs w:val="21"/>
          <w:lang w:val="en-US" w:eastAsia="zh-CN"/>
        </w:rPr>
        <w:fldChar w:fldCharType="begin"/>
      </w:r>
      <w:r>
        <w:rPr>
          <w:rFonts w:hint="eastAsia" w:ascii="Times New Roman" w:hAnsi="Times New Roman"/>
          <w:sz w:val="21"/>
          <w:szCs w:val="21"/>
          <w:lang w:val="en-US" w:eastAsia="zh-CN"/>
        </w:rPr>
        <w:instrText xml:space="preserve"> ADDIN ZOTERO_ITEM CSL_CITATION {"citationID":"t76g5Rfa","properties":{"formattedCitation":"\\super [6]\\nosupersub{}","plainCitation":"[6]","noteIndex":0},"citationItems":[{"id":1397,"uris":["http://zotero.org/users/15831584/items/W7LXGNZJ"],"itemData":{"id":1397,"type":"article-journal","abstract":"Recent single-arm studies involving neoadjuvant camrelizumab, a PD-1 inhibitor, plus chemotherapy for resectable locally advanced esophageal squamous cell carcinoma (LA-ESCC) have shown promising results. This multicenter, randomized, open-label phase 3 trial aimed to further assess the efficacy and safety of neoadjuvant camrelizumab plus chemotherapy followed by adjuvant camrelizumab, compared to neoadjuvant chemotherapy alone. A total of 391 patients with resectable thoracic LA-ESCC (T1b-3N1-3M0 or T3N0M0) were stratified by clinical stage (I/II, III or IVA) and randomized in a 1:1:1 ratio to undergo two cycles of neoadjuvant therapy. Treatments included camrelizumab, albumin-bound paclitaxel and cisplatin (Cam+nab-TP group; n = 132); camrelizumab, paclitaxel and cisplatin (Cam+TP group; n = 130); and paclitaxel with cisplatin (TP group; n = 129), followed by surgical resection. Both the Cam+nab-TP and Cam+TP groups also received adjuvant camrelizumab. The dual primary endpoints were the rate of pathological complete response (pCR), as evaluated by a blind independent review committee, and event-free survival (EFS), as assessed by investigators. This study reports the final analysis of pCR rates. In the intention-to-treat population, the Cam+nab-TP and Cam+TP groups exhibited significantly higher pCR rates of 28.0% and 15.4%, respectively, compared to 4.7% in the TP group (Cam+nab-TP versus TP: difference 23.5%, 95% confidence interval (CI) 15.1-32.0, P &lt; 0.0001; Cam+TP versus TP: difference 10.9%, 95% CI 3.7-18.1, P = 0.0034). The study met its primary endpoint of pCR; however, EFS is not yet mature. The incidence of grade ≥3 treatment-related adverse events during neoadjuvant treatment was 34.1% for the Cam+nab-TP group, 29.2% for the Cam+TP group and 28.8% for the TP group; the postoperative complication rates were 34.2%, 38.8% and 32.0%, respectively. Neoadjuvant camrelizumab plus chemotherapy demonstrated superior pCR rates compared to chemotherapy alone for LA-ESCC, with a tolerable safety profile. Chinese Clinical Trial Registry identifier: ChiCTR2000040034 .","container-title":"Nature Medicine","DOI":"10.1038/s41591-024-03064-w","ISSN":"1546-170X","issue":"9","journalAbbreviation":"Nat. Med.","language":"en","note":"5年影响因子: 52.4\nJCR分区: Q1\nTLDR: The study met its primary endpoint of pCR; however, EFS is not yet mature; however, Neoadjuvant camrelizumab plus chemotherapy demonstrated superior pCR rates compared to chemotherapy alone for LA-ESCC, with a tolerable safety profile.\n中科院分区升级版: 医学1区\n南农高质量: A\n影响因子: 50.0","page":"2549-2557","PMID":"38956195","PMCID":"PMC11405280","source":"PubMed","title":"Neoadjuvant chemotherapy with or without camrelizumab in resectable esophageal squamous cell carcinoma: the randomized phase 3 ESCORT-NEO/NCCES01 trial","title-short":"Neoadjuvant chemotherapy with or without camrelizumab in resectable esophageal squamous cell carcinoma","volume":"30","author":[{"family":"Qin","given":"Jianjun"},{"family":"Xue","given":"Liyan"},{"family":"Hao","given":"Anlin"},{"family":"Guo","given":"Xiaofeng"},{"family":"Jiang","given":"Tao"},{"family":"Ni","given":"Yunfeng"},{"family":"Liu","given":"Shuoyan"},{"family":"Chen","given":"Yujie"},{"family":"Jiang","given":"Hongjing"},{"family":"Zhang","given":"Chen"},{"family":"Kang","given":"Mingqiang"},{"family":"Lin","given":"Jihong"},{"family":"Li","given":"Hecheng"},{"family":"Li","given":"Chengqiang"},{"family":"Tian","given":"Hui"},{"family":"Li","given":"Lin"},{"family":"Fu","given":"Junke"},{"family":"Zhang","given":"Yong"},{"family":"Ma","given":"Jianqun"},{"family":"Wang","given":"Xiaoyuan"},{"family":"Fu","given":"Maoyong"},{"family":"Yang","given":"Hao"},{"family":"Yang","given":"Zhaoyang"},{"family":"Han","given":"Yongtao"},{"family":"Chen","given":"Longqi"},{"family":"Tan","given":"Lijie"},{"family":"Dai","given":"Tianyang"},{"family":"Liao","given":"Yongde"},{"family":"Zhang","given":"Weiguo"},{"family":"Li","given":"Bin"},{"family":"Chen","given":"Qixun"},{"family":"Guo","given":"Shiping"},{"family":"Qi","given":"Yu"},{"family":"Wei","given":"Li"},{"family":"Li","given":"Zhigang"},{"family":"Tian","given":"Ziqiang"},{"family":"Kang","given":"Xiaozheng"},{"family":"Zhang","given":"Ruixiang"},{"family":"Li","given":"Yong"},{"family":"Wang","given":"Zhen"},{"family":"Chen","given":"Xiankai"},{"family":"Hou","given":"Zhiguo"},{"family":"Zheng","given":"Rongrong"},{"family":"Zhu","given":"Wenqing"},{"family":"He","given":"Jie"},{"family":"Li","given":"Yin"}],"issued":{"date-parts":[["2024",9]]}}}],"schema":"https://github.com/citation-style-language/schema/raw/master/csl-citation.json"} </w:instrText>
      </w:r>
      <w:r>
        <w:rPr>
          <w:rFonts w:hint="eastAsia" w:ascii="Times New Roman" w:hAnsi="Times New Roman"/>
          <w:sz w:val="21"/>
          <w:szCs w:val="21"/>
          <w:lang w:val="en-US" w:eastAsia="zh-CN"/>
        </w:rPr>
        <w:fldChar w:fldCharType="separate"/>
      </w:r>
      <w:r>
        <w:rPr>
          <w:rFonts w:hint="default" w:ascii="Times New Roman" w:hAnsi="Times New Roman" w:cs="Times New Roman"/>
          <w:sz w:val="21"/>
          <w:szCs w:val="24"/>
          <w:vertAlign w:val="superscript"/>
        </w:rPr>
        <w:t>[6]</w:t>
      </w:r>
      <w:r>
        <w:rPr>
          <w:rFonts w:hint="eastAsia" w:ascii="Times New Roman" w:hAnsi="Times New Roman"/>
          <w:sz w:val="21"/>
          <w:szCs w:val="21"/>
          <w:lang w:val="en-US" w:eastAsia="zh-CN"/>
        </w:rPr>
        <w:fldChar w:fldCharType="end"/>
      </w:r>
      <w:r>
        <w:rPr>
          <w:rFonts w:hint="eastAsia" w:ascii="Times New Roman" w:hAnsi="Times New Roman"/>
          <w:sz w:val="21"/>
          <w:szCs w:val="21"/>
          <w:lang w:val="en-US" w:eastAsia="zh-CN"/>
        </w:rPr>
        <w:t>。FRONTiER可行性研究显示，以纳武利尤单抗为基础的NICT在不同化疗骨架下呈现的病理反应与长期生存结局并不一致，提示化疗方案选择可能影响总体结局</w:t>
      </w:r>
      <w:r>
        <w:rPr>
          <w:rFonts w:hint="eastAsia" w:ascii="Times New Roman" w:hAnsi="Times New Roman"/>
          <w:sz w:val="21"/>
          <w:szCs w:val="21"/>
          <w:lang w:val="en-US" w:eastAsia="zh-CN"/>
        </w:rPr>
        <w:fldChar w:fldCharType="begin"/>
      </w:r>
      <w:r>
        <w:rPr>
          <w:rFonts w:hint="eastAsia" w:ascii="Times New Roman" w:hAnsi="Times New Roman"/>
          <w:sz w:val="21"/>
          <w:szCs w:val="21"/>
          <w:lang w:val="en-US" w:eastAsia="zh-CN"/>
        </w:rPr>
        <w:instrText xml:space="preserve"> ADDIN ZOTERO_ITEM CSL_CITATION {"citationID":"H4FQygx8","properties":{"formattedCitation":"\\super [45]\\nosupersub{}","plainCitation":"[45]","noteIndex":0},"citationItems":[{"id":1667,"uris":["http://zotero.org/users/15831584/items/KTVK2QM5"],"itemData":{"id":1667,"type":"article-journal","abstract":"The standard neoadjuvant therapy for resectable locally advanced esophageal squamous cell carcinoma (ESCC) in Japan is DCF (docetaxel [DTX] + cisplatin [CDDP] + 5-fluorouracil [5-FU]). In addition, neoadjuvant immune checkpoint inhibitors have shown a survival benefit for metastatic ESCC and several other cancers. We previously reported that neoadjuvant CF (CDDP + 5-FU) + nivolumab (Nivo), DCF + Nivo, and FLOT (5-FU + l-leucovorin [l-LV] + oxaliplatin [L-OHP] + DTX) + Nivo are tolerable and show promising short-term efficacy for resectable locally advanced ESCC. However, the long-term efficacy of these neoadjuvant treatments remains unclear.JCOG1804E (FRONTiER) is a multi-cohort phase I study designed to evaluate the safety and efficacy of Nivo combined with neoadjuvant CF (cohorts A and B [adding run-in Nivo]) or DCF (cohorts C and D [adding run-in Nivo]) or neoadjuvant FLOT (cohort E) for resectable locally advanced ESCC. The eligibility criteria were histologically proven ESCC staged as cT1N1-3M0 or cT2-3N0-3M0 (8th UICC TNM classification), age 20-75 years, performance status (PS) ≤1, and no prior cancer treatment. Secondary efficacy endpoints were pathological complete response (pCR), progression-free survival (PFS), and overall survival (OS) for each treatment.Thirty-seven patients were enrolled (median age [range]: 62 [31-75] years; PS 0/1: 32/5; clinical stage I/II/III/IVA: 7/9/20/1; PD-L1 TPS &amp;lt;1%/≥1%/unknown: 10/26/1). In CF-based treatment cohorts (n=13), median follow-up time (range), pCR, and 3-year PFS were 42.3 (20.9-50.1) months, 7.7%, and 66.6%, respectively. The respective values for the DCF-based treatment cohorts (n=12) were 32.2 (8.0-39.8) months, 33.3%, and 83.3% and for the FLOT-based treatment cohort (n=12) were 16.2 (5.3-20.6) months, 41.7%, and 91.7%. In the overall population (n=37), median follow-up time was 31.9 (5.3-50.1) months and 3-year OS was 82.4%.Neoadjuvant CF or DCF or neoadjuvant FLOT + Nivo followed by surgery for resectable locally advanced ESCC showed promising short- and long-term efficacy. (NCT03914443)","container-title":"Diseases of the Esophagus","DOI":"10.1093/dote/doae057.047","ISSN":"1120-8694","issue":"Supplement_1","journalAbbreviation":"Dis. Esophagus","language":"en","note":"5年影响因子: 2.7\nJCR分区: Q3\n中科院分区升级版: 医学4区\n南农高质量: D\n影响因子: 2.3","page":"doae057.047","source":"Silverchair","title":"Efficacy of neoadjuvant CF or DCF, FLOT plus nivolumab for resectable locally advanced esophageal squamous cell carcinoma (JCOG1804E: FRONTIER)","title-short":"271. Efficacy of neoadjuvant cf or dcf, flot plus nivolumab for resectable locally advanced esophageal squamous cell carcinoma (jcog1804e","volume":"37","author":[{"family":"Tsushima","given":"Takahiro"},{"family":"Yamamoto","given":"Shun"},{"family":"Kato","given":"Ken"},{"family":"Daiko","given":"Hiroyuki"},{"family":"Hara","given":"Hiroki"},{"family":"Kojima","given":"Takashi"},{"family":"Abe","given":"Tetsuya"},{"family":"Tsubosa","given":"Yasuhiro"},{"family":"Kawakubo","given":"Hirofumi"},{"family":"Yoshii","given":"Takako"},{"family":"Fujita","given":"Takeo"},{"family":"Kadowaki","given":"Shigenori"},{"family":"Matsuda","given":"Satoru"},{"family":"Nagashima","given":"Kengo"},{"family":"Aoki","given":"Kazunori"},{"family":"Yachida","given":"Shinichi"},{"family":"Kitagawa","given":"Yuko"}],"issued":{"date-parts":[["2024",9,1]]}}}],"schema":"https://github.com/citation-style-language/schema/raw/master/csl-citation.json"} </w:instrText>
      </w:r>
      <w:r>
        <w:rPr>
          <w:rFonts w:hint="eastAsia" w:ascii="Times New Roman" w:hAnsi="Times New Roman"/>
          <w:sz w:val="21"/>
          <w:szCs w:val="21"/>
          <w:lang w:val="en-US" w:eastAsia="zh-CN"/>
        </w:rPr>
        <w:fldChar w:fldCharType="separate"/>
      </w:r>
      <w:r>
        <w:rPr>
          <w:rFonts w:hint="default" w:ascii="Times New Roman" w:hAnsi="Times New Roman" w:cs="Times New Roman"/>
          <w:sz w:val="21"/>
          <w:szCs w:val="24"/>
          <w:vertAlign w:val="superscript"/>
        </w:rPr>
        <w:t>[45]</w:t>
      </w:r>
      <w:r>
        <w:rPr>
          <w:rFonts w:hint="eastAsia" w:ascii="Times New Roman" w:hAnsi="Times New Roman"/>
          <w:sz w:val="21"/>
          <w:szCs w:val="21"/>
          <w:lang w:val="en-US" w:eastAsia="zh-CN"/>
        </w:rPr>
        <w:fldChar w:fldCharType="end"/>
      </w:r>
      <w:r>
        <w:rPr>
          <w:rFonts w:hint="eastAsia" w:ascii="Times New Roman" w:hAnsi="Times New Roman"/>
          <w:sz w:val="21"/>
          <w:szCs w:val="21"/>
          <w:lang w:val="en-US" w:eastAsia="zh-CN"/>
        </w:rPr>
        <w:t>。在目前证据尚不完备阶段，临床实践中应遵循循证医学原则，在结合既有经验与毒性管理能力的基础上，优先选择已在大型III期随机对照研究中证实其安全性与有效性的方案。</w:t>
      </w:r>
    </w:p>
    <w:p w14:paraId="4FB0BDED">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imes New Roman" w:hAnsi="Times New Roman"/>
          <w:sz w:val="21"/>
          <w:szCs w:val="21"/>
          <w:lang w:val="en-US" w:eastAsia="zh-CN"/>
        </w:rPr>
      </w:pPr>
      <w:r>
        <w:rPr>
          <w:rFonts w:hint="eastAsia" w:ascii="Times New Roman" w:hAnsi="Times New Roman"/>
          <w:sz w:val="21"/>
          <w:szCs w:val="21"/>
          <w:lang w:val="en-US" w:eastAsia="zh-CN"/>
        </w:rPr>
        <w:t>目前针对EAC的研究证据主要来源于胃癌和GEJA。NEOSUMMIT-03研究仅纳入GEJA，采用替雷利珠单抗联合SOX的NICT方案，报告pCR 率为25.0%，数值上优于KEYNOTE-585与MATTERHORN研究中围手术期免疫化疗组的pCR率</w:t>
      </w:r>
      <w:r>
        <w:rPr>
          <w:rFonts w:hint="eastAsia" w:ascii="Times New Roman" w:hAnsi="Times New Roman"/>
          <w:sz w:val="21"/>
          <w:szCs w:val="21"/>
          <w:lang w:val="en-US" w:eastAsia="zh-CN"/>
        </w:rPr>
        <w:fldChar w:fldCharType="begin"/>
      </w:r>
      <w:r>
        <w:rPr>
          <w:rFonts w:hint="eastAsia" w:ascii="Times New Roman" w:hAnsi="Times New Roman"/>
          <w:sz w:val="21"/>
          <w:szCs w:val="21"/>
          <w:lang w:val="en-US" w:eastAsia="zh-CN"/>
        </w:rPr>
        <w:instrText xml:space="preserve"> ADDIN ZOTERO_ITEM CSL_CITATION {"citationID":"1jWPD9W7","properties":{"formattedCitation":"\\super [44,46,47]\\nosupersub{}","plainCitation":"[44,46,47]","noteIndex":0},"citationItems":[{"id":1596,"uris":["http://zotero.org/users/15831584/items/SD68B6WJ"],"itemData":{"id":1596,"type":"article-journal","abstract":"This prospective, nonrandomized, open-label phase 2 trial (Chinese Clinical Trial Registry, ChiCTR2200061906) aimed to evaluate the effectiveness of adding the PD-1 antibody tislelizumab to perioperative chemotherapy in patients with locally advanced gastroesophageal junction adenocarcinoma (GEJA). This study enrolled patients with GEJA clinically staged as cT3-4aNanyM0 or cT1-2N+M0 from October 2022 to June 2023. Eligible patients were administered three preoperative and five postoperative 3-week cycles of treatment with PD-1 antibody tislelizumab plus SOX (S-1 and oxaliplatin) regimen. The primary endpoint was major pathological response (MPR) rate. Thirty-two patients were enrolled. The median age was 60 years (range: 28–74 years), and 53.1% (17/32) patients were Siewert III type. All patients received at least one cycle of assigned preoperative treatment, and 93.8% (30/32) patients completed three cycles of assigned preoperative tislelizumab and SOX. The R0 resection rate was 96.9% (31/32). MPR, pathological complete response (pCR) of primary tumors and ypT0N0 rates were 50.0% (16/32, 95% CI: 31.9–68.1%), 28.1% (9/32, 95% CI: 13.7–46.7%) and 25.0% (8/32, 95% CI: 11.5–43.4%), respectively. The surgical morbidity rate was 15.6% (5/32), and no 30-day mortality was observed. In the preoperative and postoperative treatment periods, the rate of treatment-related grade 3–4 adverse events was 31.2% (10/32). At the date of 7th Jan 2025, 8 (25.0%) patients occurred recurrence. Therefore, perioperative tislelizumab plus chemotherapy demonstrated significantly improved pathological regression and might be a promising option for patients with locally advanced resectable GEJA.","container-title":"Signal Transduction and Targeted Therapy","DOI":"10.1038/s41392-025-02160-8","ISSN":"2095-9907","journalAbbreviation":"Signal Transduction Targeted Ther.","language":"en","note":"5年影响因子: 52.2\nCSCD: 核心库\nJCR分区: Q1\nTLDR: Perioperative tislelizumab plus chemotherapy demonstrated significantly improved pathological regression and might be a promising option for patients with locally advanced resectable GEJA.\n中国科技核心期刊: 是\n中科院分区升级版: 医学1区\n南农高质量: A\n影响因子: 52.7","page":"60","PMID":"39910052","PMCID":"PMC11799164","source":"PubMed Central","title":"Perioperative tislelizumab plus chemotherapy for locally advanced gastroesophageal junction adenocarcinoma (NEOSUMMIT-03): a prospective, nonrandomized, open-label, phase 2 trial","title-short":"Perioperative tislelizumab plus chemotherapy for locally advanced gastroesophageal junction adenocarcinoma (NEOSUMMIT-03)","volume":"10","author":[{"family":"Nie","given":"Run-Cong"},{"family":"Yuan","given":"Shu-Qiang"},{"family":"Ding","given":"Ya"},{"family":"Chen","given":"Yong-Ming"},{"family":"Li","given":"Yuan-Fang"},{"family":"Liang","given":"Cheng-Cai"},{"family":"Cai","given":"Mu-Yan"},{"family":"Chen","given":"Guo-Ming"},{"family":"Wang","given":"Wei"},{"family":"Sun","given":"Xiao-Wei"},{"family":"Weng","given":"De-Sheng"},{"family":"Li","given":"Dan-Dan"},{"family":"Zhao","given":"Jing-Jing"},{"family":"Chen","given":"Xiao-Jiang"},{"family":"Guan","given":"Yuan-Xiang"},{"family":"Liu","given":"Zhi-Min"},{"family":"Liang","given":"Yao"},{"family":"Luo","given":"Ma"},{"family":"Chi","given":"Jun"},{"family":"Qiu","given":"Hai-Bo"},{"family":"Zhou","given":"Zhi-Wei"},{"family":"Zhang","given":"Xiao-Shi"},{"family":"Chen","given":"Ying-Bo"}],"issued":{"date-parts":[["2025",2,5]]}}},{"id":1598,"uris":["http://zotero.org/users/15831584/items/KIGSFNS4"],"itemData":{"id":1598,"type":"article-journal","abstract":"BACKGROUND: The benefit of combination neoadjuvant and adjuvant chemotherapy and immune checkpoint inhibition in patients with locally advanced, resectable gastric or gastro-oesophageal adenocarcinoma is unknown. We assess the antitumor activity of neoadjuvant and adjuvant pembrolizumab plus chemotherapy in patients with locally advanced resectable gastric or gastro-oesophageal adenocarcinoma.\nMETHODS: The KEYNOTE-585 study is a multicentre, randomised, placebo-controlled, double-blind, phase 3 study done at 143 medical centres in 24 countries. Eligible patients were aged 18 years or older with untreated, locally advanced, resectable gastric or gastro-oesophageal adenocarcinoma, and an Eastern Cooperative Oncology Group performance status 0-1. Patients were randomly assigned (1:1) by an interactive voice response system and integrated web response system to neoadjuvant pembrolizumab 200 mg intravenously or placebo (saline) plus cisplatin-based doublet chemotherapy (main cohort) every 3 weeks for 3 cycles, followed by surgery, adjuvant pembrolizumab or placebo plus chemotherapy for 3 cycles, then adjuvant pembrolizumab or placebo for 11 cycles. A small cohort was also randomly assigned (1:1) to pembrolizumab or placebo plus fluorouracil, docetaxel, and oxaliplatin (FLOT)-based chemotherapy (FLOT cohort) every 2 weeks for four cycles, followed by surgery, adjuvant pembrolizumab, or placebo plus FLOT for four cycles, then adjuvant pembrolizumab or placebo for 11 cycles. Patients were stratified by geographic region, tumour stage, and chemotherapy backbone. Primary endpoints were pathological complete response (reviewed centrally), event-free survival (reviewed by the investigator), and overall survival in the intention-to-treat population, and safety assessed in all patients who received at least one dose of study treatment. The study is registered at ClinicalTrials.gov, NCT03221426, and is closed to accrual.\nFINDINGS: Between Oct 9, 2017, and Jan 25, 2021, of 1254 patients screened, 804 were randomly assigned to the main cohort, of whom 402 were assigned to the pembrolizumab plus cisplatin-based chemotherapy group and 402 to the placebo plus cisplatin-based chemotherapy group, and 203 to the FLOT cohort, of whom 100 were assigned to the pembrolizumab plus FLOT group and 103 to placebo plus FLOT group. In the main cohort of 804 participants, 575 (72%) were male and 229 (28%) were female. In the main cohort, after median follow-up of 47·7 months (IQR 38·0-54·8), pembrolizumab was superior to placebo for pathological complete response (52 [12·9%; 95% CI 9·8-16·6] of 402 vs eight [2·0%; 0·9-3·9] of 402; difference 10·9%, 95% CI 7·5 to 14·8; p&lt;0·00001). Median event-free survival was longer with pembrolizumab versus placebo (44·4 months, 95% CI 33·0 to not reached vs 25·3 months, 20·6 to 33·9; hazard ratio [HR] 0·81, 95% CI 0·67 to 0·99; p=0·0198) but did not meet the threshold for statistical significance (p=0·0178). Median overall survival was 60·7 months (95% CI 51·5 to not reached) in the pembrolizumab group versus 58·0 months (41·5 to not reached) in the placebo group (HR 0·90, 95% CI 0·73 to 1·12; p=0·174). Grade 3 or worse adverse events of any cause occurred in 312 (78%) of 399 patients in the pembrolizumab group and 297 (74%) of 400 patients in the placebo group; the most common were nausea (240 [60%] vs 247 [62%]), anaemia (168 [42%] vs 158 [40%]), and decreased appetite (163 [41%] vs 172 [43%]). Treatment-related serious adverse events were reported in 102 (26%) and 97 (24%) patients. Treatment-related adverse events that led to death occurred in four (1%) patients in the pembrolizumab group (interstitial ischaemia, pneumonia, decreased appetite, and acute kidney injury [n=1 each]) and two (&lt;1%) patients in the placebo group (neutropenic sepsis and neutropenic colitis [n=1 each]).\nINTERPRETATION: Although neoadjuvant and adjuvant pembrolizumab versus placebo improved the pathological complete response, it did not translate to significant improvement in event-free survival in patients with untreated, locally advanced resectable gastric or gastro-oesophageal cancer.\nFUNDING: Merck Sharp &amp; Dohme.","container-title":"The Lancet Oncology","DOI":"10.1016/S1470-2045(23)00541-7","ISSN":"14702045","issue":"2","journalAbbreviation":"Lancet Oncol.","language":"en","note":"5年影响因子: 42.0\nJCR分区: Q1\nTLDR: Pembrolizumab was superior to placebo for pathological complete response, event-free survival, and overall survival in the intention-to-treat population, and safety assessed in all patients who received at least one dose of study treatment.\n中科院分区升级版: 医学1区\n影响因子: 35.9","page":"212-224","PMID":"38134948","source":"PubMed","title":"Neoadjuvant and adjuvant pembrolizumab plus chemotherapy in locally advanced gastric or gastro-oesophageal cancer (KEYNOTE-585): an interim analysis of the multicentre, double-blind, randomised phase 3 study","title-short":"Neoadjuvant and adjuvant pembrolizumab plus chemotherapy in locally advanced gastric or gastro-oesophageal cancer (KEYNOTE-585)","volume":"25","author":[{"family":"Shitara","given":"Kohei"},{"family":"Rha","given":"Sun Young"},{"family":"Wyrwicz","given":"Lucjan S"},{"family":"Oshima","given":"Takashi"},{"family":"Karaseva","given":"Nina"},{"family":"Osipov","given":"Mikhail"},{"family":"Yasui","given":"Hisateru"},{"family":"Yabusaki","given":"Hiroshi"},{"family":"Afanasyev","given":"Sergey"},{"family":"Park","given":"Young-Kyu"},{"family":"Al-Batran","given":"Salah-Eddin"},{"family":"Yoshikawa","given":"Takaki"},{"family":"Yanez","given":"Patricio"},{"family":"Di Bartolomeo","given":"Maria"},{"family":"Lonardi","given":"Sara"},{"family":"Tabernero","given":"Josep"},{"family":"Van Cutsem","given":"Eric"},{"family":"Janjigian","given":"Yelena Y"},{"family":"Oh","given":"Do-Youn"},{"family":"Xu","given":"Jianming"},{"family":"Fang","given":"Xiao"},{"family":"Shih","given":"Chie-Schin"},{"family":"Bhagia","given":"Pooja"},{"family":"Bang","given":"Yung-Jue"}],"issued":{"date-parts":[["2024",2]]}}},{"id":1600,"uris":["http://zotero.org/users/15831584/items/KA2SZWBN"],"itemData":{"id":1600,"type":"article-journal","abstract":"BACKGROUND: Perioperative FLOT (fluorouracil, leucovorin, oxaliplatin, and docetaxel) is a standard therapy for resectable gastric and gastroesophageal junction adenocarcinomas, but recurrence rates remain high. Immunotherapy plus chemotherapy may improve outcomes.\nMETHODS: In a phase 3, multinational, double-blind, randomized trial, we assigned participants with resectable gastric or gastroesophageal junction adenocarcinoma, in a 1:1 ratio, to receive durvalumab at a dose of 1500 mg or placebo every 4 weeks plus FLOT for 4 cycles (2 cycles each of neoadjuvant and adjuvant therapy), followed by durvalumab or placebo every 4 weeks for 10 cycles. The primary end point was event-free survival; secondary end points included overall survival and pathological complete response.\nRESULTS: A total of 474 participants were randomly assigned to the durvalumab group, and 474 to the placebo group (median follow-up, 31.5 months; interquartile range, 26.7 to 36.6). Two-year event-free survival (Kaplan-Meier estimate) was 67.4% among the participants in the durvalumab group and 58.5% among those in the placebo group (hazard ratio for event or death, 0.71; 95% confidence interval [CI], 0.58 to 0.86; P&lt;0.001). Two-year overall survival was 75.7% in the durvalumab group and 70.4% in the placebo group (piecewise hazard ratio for death during months 0 to 12, 0.99 [95% CI, 0.70 to 1.39], and during the period from month 12 onward, 0.67 [95% CI, 0.50 to 0.90]; P = 0.03 by a stratified log-rank test [exceeding the significance threshold of P&lt;0.0001]). The percentage of participants with a pathological complete response was 19.2% in the durvalumab group and 7.2% in the placebo group (relative risk, 2.69 [95% CI, 1.86 to 3.90]). Adverse events with a maximum grade of 3 or 4 were reported in 340 participants (71.6%) in the durvalumab group and in 334 (71.2%) in the placebo group. The percentage of participants with delayed surgery was 10.1% and 10.8%, respectively, and the percentage with delayed initiation of adjuvant treatment was 2.3% and 4.6%.\nCONCLUSIONS: Perioperative durvalumab plus FLOT led to significantly better event-free survival outcomes than FLOT alone among participants with resectable gastric or gastroesophageal junction adenocarcinoma. (Funded by AstraZeneca; MATTERHORN ClinicalTrials.gov number, NCT04592913.).","container-title":"New England Journal of Medicine","DOI":"10.1056/NEJMoa2503701","ISSN":"0028-4793, 1533-4406","issue":"3","journalAbbreviation":"N. Engl. J. Med.","language":"en","note":"5年影响因子: 84.9\nJCR分区: Q1\nTLDR: Perioperative durvalumab plus FLOT led to significantly better event-free survival outcomes than FLOT alone among participants with resectable gastric or gastroesophageal junction adenocarcinoma.\n中科院分区升级版: 医学1区\n南农高质量: A\n影响因子: 78.5","page":"217-230","PMID":"40454643","source":"PubMed","title":"Perioperative durvalumab in gastric and gastroesophageal junction cancer","volume":"393","author":[{"family":"Janjigian","given":"Yelena Y."},{"family":"Al-Batran","given":"Salah-Eddin"},{"family":"Wainberg","given":"Zev A."},{"family":"Muro","given":"Kei"},{"family":"Molena","given":"Daniela"},{"family":"Van Cutsem","given":"Eric"},{"family":"Hyung","given":"Woo Jin"},{"family":"Wyrwicz","given":"Lucjan"},{"family":"Oh","given":"Do-Youn"},{"family":"Omori","given":"Takeshi"},{"family":"Moehler","given":"Markus"},{"family":"Garrido","given":"Marcelo"},{"family":"Oliveira","given":"Sulene C.S."},{"family":"Liberman","given":"Moishe"},{"family":"Oliden","given":"Victor Castro"},{"family":"Smyth","given":"Elizabeth C."},{"family":"Stein","given":"Alexander"},{"family":"Bilici","given":"Mehmet"},{"family":"Alvarenga","given":"Maria Lorena"},{"family":"Kozlov","given":"Vadim"},{"family":"Rivera","given":"Fernando"},{"family":"Kawazoe","given":"Akihito"},{"family":"Serrano","given":"Olivier"},{"family":"Heilbron","given":"Eric"},{"family":"Negro","given":"Alejandra"},{"family":"Kurland","given":"John F."},{"family":"Tabernero","given":"Josep"}],"issued":{"date-parts":[["2025",7,17]]}}}],"schema":"https://github.com/citation-style-language/schema/raw/master/csl-citation.json"} </w:instrText>
      </w:r>
      <w:r>
        <w:rPr>
          <w:rFonts w:hint="eastAsia" w:ascii="Times New Roman" w:hAnsi="Times New Roman"/>
          <w:sz w:val="21"/>
          <w:szCs w:val="21"/>
          <w:lang w:val="en-US" w:eastAsia="zh-CN"/>
        </w:rPr>
        <w:fldChar w:fldCharType="separate"/>
      </w:r>
      <w:r>
        <w:rPr>
          <w:rFonts w:hint="default" w:ascii="Times New Roman" w:hAnsi="Times New Roman" w:cs="Times New Roman"/>
          <w:sz w:val="21"/>
          <w:szCs w:val="24"/>
          <w:vertAlign w:val="superscript"/>
        </w:rPr>
        <w:t>[44,46,47]</w:t>
      </w:r>
      <w:r>
        <w:rPr>
          <w:rFonts w:hint="eastAsia" w:ascii="Times New Roman" w:hAnsi="Times New Roman"/>
          <w:sz w:val="21"/>
          <w:szCs w:val="21"/>
          <w:lang w:val="en-US" w:eastAsia="zh-CN"/>
        </w:rPr>
        <w:fldChar w:fldCharType="end"/>
      </w:r>
      <w:r>
        <w:rPr>
          <w:rFonts w:hint="eastAsia" w:ascii="Times New Roman" w:hAnsi="Times New Roman"/>
          <w:sz w:val="21"/>
          <w:szCs w:val="21"/>
          <w:lang w:val="en-US" w:eastAsia="zh-CN"/>
        </w:rPr>
        <w:t>。但后两项试验为胃癌与GEJA混合入组的研究，横向比较时需谨慎解读。2023年发布的GEJ癌临床实践指南的应用调查显示，约78%临床医生在GEJA化疗方案选择上仍参照胃癌模式，围手术期免疫联合化疗在实际应用中相对有限，进一步凸显了该领域证据与实践之间的差距</w:t>
      </w:r>
      <w:r>
        <w:rPr>
          <w:rFonts w:hint="eastAsia" w:ascii="Times New Roman" w:hAnsi="Times New Roman"/>
          <w:sz w:val="21"/>
          <w:szCs w:val="21"/>
          <w:lang w:val="en-US" w:eastAsia="zh-CN"/>
        </w:rPr>
        <w:fldChar w:fldCharType="begin"/>
      </w:r>
      <w:r>
        <w:rPr>
          <w:rFonts w:hint="eastAsia" w:ascii="Times New Roman" w:hAnsi="Times New Roman"/>
          <w:sz w:val="21"/>
          <w:szCs w:val="21"/>
          <w:lang w:val="en-US" w:eastAsia="zh-CN"/>
        </w:rPr>
        <w:instrText xml:space="preserve"> ADDIN ZOTERO_ITEM CSL_CITATION {"citationID":"LZFEqIHb","properties":{"formattedCitation":"\\super [48]\\nosupersub{}","plainCitation":"[48]","noteIndex":0},"citationItems":[{"id":1602,"uris":["http://zotero.org/users/15831584/items/9LLF2K7Y"],"itemData":{"id":1602,"type":"article-journal","abstract":"Clinical practice guidelines for esophagogastric junction cancer (EGJ GLs) were published in 2023. In order to evaluate how EGJ GLs have been adopted into clinical practice worldwide and to identify any outstanding clinical questions to be addressed in the next edition, this survey was conducted., An electronic questionnaire was developed. The questionnaire comprised 16 questions designed to assess the adoption of the guideline. Responses were collected online. The survey was conducted by the EGJ working group of International Gastric Cancer Association (IGCA) following approval from the guideline committee of The International Society for Diseases of the Esophagus (ISDE)., As results, we received 344 valid and complete responses. 55% of respondents were from East Asia followed by Europe, Central/South America, and Central/West Asia. 80% of respondents recognized and followed the guidelines to some extent. There was still diversity in the extent of lymphadenectomy for EGJ cancers with an esophageal invasion of 2–4 cm. Although white light imaging (WLE) alone was recommended in the EGJ GLs, both WLE and image enhanced endoscopy were used in 86% of respondents. The perioperative treatment was shown to be highly diverse worldwide. While 50% of respondents provided perioperative chemotherapy, preoperative chemotherapy without adjuvant treatment and upfront surgery were still the first treatment option in 15% of respondents., In conclusion, the current survey conducted by IGCA and ISDE identified the current standard and remaining issues of EGJ cancers.","container-title":"Diseases of the Esophagus","DOI":"10.1093/dote/doaf071","ISSN":"1120-8694","issue":"5","journalAbbreviation":"Dis. Esophagus","language":"en","note":"5年影响因子: 2.7\nJCR分区: Q3\nTLDR: The current standard and remaining issues of EGJ cancers were identified as well as any outstanding clinical questions to be addressed in the next edition of the guideline.\n中科院分区升级版: 医学4区\n南农高质量: D\n影响因子: 2.3","page":"doaf071","PMID":"40921057","PMCID":"PMC12490043","source":"PubMed Central","title":"Quality indicator survey of clinical practice guidelines for esophagogastric junction cancer 2023","volume":"38","author":[{"family":"Matsuda","given":"Satoru"},{"family":"Wijnhoven","given":"Bas"},{"family":"Lordick","given":"Florian"},{"family":"Bhandari","given":"Pradeep"},{"family":"Liu","given":"Fenglin"},{"family":"Kato","given":"Ken"},{"family":"Gotoda","given":"Takuji"},{"family":"Ferri","given":"Lorenzo"},{"family":"Takeuchi","given":"Hiroya"},{"family":"Kakeji","given":"Yoshihiro"},{"family":"Yang","given":"Han-Kwang"},{"family":"Kitagawa","given":"Yuko"}],"issued":{"date-parts":[["2025",9,8]]}}}],"schema":"https://github.com/citation-style-language/schema/raw/master/csl-citation.json"} </w:instrText>
      </w:r>
      <w:r>
        <w:rPr>
          <w:rFonts w:hint="eastAsia" w:ascii="Times New Roman" w:hAnsi="Times New Roman"/>
          <w:sz w:val="21"/>
          <w:szCs w:val="21"/>
          <w:lang w:val="en-US" w:eastAsia="zh-CN"/>
        </w:rPr>
        <w:fldChar w:fldCharType="separate"/>
      </w:r>
      <w:r>
        <w:rPr>
          <w:rFonts w:hint="default" w:ascii="Times New Roman" w:hAnsi="Times New Roman" w:cs="Times New Roman"/>
          <w:sz w:val="21"/>
          <w:szCs w:val="24"/>
          <w:vertAlign w:val="superscript"/>
        </w:rPr>
        <w:t>[48]</w:t>
      </w:r>
      <w:r>
        <w:rPr>
          <w:rFonts w:hint="eastAsia" w:ascii="Times New Roman" w:hAnsi="Times New Roman"/>
          <w:sz w:val="21"/>
          <w:szCs w:val="21"/>
          <w:lang w:val="en-US" w:eastAsia="zh-CN"/>
        </w:rPr>
        <w:fldChar w:fldCharType="end"/>
      </w:r>
      <w:r>
        <w:rPr>
          <w:rFonts w:hint="eastAsia" w:ascii="Times New Roman" w:hAnsi="Times New Roman"/>
          <w:sz w:val="21"/>
          <w:szCs w:val="21"/>
          <w:lang w:val="en-US" w:eastAsia="zh-CN"/>
        </w:rPr>
        <w:t>。</w:t>
      </w:r>
    </w:p>
    <w:p w14:paraId="6FD22202">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imes New Roman" w:hAnsi="Times New Roman"/>
          <w:sz w:val="21"/>
          <w:szCs w:val="21"/>
          <w:lang w:val="en-US" w:eastAsia="zh-CN"/>
        </w:rPr>
      </w:pPr>
      <w:r>
        <w:rPr>
          <w:rFonts w:hint="eastAsia" w:ascii="Times New Roman" w:hAnsi="Times New Roman"/>
          <w:sz w:val="21"/>
          <w:szCs w:val="21"/>
          <w:lang w:val="en-US" w:eastAsia="zh-CN"/>
        </w:rPr>
        <w:t>综合现有证据，2025版CSCO食管癌指南首次将NICT纳入局部晚期可切除胸段食管癌Ⅱ级推荐，将2周期卡瑞利珠单抗联合白蛋白紫杉醇/紫杉醇+顺铂作为优选方案，而NCRT与NCT仍维持Ⅰ级推荐的标准治疗地位。这一推荐等级客观体现了当前证据格局，尽管NICT在病理缓解指标及围手术期毒性管理上显示出优势，但其能否在生存获益上全面超越或取代成熟的NCRT模式，仍有赖于高质量随机对照研究的长期随访数据验证。</w:t>
      </w:r>
    </w:p>
    <w:p w14:paraId="7EE5AE46">
      <w:pPr>
        <w:pStyle w:val="4"/>
        <w:bidi w:val="0"/>
        <w:rPr>
          <w:rFonts w:hint="eastAsia" w:ascii="Times New Roman" w:hAnsi="Times New Roman" w:eastAsia="楷体" w:cs="楷体"/>
          <w:b w:val="0"/>
          <w:bCs/>
          <w:sz w:val="21"/>
          <w:szCs w:val="21"/>
          <w:lang w:val="en-US" w:eastAsia="zh-CN"/>
        </w:rPr>
      </w:pPr>
      <w:r>
        <w:rPr>
          <w:rFonts w:hint="eastAsia" w:ascii="Times New Roman" w:hAnsi="Times New Roman" w:eastAsia="楷体" w:cs="楷体"/>
          <w:b w:val="0"/>
          <w:bCs/>
          <w:sz w:val="21"/>
          <w:szCs w:val="21"/>
          <w:lang w:val="en-US" w:eastAsia="zh-CN"/>
        </w:rPr>
        <w:t>3.2 新辅助后器官保留策略</w:t>
      </w:r>
    </w:p>
    <w:p w14:paraId="6989AF4A">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imes New Roman" w:hAnsi="Times New Roman"/>
          <w:sz w:val="21"/>
          <w:szCs w:val="21"/>
          <w:lang w:val="en-US" w:eastAsia="zh-CN"/>
        </w:rPr>
      </w:pPr>
      <w:r>
        <w:rPr>
          <w:rFonts w:hint="eastAsia" w:ascii="Times New Roman" w:hAnsi="Times New Roman"/>
          <w:sz w:val="21"/>
          <w:szCs w:val="21"/>
          <w:lang w:val="en-US" w:eastAsia="zh-CN"/>
        </w:rPr>
        <w:t>目前根治性手术仍构成NICT综合治疗路径的关键环节，多数临床研究方案仍将计划性手术作为标准流程。与此同时，器官保留策略旨在不明显牺牲肿瘤控制前提下改善患者生活质量为目标，成为食管癌治疗的重要探索方向。SANO研究及另一项前瞻性研究显示，对于在NCRT后达到临床完全缓解（Clinical complete response, cCR）的患者，采取主动监测或根治性放化疗与直接手术在短期生存方面无明显差异，且SANO指出实施挽救性手术并未明显增加围手术期并发症风险</w:t>
      </w:r>
      <w:r>
        <w:rPr>
          <w:rFonts w:hint="eastAsia" w:ascii="Times New Roman" w:hAnsi="Times New Roman"/>
          <w:sz w:val="21"/>
          <w:szCs w:val="21"/>
          <w:lang w:val="en-US" w:eastAsia="zh-CN"/>
        </w:rPr>
        <w:fldChar w:fldCharType="begin"/>
      </w:r>
      <w:r>
        <w:rPr>
          <w:rFonts w:hint="eastAsia" w:ascii="Times New Roman" w:hAnsi="Times New Roman"/>
          <w:sz w:val="21"/>
          <w:szCs w:val="21"/>
          <w:lang w:val="en-US" w:eastAsia="zh-CN"/>
        </w:rPr>
        <w:instrText xml:space="preserve"> ADDIN ZOTERO_ITEM CSL_CITATION {"citationID":"Xdn2Mc9B","properties":{"formattedCitation":"\\super [49,50]\\nosupersub{}","plainCitation":"[49,50]","noteIndex":0},"citationItems":[{"id":1606,"uris":["http://zotero.org/users/15831584/items/C9ZL2BEC"],"itemData":{"id":1606,"type":"article-journal","abstract":"BACKGROUND: A substantial proportion of individuals with oesophageal cancer have a pathological complete response after neoadjuvant chemoradiotherapy and oesophagectomy. We aimed to investigate whether active surveillance could be an alternative for individuals with a clinical complete response after neoadjuvant chemoradiotherapy.\nMETHODS: We performed a multicentre, stepped-wedge, cluster-randomised, non-inferiority, phase 3 trial in 12 Dutch hospitals. Individuals with locally advanced oesophageal cancer and a clinical complete response after neoadjuvant chemoradiotherapy (ie, no tumour detected with endoscopic biopsies, ultrasound, and PET-CT) underwent active surveillance or standard surgery (ie, oesophagectomy within 2 weeks after reaching clinical complete response). There were no inclusion restrictions regarding comorbidities or performance status, but participants had carcinoma, were age 18 years or older, and were treated with curative intent. Randomisation of hospitals was performed using computer-generated sequences without stratification methods, after an initial phase of all hospitals performing standard surgery. The primary endpoint was overall survival, analysed according to a modified intention-to-treat principle (allowing crossover at time of clinical complete response) and an intention-to-treat principle. Non-inferiority was defined as 2-year survival rate for active surveillance of 15% or less below that for standard surgery. The trial was registered within the Netherlands Trial Register, NTR-6803, and the inclusion phase has been completed.\nFINDINGS: Between Nov 8, 2017, and Jan 17, 2021, 1115 individuals were screened, of whom 309 were included. 198 underwent active surveillance and 111 underwent standard surgery. 242 (78%) participants were male and 67 (22%) were female. Median follow-up was 38 months (IQR 32-48). 2-year overall survival for active surveillance (74% [95% CI 69-78]) was non-inferior to standard surgery (71% [62-78]) after modified intention-to-treat analysis (one-sided 95% boundary: 7% lower). It remained non-inferior in the intention-to-treat analysis (75% [68-80] vs 70% [63-77], one-sided 95% boundary: 6% lower). There were no significant differences in overall survival according to modified intention-to-treat analysis (hazard ratio 1·14, two-sided 95% CI 0·74-1·78) or intention-to-treat analysis (0·83, 0·53-1·31). The frequency of postoperative complications and postoperative mortality after standard surgery or postponed surgery after active surveillance was similar between groups.\nINTERPRETATION: Overall survival after active surveillance for oesophageal cancer was non-inferior compared with standard surgery after 2 years. For the long-term efficacy of active surveillance, extended follow-up is required. The results of the present trial could be used for patient counselling and shared decision making.\nFUNDING: Dutch Cancer Society (KWF) and Netherlands Organisation for Health Research and Development (ZonMw).","container-title":"Lancet Oncology","DOI":"10.1016/S1470-2045(25)00027-0","ISSN":"14702045","issue":"4","journalAbbreviation":"Lancet Oncol.","language":"en","note":"5年影响因子: 42.0\nJCR分区: Q1\nTLDR: Overall survival after active surveillance for oesophageal cancer was non-inferior compared with standard surgery after 2 years, and the results of the present trial could be used for patient counselling and shared decision making.\n中科院分区升级版: 医学1区\n影响因子: 35.9\n南农高质量: A","page":"425-436","PMID":"40112851","source":"PubMed","title":"Neoadjuvant chemoradiotherapy followed by active surveillance versus standard surgery for oesophageal cancer (SANO trial): a multicentre, stepped-wedge, cluster-randomised, non-inferiority, phase 3 trial","title-short":"Neoadjuvant chemoradiotherapy followed by active surveillance versus standard surgery for oesophageal cancer (SANO trial)","volume":"26","author":[{"family":"Van Der Wilk","given":"Berend J"},{"family":"Eyck","given":"Ben M"},{"family":"Wijnhoven","given":"Bas P L"},{"family":"Lagarde","given":"Sjoerd M"},{"family":"Rosman","given":"Camiel"},{"family":"Noordman","given":"Bo J"},{"family":"Valkema","given":"Maria J"},{"family":"Bisseling","given":"Tanya M"},{"family":"Coene","given":"Peter-Paul L O"},{"family":"Van Det","given":"Marc J"},{"family":"Dekker","given":"Jan Willem T"},{"family":"Van Dieren","given":"Jolanda M"},{"family":"Doukas","given":"Michail"},{"family":"Van Esser","given":"Stijn"},{"family":"Fiets","given":"W Edward"},{"family":"Hartgrink","given":"Henk H"},{"family":"Heisterkamp","given":"Joos"},{"family":"Holster","given":"I Lisanne"},{"family":"Klarenbeek","given":"Bastiaan"},{"family":"Van Klaveren","given":"David"},{"family":"Kouw","given":"Eva"},{"family":"Kouwenhoven","given":"Ewout A"},{"family":"Luyer","given":"Misha D"},{"family":"Mostert","given":"Bianca"},{"family":"Nieuwenhuijzen","given":"Grard A P"},{"family":"Oostenbrug","given":"Liekele E"},{"family":"Pierie","given":"Jean-Pierre"},{"family":"Van Sandick","given":"Johanna W"},{"family":"Sosef","given":"Meindert N"},{"family":"Spaander","given":"Manon C W"},{"family":"Valkema","given":"Roelf"},{"family":"Van Der Zaag","given":"Edwin S"},{"family":"Steyerberg","given":"Ewout W"},{"family":"Van Lanschot","given":"J Jan B"},{"family":"Koch","given":"Arjun D."},{"family":"Nikkessen","given":"Suzan"},{"family":"Van Der Gaast","given":"Ate"},{"family":"De Lussanet De La Sablonière","given":"Quido G."},{"family":"Biermann","given":"Katharina"},{"family":"Oudijk","given":"Lindsey"},{"family":"Lingsma","given":"Hester F."},{"family":"Dwarkasing","given":"Roy S."},{"family":"Nuyttens","given":"Joost J."},{"family":"Gangaram-Panday","given":"Sanjiv"},{"family":"Van Der Sluis","given":"Pieter C."},{"family":"Bulte","given":"Geert J."},{"family":"Siersema","given":"Peter D."},{"family":"Westdorp","given":"Harm"},{"family":"Aarntzen","given":"Erik H."},{"family":"Van Der Post","given":"Chella S."},{"family":"Van Rijk","given":"Maartje C."},{"family":"Braam","given":"Pètra M."},{"family":"Rütten","given":"Heidi"},{"family":"Verheij","given":"Marcel"},{"family":"Zweers","given":"Serge J."},{"family":"Hol","given":"Lieke"},{"family":"Courrech Staal","given":"Ewout F.W."},{"family":"Hamoen","given":"Karen E."},{"family":"Rapmund","given":"Trudy"},{"family":"Van Der Harst","given":"Erwin"},{"family":"Van Der Linden","given":"Andries"},{"family":"Aktas","given":"Huseyin"},{"family":"Dura","given":"Polat"},{"family":"Hoekstra","given":"Ronald"},{"family":"Agool","given":"Ali"},{"family":"Van Baarlen","given":"Joop"},{"family":"Hendriksen","given":"Ellen M."},{"family":"Mantel","given":"Henk Jan"},{"family":"Quispel","given":"Rutger"},{"family":"Mulder","given":"Sana A."},{"family":"Verschoor","given":"Arjan J."},{"family":"Ten Broek","given":"Marc R.J."},{"family":"Dallinga","given":"René J."},{"family":"Neelis","given":"Karen J."},{"family":"De Graaf","given":"Erlinde"},{"family":"De Wijkerslooth","given":"Thomas R."},{"family":"Vollebergh","given":"Marieke A."},{"family":"Owers","given":"Emilia C."},{"family":"Bartels-Rutten","given":"Annemarieke"},{"family":"Kodach","given":"Liudmila L."},{"family":"Voncken","given":"Francine E.M."},{"family":"Hilhorst","given":"Yvonne"},{"family":"Warmerdam","given":"Marjolein"},{"family":"Corporaal","given":"Sietske"},{"family":"Polée","given":"Marco B."},{"family":"Van Burg","given":"Anne Marij G."},{"family":"Nieken","given":"Judith"},{"family":"Wolf","given":"Rinze"},{"family":"Oppedijk","given":"Vera"},{"family":"Emous","given":"Marloes"},{"family":"Hess","given":"Daniel A."},{"family":"Erkelens","given":"Willemien"},{"family":"Tromp - Van Driel","given":"S. Cathrien S."},{"family":"Zuijdwijk","given":"Marc D."},{"family":"Doornewaard","given":"H."},{"family":"Muller","given":"Karin"},{"family":"Van Duijvendijk","given":"Peter"},{"family":"Wassenaar","given":"Eelco B."},{"family":"Curvers","given":"Wouter L."},{"family":"Creemers","given":"Geert-Jan"},{"family":"Roef","given":"Mark J."},{"family":"Van Lijnschoten","given":"Ineke"},{"family":"Nederend","given":"Joost"},{"family":"Van Der Sangen","given":"Maurice J.C."},{"family":"Budiharto","given":"Tom C.G."},{"family":"Heesakkers","given":"Fanny F.B.M."},{"family":"Soufidi","given":"Khalida"},{"family":"Warmerdam","given":"Fabienne A.R.M."},{"family":"Schreurs","given":"Wendy"},{"family":"De Vries","given":"Bart"},{"family":"Vliegen","given":"Roy F.A."},{"family":"Buijsen","given":"Jeroen"},{"family":"Stohr","given":"Ilse"},{"family":"Belgers","given":"Eric H.J."},{"family":"Van Der Kraan","given":"Jolein"},{"family":"Slingerland","given":"Marije"},{"family":"Raghoo","given":"Richard"},{"family":"Crobach","given":"A. Stijn L.P."},{"family":"Van Der Molen","given":"Aart J."},{"family":"Quix","given":"Susan J.C.L.M."},{"family":"De Steur","given":"Wobbe O."},{"family":"Hazen","given":"Wouter L."},{"family":"Beerepoot","given":"Laurens V."},{"family":"Ploeg","given":"David E."},{"family":"Rozema","given":"Tom"},{"family":"Vermeltfoort","given":"Ilse A.C."},{"family":"Jansen","given":"Walther"}],"issued":{"date-parts":[["2025",4]]}}},{"id":1608,"uris":["http://zotero.org/users/15831584/items/YEAN3SRI"],"itemData":{"id":1608,"type":"article-journal","abstract":"According to our treatment response evaluation criteria, survival of the patients with cCR after nCRT was not significant different between nCRT group and dCRT group. An optimized response evaluation strategy soon after nCRT may guide next therapy decisions for patients with locally advanced ESCC.","container-title":"Radiotherapy and Oncology","DOI":"10.1016/j.radonc.2022.06.015","ISSN":"01678140","journalAbbreviation":"Radiother. Oncol.","language":"en","note":"TLDR: This prospectively randomized pilot study compared definitive chemoradiotherapy (dCRT) with nCRT in patients with locally advanced ESCC who achieved clinical complete responses (cCRs) to n CRT and found that survival of the patients with cCR after nCRt was not significant different between nCRS group and dCRT group.\nJCR分区: Q1\n中科院分区升级版: 医学2区\n影响因子: 5.3\n5年影响因子: 5.6\n南农高质量: A","page":"1-7","PMID":"35764191","publisher":"Radiother Oncol","source":"ums.xjmu.edu.cn","title":"Definitive chemoradiotherapy versus neoadjuvant chemoradiotherapy followed by surgery in patients with locally advanced esophageal squamous cell carcinoma who achieved clinical complete response when induction chemoradiation finished: a phase II random","title-short":"Definitive chemoradiotherapy versus neoadjuvant chemoradiotherapy followed by surgery in patients with locally advanced esophageal squamous cell carcinoma who achieved clinical complete response when induction chemoradiation finished","volume":"174","author":[{"family":"Qian","given":"Dong"},{"family":"Chen","given":"Xi"},{"family":"Shang","given":"Xiaobin"},{"family":"Wang","given":"Yuwen"},{"family":"Tang","given":"Peng"},{"family":"Han","given":"Dong"},{"family":"Jiang","given":"Hongjing"},{"family":"Chen","given":"Chuangui"},{"family":"Zhao","given":"Gang"},{"family":"Zhou","given":"Dejun"},{"family":"Cao","given":"Fuliang"},{"family":"Er","given":"Puchun"},{"family":"Zhang","given":"Wencheng"},{"family":"Li","given":"Xiaoxia"},{"family":"Zhang","given":"Tian"},{"family":"Zhang","given":"Baozhong"},{"family":"Guan","given":"Yong"},{"family":"Wang","given":"Jun"},{"family":"Yuan","given":"Zhiyong"},{"family":"Yu","given":"Zhentao"},{"family":"Wang","given":"Ping"},{"family":"Pang","given":"Qingsong"}],"issued":{"date-parts":[["2022",9]]}}}],"schema":"https://github.com/citation-style-language/schema/raw/master/csl-citation.json"} </w:instrText>
      </w:r>
      <w:r>
        <w:rPr>
          <w:rFonts w:hint="eastAsia" w:ascii="Times New Roman" w:hAnsi="Times New Roman"/>
          <w:sz w:val="21"/>
          <w:szCs w:val="21"/>
          <w:lang w:val="en-US" w:eastAsia="zh-CN"/>
        </w:rPr>
        <w:fldChar w:fldCharType="separate"/>
      </w:r>
      <w:r>
        <w:rPr>
          <w:rFonts w:hint="default" w:ascii="Times New Roman" w:hAnsi="Times New Roman" w:cs="Times New Roman"/>
          <w:sz w:val="21"/>
          <w:szCs w:val="24"/>
          <w:vertAlign w:val="superscript"/>
        </w:rPr>
        <w:t>[49,50]</w:t>
      </w:r>
      <w:r>
        <w:rPr>
          <w:rFonts w:hint="eastAsia" w:ascii="Times New Roman" w:hAnsi="Times New Roman"/>
          <w:sz w:val="21"/>
          <w:szCs w:val="21"/>
          <w:lang w:val="en-US" w:eastAsia="zh-CN"/>
        </w:rPr>
        <w:fldChar w:fldCharType="end"/>
      </w:r>
      <w:r>
        <w:rPr>
          <w:rFonts w:hint="eastAsia" w:ascii="Times New Roman" w:hAnsi="Times New Roman"/>
          <w:sz w:val="21"/>
          <w:szCs w:val="21"/>
          <w:lang w:val="en-US" w:eastAsia="zh-CN"/>
        </w:rPr>
        <w:t>。然而，即使放化疗后评估为cCR的患者，手术标本中仍可检出残余肿瘤，提示仅以cCR作为器官保留决策基础仍存在潜在风险</w:t>
      </w:r>
      <w:r>
        <w:rPr>
          <w:rFonts w:hint="eastAsia" w:ascii="Times New Roman" w:hAnsi="Times New Roman"/>
          <w:sz w:val="21"/>
          <w:szCs w:val="21"/>
          <w:lang w:val="en-US" w:eastAsia="zh-CN"/>
        </w:rPr>
        <w:fldChar w:fldCharType="begin"/>
      </w:r>
      <w:r>
        <w:rPr>
          <w:rFonts w:hint="eastAsia" w:ascii="Times New Roman" w:hAnsi="Times New Roman"/>
          <w:sz w:val="21"/>
          <w:szCs w:val="21"/>
          <w:lang w:val="en-US" w:eastAsia="zh-CN"/>
        </w:rPr>
        <w:instrText xml:space="preserve"> ADDIN ZOTERO_ITEM CSL_CITATION {"citationID":"O8zpRpjA","properties":{"formattedCitation":"\\super [51,52]\\nosupersub{}","plainCitation":"[51,52]","noteIndex":0},"citationItems":[{"id":1619,"uris":["http://zotero.org/users/15831584/items/NNJRLHYD"],"itemData":{"id":1619,"type":"article-journal","abstract":"Abstract\n            \n              Background\n              Active surveillance has been proposed for patients with oesophageal cancer in whom there is a complete clinical response after neoadjuvant chemoradiotherapy (nCRT). However, endoscopic biopsies have limited negative predictive value in detecting residual disease. This study determined the location of residual tumour following surgery to improve surveillance and endoscopic strategies.\n            \n            \n              Methods\n              The present study was based on patients who participated in the prospective preSANO trial with adenocarcinoma or squamous cell carcinoma of the oesophagus or oesophagogastric junction treated in four Dutch hospitals between 2013 and 2016. Resection specimens and endoscopic biopsies taken during clinical response evaluations after nCRT were reviewed by two expert gastrointestinal pathologists. The exact location of residual disease in the oesophageal wall was determined in resection specimens. Endoscopic biopsies were assessed for the presence of structures representing the submucosal layer of the oesophageal wall.\n            \n            \n              Results\n              In total, 119 eligible patients underwent clinical response evaluations after nCRT followed by standard surgery. Residual tumour was present in endoscopic biopsies from 70 patients, confirmed on histological analysis of the resected organ. Residual tumour was present in the resection specimen from 27 of the other 49 patients, despite endoscopic biopsies being negative. Of these 27 patients, residual tumour was located in the mucosa in 18, and in the submucosa beneath tumour-free mucosa in eight. One patient had tumour in muscle beneath tumour-free mucosa and submucosa.\n            \n            \n              Conclusion\n              Most residual disease after nCRT missed by endoscopic biopsies was located in the mucosa. Active surveillance could be improved by more sampling and considering submucosal biopsies.","container-title":"British Journal of Surgery","DOI":"10.1002/bjs.11760","ISSN":"0007-1323, 1365-2168","issue":"13","journalAbbreviation":"Br. J. Surg.","language":"en","note":"TLDR: The location of residual tumour following surgery is determined to improve surveillance and endoscopic strategies for patients with oesophageal cancer.\n中科院分区升级版: 医学1区\n南农高质量: A","page":"1791-1800","source":"Silverchair","title":"Residual disease after neoadjuvant chemoradiotherapy for oesophageal cancer: locations undetected by endoscopic biopsies in the preSANO trial","title-short":"Residual disease after neoadjuvant chemoradiotherapy for oesophageal cancer","volume":"107","author":[{"family":"Wilk","given":"B J"},{"family":"Eyck","given":"B M"},{"family":"Doukas","given":"M"},{"family":"Spaander","given":"M C W"},{"family":"Schoon","given":"E J"},{"family":"Krishnadath","given":"K K"},{"family":"Oostenbrug","given":"L E"},{"family":"Lagarde","given":"S M"},{"family":"Wijnhoven","given":"B P L"},{"family":"Looijenga","given":"L H J"},{"family":"Biermann","given":"K"},{"family":"Lanschot","given":"J J B"}],"issued":{"date-parts":[["2020",11,12]]}}},{"id":1621,"uris":["http://zotero.org/users/15831584/items/96GK8Q5A"],"itemData":{"id":1621,"type":"article-journal","abstract":"Abstract\n            \n              Background\n              Neoadjuvant chemoradiotherapy (nCRT) in patients with oesophageal squamous cell carcinoma (OSCC) may lead to clinical complete response (cCR). It is important to know the accuracy of clinical response evaluations (CREs) before advocating active surveillance instead of oesophagectomy.\n            \n            \n              Methods\n              This was a prospective, multicentre study of patients with locally advanced OSCC. They received the first CRE (bite-on-bite biopsies) 4–6 weeks after nCRT. Patients with residual tumour underwent surgery. Patients with a cCR at CRE-1 underwent a second CRE 10–12 weeks after nCRT using PET-CT, bite-on-bite biopsies and endoscopic ultrasound fine-needle aspiration (EUS-FNA). All patients without distant metastases underwent surgery. Primary endpoint was the accuracy of CREs for detecting Tumour Regression Grade (TRG)3–4 or TRG1–2 with ypN+ residual tumour with a prespecified false-negative rate (FNR) of 19.5%. Circulating-tumour DNA (ctDNA) at CREs was performed for exploratory analysis.\n            \n            \n              Results\n              In total 309 patients were included. Eighteen of 133 patients with TRG3–4 or TRG1–2 with ypN+ residual tumours were not detected by bite-on-bite biopsies and EUS-FNA (FNR: 13.5%). Sensitivity, specificity, negative predictive value and positive predictive value of detecting any residual tumour were 81.7%, 93.2%, 68.7% and 96.5% respectively. PET-CT detected interval distant metastases in 13 (4.9%) of 268 patients presurgically. After a minimum 12-month follow-up, systemic recurrence rates were 28.0% in patients with positive ctDNA at CREs and 5.3% in those with negative ctDNA.\n            \n            \n              Conclusions\n              Bite-on-bite biopsies and EUS-FNA were accurate in detecting residual disease after nCRT in OSCC. Positive ctDNA at CREs may indicate an increased risk of systemic metastases.","container-title":"British Journal of Surgery","DOI":"10.1093/bjs/znaf004","ISSN":"0007-1323, 1365-2168","issue":"2","journalAbbreviation":"Br. J. Surg.","language":"en","note":"TLDR: Bite-on-bite biopsies and EUS-FNA were accurate in detecting residual disease after nCRT in OSCC, and positive ctDNA at CREs may indicate an increased risk of systemic metastases.\n中科院分区升级版: 医学1区\n南农高质量: A","page":"znaf004","source":"Silverchair","title":"Detecting residual disease after neoadjuvant chemoradiotherapy for oesophageal squamous cell carcinoma: prospective multicentre preSINO trial","title-short":"Detecting residual disease after neoadjuvant chemoradiotherapy for oesophageal squamous cell carcinoma","volume":"112","author":[{"family":"Yang","given":"Yang"},{"family":"Liu","given":"Zhichao"},{"family":"Wong","given":"Ian"},{"family":"Gao","given":"Xing"},{"family":"Zhang","given":"Hong"},{"family":"Liu","given":"Jun"},{"family":"Eyck","given":"Ben M"},{"family":"Shao","given":"Jinchen"},{"family":"Han","given":"Yuchen"},{"family":"Van Der Wilk","given":"Berend J"},{"family":"Chao","given":"Yinkai"},{"family":"Law","given":"Simon"},{"family":"Wijnhoven","given":"Bas P L"},{"family":"Van Lanschot","given":"J Jan B"},{"family":"Li","given":"Zhigang"}],"issued":{"date-parts":[["2025",2,1]]}}}],"schema":"https://github.com/citation-style-language/schema/raw/master/csl-citation.json"} </w:instrText>
      </w:r>
      <w:r>
        <w:rPr>
          <w:rFonts w:hint="eastAsia" w:ascii="Times New Roman" w:hAnsi="Times New Roman"/>
          <w:sz w:val="21"/>
          <w:szCs w:val="21"/>
          <w:lang w:val="en-US" w:eastAsia="zh-CN"/>
        </w:rPr>
        <w:fldChar w:fldCharType="separate"/>
      </w:r>
      <w:r>
        <w:rPr>
          <w:rFonts w:hint="default" w:ascii="Times New Roman" w:hAnsi="Times New Roman" w:cs="Times New Roman"/>
          <w:sz w:val="21"/>
          <w:szCs w:val="24"/>
          <w:vertAlign w:val="superscript"/>
        </w:rPr>
        <w:t>[51,52]</w:t>
      </w:r>
      <w:r>
        <w:rPr>
          <w:rFonts w:hint="eastAsia" w:ascii="Times New Roman" w:hAnsi="Times New Roman"/>
          <w:sz w:val="21"/>
          <w:szCs w:val="21"/>
          <w:lang w:val="en-US" w:eastAsia="zh-CN"/>
        </w:rPr>
        <w:fldChar w:fldCharType="end"/>
      </w:r>
      <w:r>
        <w:rPr>
          <w:rFonts w:hint="eastAsia" w:ascii="Times New Roman" w:hAnsi="Times New Roman"/>
          <w:sz w:val="21"/>
          <w:szCs w:val="21"/>
          <w:lang w:val="en-US" w:eastAsia="zh-CN"/>
        </w:rPr>
        <w:t>。一项多队列回顾性分析进一步发现，新辅助后仅达到疾病稳定（Stable disease, SD）的患者接受根治性手术可显著改善生存，而对于已达临床缓解的患者，手术对总生存期的额外获益有限</w:t>
      </w:r>
      <w:r>
        <w:rPr>
          <w:rFonts w:hint="eastAsia" w:ascii="Times New Roman" w:hAnsi="Times New Roman"/>
          <w:sz w:val="21"/>
          <w:szCs w:val="21"/>
          <w:lang w:val="en-US" w:eastAsia="zh-CN"/>
        </w:rPr>
        <w:fldChar w:fldCharType="begin"/>
      </w:r>
      <w:r>
        <w:rPr>
          <w:rFonts w:hint="eastAsia" w:ascii="Times New Roman" w:hAnsi="Times New Roman"/>
          <w:sz w:val="21"/>
          <w:szCs w:val="21"/>
          <w:lang w:val="en-US" w:eastAsia="zh-CN"/>
        </w:rPr>
        <w:instrText xml:space="preserve"> ADDIN ZOTERO_ITEM CSL_CITATION {"citationID":"NqRypcFZ","properties":{"formattedCitation":"\\super [53]\\nosupersub{}","plainCitation":"[53]","noteIndex":0},"citationItems":[{"id":1615,"uris":["http://zotero.org/users/15831584/items/2HWUMA5N"],"itemData":{"id":1615,"type":"article-journal","abstract":"Neoadjuvant therapy (NAT) is the standard treatment for locally advanced esophageal cancer. Nevertheless, the response to NAT varies significantly among patients. This study is aimed at comparing the influence of different clinical decisions on disease-free survival (DFS) and overall survival (OS) in patients evaluated as stable disease (SD) or clinical response (CR/PR) after NAT.","container-title":"Surgical Endoscopy","DOI":"10.1007/s00464-025-12166-6","ISSN":"0930-2794, 1432-2218","journalAbbreviation":"Surg. Endosc.","language":"en","note":"TLDR: In patients with clinically stable disease, surgery significantly improves both DFS and OS, and in patients with clinical response, surgery improves DFS but has no significant impact on long-term OS.","page":"0-12","source":"Springer Link","title":"Impact of clinical decisions on patient outcomes after neoadjuvant therapy in locally advanced resectable esophageal squamous cell carcinoma","author":[{"family":"Huang","given":"Yizhou"},{"family":"Chen","given":"Maohui"},{"family":"Zhou","given":"Liyuan"},{"family":"Cai","given":"Bingqiang"},{"family":"Zhang","given":"Yongcong"},{"family":"Lin","given":"Chuanquan"},{"family":"Zhang","given":"Shuliang"},{"family":"Zeng","given":"Taidui"},{"family":"Chen","given":"Chun"},{"family":"Zheng","given":"Bin"}],"issued":{"date-parts":[["2025",9,11]]}}}],"schema":"https://github.com/citation-style-language/schema/raw/master/csl-citation.json"} </w:instrText>
      </w:r>
      <w:r>
        <w:rPr>
          <w:rFonts w:hint="eastAsia" w:ascii="Times New Roman" w:hAnsi="Times New Roman"/>
          <w:sz w:val="21"/>
          <w:szCs w:val="21"/>
          <w:lang w:val="en-US" w:eastAsia="zh-CN"/>
        </w:rPr>
        <w:fldChar w:fldCharType="separate"/>
      </w:r>
      <w:r>
        <w:rPr>
          <w:rFonts w:hint="default" w:ascii="Times New Roman" w:hAnsi="Times New Roman" w:cs="Times New Roman"/>
          <w:sz w:val="21"/>
          <w:szCs w:val="24"/>
          <w:vertAlign w:val="superscript"/>
        </w:rPr>
        <w:t>[53]</w:t>
      </w:r>
      <w:r>
        <w:rPr>
          <w:rFonts w:hint="eastAsia" w:ascii="Times New Roman" w:hAnsi="Times New Roman"/>
          <w:sz w:val="21"/>
          <w:szCs w:val="21"/>
          <w:lang w:val="en-US" w:eastAsia="zh-CN"/>
        </w:rPr>
        <w:fldChar w:fldCharType="end"/>
      </w:r>
      <w:r>
        <w:rPr>
          <w:rFonts w:hint="eastAsia" w:ascii="Times New Roman" w:hAnsi="Times New Roman"/>
          <w:sz w:val="21"/>
          <w:szCs w:val="21"/>
          <w:lang w:val="en-US" w:eastAsia="zh-CN"/>
        </w:rPr>
        <w:t>。</w:t>
      </w:r>
    </w:p>
    <w:p w14:paraId="45E9A14A">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imes New Roman" w:hAnsi="Times New Roman"/>
          <w:sz w:val="21"/>
          <w:szCs w:val="21"/>
          <w:lang w:val="en-US" w:eastAsia="zh-CN"/>
        </w:rPr>
      </w:pPr>
      <w:r>
        <w:rPr>
          <w:rFonts w:hint="eastAsia" w:ascii="Times New Roman" w:hAnsi="Times New Roman"/>
          <w:sz w:val="21"/>
          <w:szCs w:val="21"/>
          <w:lang w:val="en-US" w:eastAsia="zh-CN"/>
        </w:rPr>
        <w:t>上述证据主要来源于NCRT或NCT模式，NICT背景下的器官保留策略尚处于早期探索阶段。</w:t>
      </w:r>
      <w:r>
        <w:rPr>
          <w:rFonts w:hint="eastAsia" w:ascii="Times New Roman" w:hAnsi="Times New Roman"/>
          <w:color w:val="FF0000"/>
          <w:sz w:val="21"/>
          <w:szCs w:val="21"/>
          <w:lang w:val="en-US" w:eastAsia="zh-CN"/>
        </w:rPr>
        <w:t>TD-NICE研究随访结果显示，接受NICT的ESCC患者中约80%最终完成手术，其4年估计OS率达69.4%，未接受手术的9例患者4年估计OS率仅为33.3%</w:t>
      </w:r>
      <w:r>
        <w:rPr>
          <w:rFonts w:hint="eastAsia" w:ascii="Times New Roman" w:hAnsi="Times New Roman"/>
          <w:color w:val="FF0000"/>
          <w:sz w:val="21"/>
          <w:szCs w:val="21"/>
          <w:lang w:val="en-US" w:eastAsia="zh-CN"/>
        </w:rPr>
        <w:fldChar w:fldCharType="begin"/>
      </w:r>
      <w:r>
        <w:rPr>
          <w:rFonts w:hint="eastAsia" w:ascii="Times New Roman" w:hAnsi="Times New Roman"/>
          <w:color w:val="FF0000"/>
          <w:sz w:val="21"/>
          <w:szCs w:val="21"/>
          <w:lang w:val="en-US" w:eastAsia="zh-CN"/>
        </w:rPr>
        <w:instrText xml:space="preserve"> ADDIN ZOTERO_ITEM CSL_CITATION {"citationID":"ooG9cCWY","properties":{"formattedCitation":"\\super [42]\\nosupersub{}","plainCitation":"[42]","noteIndex":0},"citationItems":[{"id":1400,"uris":["http://zotero.org/users/15831584/items/HQUNALSL"],"itemData":{"id":1400,"type":"article-journal","abstract":"Background\nThe efficacy and safety of tislelizumab combined with chemotherapy as neoadjuvant therapy have been presented and evaluated in previously published TD-NICE study. However, the long-term impacts of patients who received tislelizumab plus chemotherapy followed by surgery were not observed in the study.\n\nMethods\nFrom September 2020 to March 2021, a total of 45 patients were enrolled in the TD-NICE trial. The 4 -year follow-up data of the TD-NICE ITT population were collected by investigators. The primary endpoint was OS, and the secondary endpoint was EFS. Kaplan-Meier method and cox proportional hazards model were used to proceed statistical analysis.\n\nResults\nThe median OS and EFS were not reached in all patients. The OS was 82.2% (95%CI:67.6–90.7) at 12 months, 73.3%(95%CI:57.8–83.9) at 24 months, 66.7%(95%CI:50.9–78.4) at 36 months and simulated 66.2% (95%CI:46.5–74.6) at 48 months. There were statistically significant differences between surgery and non-surgery patients(P = 0.046). And patients with R0 resection had a higher improvement in OS than those with R1&amp;R2 resection (P = 0.041). The differences in EFS in surgery and non-surgery group (P = 0.046) as well as in R0 resection and R1&amp;R2 resection group (P = 0.045) were significant, respectively.\n\nDiscussion\nOur study identified that chemoimmunotherapy plus surgery could improve overall survival in resectable ESCC, and patients had significant benefits from surgery and R0 tumor resection.\n\nTrial registration\nTD-NICE study was registered in the August 28, 2020, and the registration number was ChiCTR2000037488 (Chinese Clinical Trial Registry (ChiCTR) identifier).","container-title":"BMC Cancer","DOI":"10.1186/s12885-025-14686-9","ISSN":"1471-2407","journalAbbreviation":"BMC Cancer","language":"en","note":"5年影响因子: 3.7\nJCR分区: Q2\nTLDR: This study identified that chemoimmunotherapy plus surgery could improve overall survival in resectable ESCC, and patients had significant benefits from surgery and R0 tumor resection.\n中科院分区升级版: 医学3区\n南农高质量: B\n影响因子: 3.4","page":"1328","PMID":"40826031","PMCID":"PMC12359864","source":"PubMed Central","title":"Four-year follow-up from the phase 2 study TD-NICE: neoadjuvant treatment of tislelizumab combined with chemotherapy in resectable esophageal squamous cell carcinoma","title-short":"Four-year follow-up from the phase 2 study TD-NICE","volume":"25","author":[{"family":"Mao","given":"Yajie"},{"family":"Gao","given":"Zhiyuan"},{"family":"Sun","given":"Yichen"},{"family":"Shao","given":"Changjian"},{"family":"Duan","given":"Hongtao"},{"family":"Yan","given":"Xiaolong"}],"issued":{"date-parts":[["2025",8,18]]}}}],"schema":"https://github.com/citation-style-language/schema/raw/master/csl-citation.json"} </w:instrText>
      </w:r>
      <w:r>
        <w:rPr>
          <w:rFonts w:hint="eastAsia" w:ascii="Times New Roman" w:hAnsi="Times New Roman"/>
          <w:color w:val="FF0000"/>
          <w:sz w:val="21"/>
          <w:szCs w:val="21"/>
          <w:lang w:val="en-US" w:eastAsia="zh-CN"/>
        </w:rPr>
        <w:fldChar w:fldCharType="separate"/>
      </w:r>
      <w:r>
        <w:rPr>
          <w:rFonts w:hint="default" w:ascii="Times New Roman" w:hAnsi="Times New Roman" w:cs="Times New Roman"/>
          <w:color w:val="FF0000"/>
          <w:sz w:val="21"/>
          <w:szCs w:val="24"/>
          <w:vertAlign w:val="superscript"/>
        </w:rPr>
        <w:t>[42]</w:t>
      </w:r>
      <w:r>
        <w:rPr>
          <w:rFonts w:hint="eastAsia" w:ascii="Times New Roman" w:hAnsi="Times New Roman"/>
          <w:color w:val="FF0000"/>
          <w:sz w:val="21"/>
          <w:szCs w:val="21"/>
          <w:lang w:val="en-US" w:eastAsia="zh-CN"/>
        </w:rPr>
        <w:fldChar w:fldCharType="end"/>
      </w:r>
      <w:r>
        <w:rPr>
          <w:rFonts w:hint="eastAsia" w:ascii="Times New Roman" w:hAnsi="Times New Roman"/>
          <w:color w:val="FF0000"/>
          <w:sz w:val="21"/>
          <w:szCs w:val="21"/>
          <w:lang w:val="en-US" w:eastAsia="zh-CN"/>
        </w:rPr>
        <w:t>。该9例患者中有6例因新辅助治疗后症状改善而主动放弃手术，提示仅凭“症状改善”即进入观察等待，长期生存结局可能因此受损。此外，手术患者中R0切除组4年估计OS率为75.9%，R1/2组仅为42.8%，因此器官保留策略的探索应以保障R0切除机会为底线，在减少过度手术的同时确保不降低R0切除机会和潜在治愈概率。</w:t>
      </w:r>
      <w:r>
        <w:rPr>
          <w:rFonts w:hint="eastAsia" w:ascii="Times New Roman" w:hAnsi="Times New Roman"/>
          <w:sz w:val="21"/>
          <w:szCs w:val="21"/>
          <w:lang w:val="en-US" w:eastAsia="zh-CN"/>
        </w:rPr>
        <w:t>另一项回顾性研究比较了诱导免疫联合化疗后“继续手术”与“改行放疗”两种路径，在未获主要病理缓解（non-MPR）的患者中，放疗组的无进展生存期（Progression-free survival, PFS）明显低于手术组，而在获得MPR的人群中，放疗在PFS与OS 上均获得与手术相近的生存结局</w:t>
      </w:r>
      <w:r>
        <w:rPr>
          <w:rFonts w:hint="eastAsia" w:ascii="Times New Roman" w:hAnsi="Times New Roman"/>
          <w:sz w:val="21"/>
          <w:szCs w:val="21"/>
          <w:lang w:val="en-US" w:eastAsia="zh-CN"/>
        </w:rPr>
        <w:fldChar w:fldCharType="begin"/>
      </w:r>
      <w:r>
        <w:rPr>
          <w:rFonts w:hint="eastAsia" w:ascii="Times New Roman" w:hAnsi="Times New Roman"/>
          <w:sz w:val="21"/>
          <w:szCs w:val="21"/>
          <w:lang w:val="en-US" w:eastAsia="zh-CN"/>
        </w:rPr>
        <w:instrText xml:space="preserve"> ADDIN ZOTERO_ITEM CSL_CITATION {"citationID":"ZzcL8NFc","properties":{"formattedCitation":"\\super [54]\\nosupersub{}","plainCitation":"[54]","noteIndex":0},"citationItems":[{"id":1617,"uris":["http://zotero.org/users/15831584/items/SZMDXYAV"],"itemData":{"id":1617,"type":"article-journal","abstract":"Abstract\n            \n              With the advancement of immunotherapy, neoadjuvant immunochemotherapy has emerged as an effective approach for treating locally advanced esophageal squamous cell carcinoma (LA‐ESCC). However, whether radiotherapy can serve as a reliable organ‐preserving alternative following induction immunochemotherapy (IICT), and which patient subgroups benefit most, remains uncertain. In this retrospective study, 388 patients with LA‐ESCC were analyzed, including 299 who underwent surgery and 89 who received radiotherapy after IICT. Responses to immunochemotherapy were classified as major pathologic response (MPR) or non‐MPR based on pathologic examination for surgical patients and a previously developed MPR predictive model for radiotherapy patients. Survival outcomes were assessed using the Kaplan–Meier method, while prognostic factors were evaluated through Cox regression analyses. Propensity score matching (PSM) was used to minimize confounding factors. Surgery was associated with better progression‐free survival (PFS) compared to radiotherapy (\n              p\n               = 0.002 before PSM;\n              p\n               = 0.017 after PSM), but no significant difference in overall survival (OS) was observed (\n              p\n               = 0.144 before PSM;\n              p\n               = 0.241 after PSM). Among MPR patients, radiotherapy achieved PFS and OS outcomes similar to surgery (PFS:\n              p\n               = 0.136; OS:\n              p\n               = 0.255) after PSM. Failure patterns differed, with local or regional recurrence being more common in the radiotherapy group, while distant metastasis was prevalent in surgery patients. Major postoperative complications occurred in 9.36% of surgery patients, and 11.2% of radiotherapy patients had grade 3–4 adverse events. These findings indicate that radiotherapy could be a safe and effective organ‐preserving alternative for LA‐ESCC patients, especially those achieving MPR, offering more personalized and less invasive treatment options while maintaining quality of life.","container-title":"International Journal of Cancer","DOI":"10.1002/ijc.35515","ISSN":"0020-7136, 1097-0215","issue":"8","journalAbbreviation":"Int. J. Cancer","language":"en","note":"5年影响因子: 5.9\nJCR分区: Q1\nTLDR: It is indicated that radiotherapy could be a safe and effective organ‐preserving alternative for LA‐ESCC patients, especially those achieving MPR, offering more personalized and less invasive treatment options while maintaining quality of life.\n中科院分区升级版: 医学2区\n南农高质量: A\n影响因子: 4.7","page":"1680-1693","PMID":"40557980","source":"PubMed","title":"Radiotherapy as an organ-preserving alternative to surgery in patients with locally advanced esophageal squamous cell carcinoma achieving major pathologic response after induction immunochemotherapy","volume":"157","author":[{"family":"Song","given":"Xin-Yun"},{"family":"Lin","given":"Lin"},{"family":"Yang","given":"Yang"},{"family":"Hu","given":"Hui-Hui"},{"family":"Li","given":"Hong-Xuan"},{"family":"Feng","given":"Wen"},{"family":"Zhang","given":"Qin"},{"family":"Cai","given":"Xu-Wei"},{"family":"Fu","given":"Xiao-Long"},{"family":"Li","given":"Zhi-Gang"},{"family":"Liu","given":"Jun"},{"family":"Yu","given":"Wen"}],"issued":{"date-parts":[["2025",10,15]]}}}],"schema":"https://github.com/citation-style-language/schema/raw/master/csl-citation.json"} </w:instrText>
      </w:r>
      <w:r>
        <w:rPr>
          <w:rFonts w:hint="eastAsia" w:ascii="Times New Roman" w:hAnsi="Times New Roman"/>
          <w:sz w:val="21"/>
          <w:szCs w:val="21"/>
          <w:lang w:val="en-US" w:eastAsia="zh-CN"/>
        </w:rPr>
        <w:fldChar w:fldCharType="separate"/>
      </w:r>
      <w:r>
        <w:rPr>
          <w:rFonts w:hint="default" w:ascii="Times New Roman" w:hAnsi="Times New Roman" w:cs="Times New Roman"/>
          <w:sz w:val="21"/>
          <w:szCs w:val="24"/>
          <w:vertAlign w:val="superscript"/>
        </w:rPr>
        <w:t>[54]</w:t>
      </w:r>
      <w:r>
        <w:rPr>
          <w:rFonts w:hint="eastAsia" w:ascii="Times New Roman" w:hAnsi="Times New Roman"/>
          <w:sz w:val="21"/>
          <w:szCs w:val="21"/>
          <w:lang w:val="en-US" w:eastAsia="zh-CN"/>
        </w:rPr>
        <w:fldChar w:fldCharType="end"/>
      </w:r>
      <w:r>
        <w:rPr>
          <w:rFonts w:hint="eastAsia" w:ascii="Times New Roman" w:hAnsi="Times New Roman"/>
          <w:sz w:val="21"/>
          <w:szCs w:val="21"/>
          <w:lang w:val="en-US" w:eastAsia="zh-CN"/>
        </w:rPr>
        <w:t>。这提示深度的病理应答可能是实施器官保留策略并确保其安全性的关键前提。值得指出的是，现有研究多以病理缓解和生存指标为主要终点，真正以生活质量、功能结局和长期食管功能保留为核心评价指标的数据较为缺乏。因此，在缺乏完善的随访与复评体系的前提下，器官保留策略虽显示一定可行性，但尚不宜在临床中作为常规推荐，仍需在多学科框架下综合考量患者年龄、手术耐受性及新辅助治疗不良反应等因素进行个体化、慎重决策。</w:t>
      </w:r>
    </w:p>
    <w:p w14:paraId="3D39AD34">
      <w:pPr>
        <w:pStyle w:val="4"/>
        <w:bidi w:val="0"/>
        <w:rPr>
          <w:rFonts w:hint="eastAsia" w:ascii="Times New Roman" w:hAnsi="Times New Roman" w:eastAsia="楷体" w:cs="楷体"/>
          <w:b w:val="0"/>
          <w:bCs/>
          <w:sz w:val="21"/>
          <w:szCs w:val="21"/>
          <w:lang w:val="en-US" w:eastAsia="zh-CN"/>
        </w:rPr>
      </w:pPr>
      <w:r>
        <w:rPr>
          <w:rFonts w:hint="eastAsia" w:ascii="Times New Roman" w:hAnsi="Times New Roman" w:eastAsia="楷体" w:cs="楷体"/>
          <w:b w:val="0"/>
          <w:bCs/>
          <w:sz w:val="21"/>
          <w:szCs w:val="21"/>
          <w:lang w:val="en-US" w:eastAsia="zh-CN"/>
        </w:rPr>
        <w:t>3.3手术时机选择</w:t>
      </w:r>
    </w:p>
    <w:p w14:paraId="69DDDAA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sz w:val="21"/>
          <w:szCs w:val="21"/>
          <w:lang w:val="en-US" w:eastAsia="zh-CN"/>
        </w:rPr>
      </w:pPr>
      <w:r>
        <w:rPr>
          <w:rFonts w:hint="eastAsia" w:ascii="Times New Roman" w:hAnsi="Times New Roman"/>
          <w:sz w:val="21"/>
          <w:szCs w:val="21"/>
          <w:lang w:val="en-US" w:eastAsia="zh-CN"/>
        </w:rPr>
        <w:t>目前多数NICT研究采用新辅助治疗结束后4-6周实施手术的策略，该时间窗主要源于既往NCRT研究的经验</w:t>
      </w:r>
      <w:r>
        <w:rPr>
          <w:rFonts w:hint="eastAsia" w:ascii="Times New Roman" w:hAnsi="Times New Roman"/>
          <w:sz w:val="21"/>
          <w:szCs w:val="21"/>
          <w:lang w:val="en-US" w:eastAsia="zh-CN"/>
        </w:rPr>
        <w:fldChar w:fldCharType="begin"/>
      </w:r>
      <w:r>
        <w:rPr>
          <w:rFonts w:hint="eastAsia" w:ascii="Times New Roman" w:hAnsi="Times New Roman"/>
          <w:sz w:val="21"/>
          <w:szCs w:val="21"/>
          <w:lang w:val="en-US" w:eastAsia="zh-CN"/>
        </w:rPr>
        <w:instrText xml:space="preserve"> ADDIN ZOTERO_ITEM CSL_CITATION {"citationID":"6dlNucSC","properties":{"formattedCitation":"\\super [7,8,55]\\nosupersub{}","plainCitation":"[7,8,55]","noteIndex":0},"citationItems":[{"id":1430,"uris":["http://zotero.org/users/15831584/items/F7LUHAQT"],"itemData":{"id":1430,"type":"article-journal","abstract":"BACKGROUND: Clinical benefit of neoadjuvant immunotherapy in resectable esophageal squamous cell carcinoma (ESCC). remains unclear. This study evaluated the efficacy and safety of the programmed death 1 (PD-1) inhibitor tislelizumab combined with chemotherapy as neoadjuvant therapy in patients with resectable ESCC.\nMETHODS: Treatment-naïve patients were enrolled and eligible patients received 3 cycles of neoadjuvant therapy with tislelizumab, carboplatin, and nab-paclitaxel. The primary endpoint was surgery patients major pathological response (MPR). Subgroup analysis was stratified by tumor downstaging, circumferential resection margin (CRM), PD-ligand 1 (PD-L1) expression, and tumor mutation burden (TMB). Safety was assessed by adverse events (AEs) and postoperative complications.\nRESULTS: Between September 2020 and March 2021, 45 patients were enrolled. Thirty-six (80.0%) of 45 patients underwent surgery, and 29 (80.5%) underwent successful R0 resection. MPR and pathological complete response (pCR) for surgery patients were 72.0% and 50.0%, respectively. Intention to treatment (ITT) patients MPR and PCR were 57.5% and 40%. Downgrading occurred in 75% of 36 patients. MPR and pCR were identified to be associated with tumor downstaging and CRM but not PD-L1 expression or TMB. TPS levels in MPR and pCR group were significantly higher than that in Non-MPR and Non-pCR group, respectively. Treatment-related AEs of grade 3-4 and immune-related AEs occurred in 42.2% and 22.2% of 45 patients, respectively, and postoperative complications occurred in 77.8% of 36 patients. No treatment-related surgical delay or death occurred. No associations between gene mutation and pathological efficacy were observed.\nCONCLUSIONS: Tislelizumab plus chemotherapy as neoadjuvant therapy demonstrates promising antitumor activity for resectable ESCC with high rates of MPR, pCR, and R0 resection, as well as acceptable tolerability.","container-title":"International Journal of Surgery","DOI":"10.1016/j.ijsu.2022.106680","ISSN":"17439191","journalAbbreviation":"Int. J. Surg.","language":"en","note":"5年影响因子: 10.4\nJCR分区: Q1\nTLDR: Tislelizumab plus chemotherapy as neoadjuvant therapy demonstrates promising antitumor activity for resectable ESCC with high rates of MPR, pCR, and R0 resection, as well as acceptable tolerability.\n中科院分区升级版: 医学2区\n影响因子: 10.3\n南农高质量: A","page":"106680","PMID":"35595021","source":"PubMed","title":"Tislelizumab combined with chemotherapy as neoadjuvant therapy for surgically resectable esophageal cancer: a prospective, single-arm, phase II study (TD-NICE)","title-short":"Tislelizumab combined with chemotherapy as neoadjuvant therapy for surgically resectable esophageal cancer","volume":"103","author":[{"family":"Yan","given":"Xiaolong"},{"family":"Duan","given":"Hongtao"},{"family":"Ni","given":"Yunfeng"},{"family":"Zhou","given":"Yongan"},{"family":"Wang","given":"Xiaoping"},{"family":"Qi","given":"Haini"},{"family":"Gong","given":"Li"},{"family":"Liu","given":"Honggang"},{"family":"Tian","given":"Feng"},{"family":"Lu","given":"Qiang"},{"family":"Sun","given":"Jianyong"},{"family":"Yang","given":"Ende"},{"family":"Zhong","given":"Daixing"},{"family":"Wang","given":"Tao"},{"family":"Huang","given":"Lijun"},{"family":"Wang","given":"Jian"},{"literal":"Chaoyang Wang"},{"family":"Wang","given":"Yuanyong"},{"family":"Wan","given":"Zhiyi"},{"family":"Lei","given":"Jie"},{"family":"Zhao","given":"Jinbo"},{"family":"Jiang","given":"Tao"}],"issued":{"date-parts":[["2022",7]]}}},{"id":1479,"uris":["http://zotero.org/users/15831584/items/V6GKLLM2"],"itemData":{"id":1479,"type":"article-journal","abstract":"Background\n              In this single-arm study, the efficacy and safety of neoadjuvant pembrolizumab plus chemotherapy were evaluated in patients with resectable esophageal squamous cell carcinoma (ESCC).\n            \n            \n              Methods\n              This study included patients with ESCC of clinical stages II–IVA who underwent surgery within 4 to 6 weeks after completing treatment with pembrolizumab (200 mg) combined with a conventional chemotherapy regimen (3 cycles). The safety and efficacy of this combination treatment were evaluated as primary endpoints of the study.\n            \n            \n              Results\n              \n                From April 2019 to August 2020, a total of 18 patients (including 14 men) were enrolled, of whom 13 patients progressed to surgery. Postoperative pathology revealed a major pathological response (MPR) in 9 cases (9/13, 69.2%) and a pathological complete response (pCR) in 6 cases (6/13, 46.2%). Five patients (5/18, 27.8%) experienced serious treatment-related adverse events (AEs) of grades 3–4. At the time of data cutoff (Mar 25, 2022), the shortest duration of follow-up was 17.8 months. Programmed death-ligand 1 (PD-L1) expression in pretreatment specimens was not significantly associated with the percentage of residual viable tumor (RVT) (r=−0.55, P=0.08). Changes in counts of CD68\n                +\n                macrophage between pre- and post-treatment specimens were weakly correlated with RVT (r=0.71; P=0.07), while a positive correlation was observed between postoperative forkhead box P3-positive (Foxp3)\n                +\n                T cells/CD4\n                +\n                Tcells ratios and RVT (r=0.84, P\n                =\n                0.03).\n              \n            \n            \n              Conclusions\n              The combination of neoadjuvant immunotherapy and chemotherapy for ESCC is associated with a high pathological response and immunologic effects in the tumor microenvironment (TME). It has acceptable toxicity and great efficacy, suggesting a strong rationale for its further evaluation in randomized clinical trials (RCTs).\n            \n            \n              Trial Registration\n              ChiCTR2100048917.","container-title":"Frontiers in Immunology","DOI":"10.3389/fimmu.2022.849984","ISSN":"1664-3224","journalAbbreviation":"Front. Immunol.","language":"en","note":"5年影响因子: 6.8\nJCR分区: Q1\nTLDR: The combination of neoadjuvant immunotherapy and chemotherapy for ESCC is associated with a high pathological response and immunologic effects in the tumor microenvironment (TME), suggesting a strong rationale for its further evaluation in randomized clinical trials (RCTs).\n中科院分区升级版: 医学2区\n南农高质量: A\n影响因子: 5.9","page":"849984","PMID":"35720388","PMCID":"PMC9202755","source":"PubMed Central","title":"Neoadjuvant pembrolizumab and chemotherapy in resectable esophageal cancer: an open-label, single-arm study (PEN-ICE)","title-short":"Neoadjuvant pembrolizumab and chemotherapy in resectable esophageal cancer","volume":"13","author":[{"family":"Duan","given":"Hongtao"},{"family":"Shao","given":"Changjian"},{"family":"Pan","given":"Minghong"},{"family":"Liu","given":"Honggang"},{"family":"Dong","given":"Xiaoping"},{"family":"Zhang","given":"Yong"},{"family":"Tong","given":"Liping"},{"family":"Feng","given":"Yingtong"},{"family":"Wang","given":"Yuanyuan"},{"family":"Wang","given":"Lu"},{"family":"Newman","given":"Neil B."},{"family":"Sarkaria","given":"Inderpal S."},{"family":"Reynolds","given":"John V."},{"family":"De Cobelli","given":"Francesco"},{"family":"Ma","given":"Zhiqiang"},{"family":"Jiang","given":"Tao"},{"family":"Yan","given":"Xiaolong"}],"issued":{"date-parts":[["2022",6,2]]}}},{"id":1624,"uris":["http://zotero.org/users/15831584/items/VKP6RQU4"],"itemData":{"id":1624,"type":"article-journal","abstract":"BACKGROUND: The optimal time to surgery (TTS) after neoadjuvant chemoradiotherapy (nCRT) for oesophageal cancer is unknown and has traditionally been 4-6 weeks in clinical practice. Observational studies have suggested better outcomes, especially in terms of histological response, after prolonged delay of up to 3 months after nCRT. The NeoRes II trial is the first randomised trial to compare standard to prolonged TTS after nCRT for oesophageal cancer.\nPATIENTS AND METHODS: Patients with resectable, locally advanced oesophageal cancer were randomly assigned to standard delay of surgery of 4-6 weeks or prolonged delay of 10-12 weeks after nCRT. The primary endpoint was complete histological response of the primary tumour in patients with adenocarcinoma (AC). Secondary endpoints included histological tumour response, resection margins, overall and progression-free survival in all patients and stratified by histologic type.\nRESULTS: Between February 2015 and March 2019, 249 patients from 10 participating centres in Sweden, Norway and Germany were randomised: 125 to standard and 124 to prolonged TTS. There was no significant difference in complete histological response between AC patients allocated to standard (21%) compared to prolonged (26%) TTS (P = 0.429). Tumour regression, resection margins and number of resected lymph nodes, total and metastatic, did not differ between the allocated interventions. The first quartile overall survival in patients allocated to standard TTS was 26.5 months compared to 14.2 months after prolonged TTS (P = 0.003) and the overall risk of death during follow-up was 35% higher after prolonged delay (hazard ratio 1.35, 95% confidence interval 0.94-1.95, P = 0.107).\nCONCLUSION: Prolonged TTS did not improve histological complete response or other pathological endpoints, while there was a strong trend towards worse survival, suggesting caution in routinely delaying surgery for &gt;6 weeks after nCRT.","container-title":"Annals of Oncology","DOI":"10.1016/j.annonc.2023.08.010","ISSN":"09237534","issue":"11","journalAbbreviation":"Ann. Oncol.","language":"en","note":"TLDR: Prolonged time to surgery did not improve histological complete response or other pathological endpoints, while there was a strong trend towards worse survival, suggesting caution in routinely delaying surgery for more than six weeks after nCRT.\nJCR分区: Q1\n中科院分区升级版: 医学1区\n影响因子: 65.4\n5年影响因子: 46.8\n南农高质量: A","page":"1015-1024","PMID":"37657554","source":"PubMed","title":"Oncological outcomes of standard versus prolonged time to surgery after neoadjuvant chemoradiotherapy for oesophageal cancer in the multicentre, randomised, controlled NeoRes II trial","volume":"34","author":[{"family":"Nilsson","given":"K."},{"family":"Klevebro","given":"F."},{"family":"Sunde","given":"B."},{"family":"Rouvelas","given":"I."},{"family":"Lindblad","given":"M."},{"family":"Szabo","given":"E."},{"family":"Halldestam","given":"I."},{"family":"Smedh","given":"U."},{"family":"Wallner","given":"B."},{"family":"Johansson","given":"J."},{"family":"Johnsen","given":"G."},{"family":"Aahlin","given":"E.K."},{"family":"Johannessen","given":"H.-O."},{"family":"Alexandersson Von Döbeln","given":"G."},{"family":"Hjortland","given":"G.O."},{"family":"Wang","given":"N."},{"family":"Shang","given":"Y."},{"family":"Borg","given":"D."},{"family":"Quaas","given":"A."},{"family":"Bartella","given":"I."},{"family":"Bruns","given":"C."},{"family":"Schröder","given":"W."},{"family":"Nilsson","given":"M."}],"issued":{"date-parts":[["2023",11]]}}}],"schema":"https://github.com/citation-style-language/schema/raw/master/csl-citation.json"} </w:instrText>
      </w:r>
      <w:r>
        <w:rPr>
          <w:rFonts w:hint="eastAsia" w:ascii="Times New Roman" w:hAnsi="Times New Roman"/>
          <w:sz w:val="21"/>
          <w:szCs w:val="21"/>
          <w:lang w:val="en-US" w:eastAsia="zh-CN"/>
        </w:rPr>
        <w:fldChar w:fldCharType="separate"/>
      </w:r>
      <w:r>
        <w:rPr>
          <w:rFonts w:hint="default" w:ascii="Times New Roman" w:hAnsi="Times New Roman" w:cs="Times New Roman"/>
          <w:sz w:val="21"/>
          <w:szCs w:val="24"/>
          <w:vertAlign w:val="superscript"/>
        </w:rPr>
        <w:t>[7,8,55]</w:t>
      </w:r>
      <w:r>
        <w:rPr>
          <w:rFonts w:hint="eastAsia" w:ascii="Times New Roman" w:hAnsi="Times New Roman"/>
          <w:sz w:val="21"/>
          <w:szCs w:val="21"/>
          <w:lang w:val="en-US" w:eastAsia="zh-CN"/>
        </w:rPr>
        <w:fldChar w:fldCharType="end"/>
      </w:r>
      <w:r>
        <w:rPr>
          <w:rFonts w:hint="eastAsia" w:ascii="Times New Roman" w:hAnsi="Times New Roman"/>
          <w:sz w:val="21"/>
          <w:szCs w:val="21"/>
          <w:lang w:val="en-US" w:eastAsia="zh-CN"/>
        </w:rPr>
        <w:t>。然而NICT与放化疗在抗肿瘤机制方面存在本质差异，治疗结束至手术的时间间隔（Time to surgery, TTS）的最佳时机尚缺乏前瞻性证据支持。一项真实世界研究显示，延长TTS并未进一步提高病理缓解，反而与较差的DFS独立相关</w:t>
      </w:r>
      <w:r>
        <w:rPr>
          <w:rFonts w:hint="eastAsia" w:ascii="Times New Roman" w:hAnsi="Times New Roman"/>
          <w:sz w:val="21"/>
          <w:szCs w:val="21"/>
          <w:lang w:val="en-US" w:eastAsia="zh-CN"/>
        </w:rPr>
        <w:fldChar w:fldCharType="begin"/>
      </w:r>
      <w:r>
        <w:rPr>
          <w:rFonts w:hint="eastAsia" w:ascii="Times New Roman" w:hAnsi="Times New Roman"/>
          <w:sz w:val="21"/>
          <w:szCs w:val="21"/>
          <w:lang w:val="en-US" w:eastAsia="zh-CN"/>
        </w:rPr>
        <w:instrText xml:space="preserve"> ADDIN ZOTERO_ITEM CSL_CITATION {"citationID":"KNRvEJCu","properties":{"formattedCitation":"\\super [56]\\nosupersub{}","plainCitation":"[56]","noteIndex":0},"citationItems":[{"id":1632,"uris":["http://zotero.org/users/15831584/items/ILPTD3B6"],"itemData":{"id":1632,"type":"article-journal","abstract":"The time interval between neoadjuvant immunotherapy and surgery is 6 weeks for esophageal squamous cell carcinoma (ESCC), but whether delayed surgery affects prognosis remains unclear.","container-title":"Cancer Immunology, Immunotherapy","DOI":"10.1007/s00262-024-03787-2","ISSN":"1432-0851","issue":"10","journalAbbreviation":"Cancer Immunol., Immunother.","language":"en","note":"5年影响因子: 5.4\nJCR分区: Q1\nTLDR: Patients with a favorable response to immunotherapy who underwent neoadjuvant immunotherapy followed by esophagectomy who underwent delayed surgery increased the risk of mortality and recurrence and exhibited inferior 3-year OS and DFS.\n中科院分区升级版: 医学3区\n影响因子: 5.1","page":"202-214","source":"Springer Link","title":"Impact of the interval between neoadjuvant immunotherapy and surgery on prognosis in esophageal squamous cell carcinoma (ESCC): a real-world study","title-short":"Impact of the interval between neoadjuvant immunotherapy and surgery on prognosis in esophageal squamous cell carcinoma (ESCC)","volume":"73","author":[{"family":"Yang","given":"Guozhen"},{"family":"Hong","given":"Yutong"},{"family":"Zhang","given":"Xiaomin"},{"family":"Zeng","given":"Chufeng"},{"family":"Tan","given":"Linyu"},{"family":"Zhang","given":"Xu"}],"issued":{"date-parts":[["2024",8,6]]}}}],"schema":"https://github.com/citation-style-language/schema/raw/master/csl-citation.json"} </w:instrText>
      </w:r>
      <w:r>
        <w:rPr>
          <w:rFonts w:hint="eastAsia" w:ascii="Times New Roman" w:hAnsi="Times New Roman"/>
          <w:sz w:val="21"/>
          <w:szCs w:val="21"/>
          <w:lang w:val="en-US" w:eastAsia="zh-CN"/>
        </w:rPr>
        <w:fldChar w:fldCharType="separate"/>
      </w:r>
      <w:r>
        <w:rPr>
          <w:rFonts w:hint="default" w:ascii="Times New Roman" w:hAnsi="Times New Roman" w:cs="Times New Roman"/>
          <w:sz w:val="21"/>
          <w:szCs w:val="24"/>
          <w:vertAlign w:val="superscript"/>
        </w:rPr>
        <w:t>[56]</w:t>
      </w:r>
      <w:r>
        <w:rPr>
          <w:rFonts w:hint="eastAsia" w:ascii="Times New Roman" w:hAnsi="Times New Roman"/>
          <w:sz w:val="21"/>
          <w:szCs w:val="21"/>
          <w:lang w:val="en-US" w:eastAsia="zh-CN"/>
        </w:rPr>
        <w:fldChar w:fldCharType="end"/>
      </w:r>
      <w:r>
        <w:rPr>
          <w:rFonts w:hint="eastAsia" w:ascii="Times New Roman" w:hAnsi="Times New Roman"/>
          <w:sz w:val="21"/>
          <w:szCs w:val="21"/>
          <w:lang w:val="en-US" w:eastAsia="zh-CN"/>
        </w:rPr>
        <w:t>。</w:t>
      </w:r>
      <w:r>
        <w:rPr>
          <w:rFonts w:hint="eastAsia" w:ascii="Times New Roman" w:hAnsi="Times New Roman"/>
          <w:color w:val="FF0000"/>
          <w:sz w:val="21"/>
          <w:szCs w:val="21"/>
          <w:lang w:val="en-US" w:eastAsia="zh-CN"/>
        </w:rPr>
        <w:t>另一项卡瑞利珠单抗联合化疗的研究同样发现，TTS≤8周与TTS＞8周患者的R0切除率及pCR率相近，但前者的生存预后明显占优，中位DFS达24个月、中位OS达36个月，而后者仅为15个月和24个月</w:t>
      </w:r>
      <w:r>
        <w:rPr>
          <w:rFonts w:hint="eastAsia" w:ascii="Times New Roman" w:hAnsi="Times New Roman"/>
          <w:color w:val="FF0000"/>
          <w:sz w:val="21"/>
          <w:szCs w:val="21"/>
          <w:lang w:val="en-US" w:eastAsia="zh-CN"/>
        </w:rPr>
        <w:fldChar w:fldCharType="begin"/>
      </w:r>
      <w:r>
        <w:rPr>
          <w:rFonts w:hint="eastAsia" w:ascii="Times New Roman" w:hAnsi="Times New Roman"/>
          <w:color w:val="FF0000"/>
          <w:sz w:val="21"/>
          <w:szCs w:val="21"/>
          <w:lang w:val="en-US" w:eastAsia="zh-CN"/>
        </w:rPr>
        <w:instrText xml:space="preserve"> ADDIN ZOTERO_ITEM CSL_CITATION {"citationID":"XZqSqVsW","properties":{"formattedCitation":"\\super [57]\\nosupersub{}","plainCitation":"[57]","noteIndex":0},"citationItems":[{"id":1627,"uris":["http://zotero.org/users/15831584/items/HBAB8S6X"],"itemData":{"id":1627,"type":"article-journal","abstract":"Abstract\n            \n              Background\n              There is currently no consensus on the optimal interval time between neoadjuvant therapy and surgery, and whether prolonged time interval from neoadjuvant therapy to surgery results in bad outcomes for locally advanced esophageal squamous cell carcinoma (ESCC). In this study, we aim to evaluate outcomes of time intervals ≤ 8 weeks and &gt; 8 weeks in locally advanced ESCC.\n            \n            \n              Methods\n              This retrospective study consecutively included ESCC patients who received esophagectomy after neoadjuvant camrelizumab combined with chemotherapy at the Department of Thoracic Surgery, the First Affiliated Hospital, Zhejiang University School of Medicine. The primary endpoints were disease-free survival (DFS) and overall survival (OS), while the secondary endpoints were pathological response, surgical outcomes, and postoperative complications.\n            \n            \n              Results\n              \n                From 2019 to 2021, a total of 80 patients were included in our study and were divided into two groups according to the time interval from neoadjuvant immunochemotherapy to surgery: ≤ 8 weeks group (\n                n\n                 = 44) and &gt; 8 weeks group (\n                n\n                 = 36). The rate of MPR in the ≤ 8 weeks group was 25.0% and 27.8% in the &gt; 8 weeks group (\n                P\n                 = 0.779). The rate of pCR in the ≤ 8 weeks group was 11.4%, with 16.7% in the &gt; 8 weeks group (\n                P\n                 = 0.493). The incidence of postoperative complications in the ≤ 8 weeks group was 27.3% and 19.4% in the &gt; 8 weeks group (\n                P\n                 = 0.413). The median DFS in the two groups had not yet reached (hazard ratio [HR], 3.153; 95% confidence interval [CI] 1.383 to 6.851;\n                P\n                 = 0.004). The median OS of ≤ 8 weeks group was not achieved (HR, 3.703; 95% CI 1.584 to 8.657;\n                P\n                 = 0.0012), with the &gt; 8 weeks group 31.6 months (95% CI 21.1 to 42.1). In multivariable analysis, inferior DFS and OS were observed in patients with interval time &gt; 8 weeks (HR, 2.992; 95% CI 1.306 to 6.851; and HR, 3.478; 95% CI 1.481 to 8.170, respectively).\n              \n            \n            \n              Conclusions\n              Locally advanced ESCC patients with time interval from neoadjuvant camrelizumab combined with chemotherapy to surgery &gt; 8 weeks were associated with worse long-term survival.","container-title":"Journal of Cancer Research and Clinical Oncology","DOI":"10.1007/s00432-024-05696-4","ISSN":"1432-1335","issue":"3","journalAbbreviation":"J. Cancer Res. Clin. Oncol.","language":"en","note":"5年影响因子: 3.1\nJCR分区: Q2\nTLDR: Locally advanced ESCC patients with time interval from neoadjuvant camrelizumab combined with chemotherapy to surgery &gt; 8 weeks were associated with worse long-term survival and inferior DFS and OS were observed in patients with interval time.\n中科院分区升级版: 医学4区\n南农高质量: B\n影响因子: 2.8","page":"161-172","source":"Springer Link","title":"Does the time interval from neoadjuvant camrelizumab combined with chemotherapy to surgery affect outcomes for locally advanced esophageal squamous cell carcinoma?","volume":"150","author":[{"family":"Liu","given":"Jiacong"},{"family":"Zhu","given":"Linhai"},{"family":"Huang","given":"Xuhua"},{"family":"Lu","given":"Zhongjie"},{"family":"Wang","given":"Yanye"},{"family":"Yang","given":"Yuhong"},{"family":"Ye","given":"Jiayue"},{"family":"Gu","given":"Chen"},{"family":"Lv","given":"Wang"},{"family":"Zhang","given":"Chong"},{"family":"Hu","given":"Jian"}],"issued":{"date-parts":[["2024",3,27]]}}}],"schema":"https://github.com/citation-style-language/schema/raw/master/csl-citation.json"} </w:instrText>
      </w:r>
      <w:r>
        <w:rPr>
          <w:rFonts w:hint="eastAsia" w:ascii="Times New Roman" w:hAnsi="Times New Roman"/>
          <w:color w:val="FF0000"/>
          <w:sz w:val="21"/>
          <w:szCs w:val="21"/>
          <w:lang w:val="en-US" w:eastAsia="zh-CN"/>
        </w:rPr>
        <w:fldChar w:fldCharType="separate"/>
      </w:r>
      <w:r>
        <w:rPr>
          <w:rFonts w:hint="default" w:ascii="Times New Roman" w:hAnsi="Times New Roman" w:cs="Times New Roman"/>
          <w:color w:val="FF0000"/>
          <w:sz w:val="21"/>
          <w:szCs w:val="24"/>
          <w:vertAlign w:val="superscript"/>
        </w:rPr>
        <w:t>[57]</w:t>
      </w:r>
      <w:r>
        <w:rPr>
          <w:rFonts w:hint="eastAsia" w:ascii="Times New Roman" w:hAnsi="Times New Roman"/>
          <w:color w:val="FF0000"/>
          <w:sz w:val="21"/>
          <w:szCs w:val="21"/>
          <w:lang w:val="en-US" w:eastAsia="zh-CN"/>
        </w:rPr>
        <w:fldChar w:fldCharType="end"/>
      </w:r>
      <w:r>
        <w:rPr>
          <w:rFonts w:hint="eastAsia" w:ascii="Times New Roman" w:hAnsi="Times New Roman"/>
          <w:color w:val="FF0000"/>
          <w:sz w:val="21"/>
          <w:szCs w:val="21"/>
          <w:lang w:val="en-US" w:eastAsia="zh-CN"/>
        </w:rPr>
        <w:t>。表明在NICT背景下，手术时机的选择可能对患者的长期预后产生关键影响。</w:t>
      </w:r>
      <w:r>
        <w:rPr>
          <w:rFonts w:hint="eastAsia" w:ascii="Times New Roman" w:hAnsi="Times New Roman"/>
          <w:sz w:val="21"/>
          <w:szCs w:val="21"/>
          <w:lang w:val="en-US" w:eastAsia="zh-CN"/>
        </w:rPr>
        <w:t>与之相反，有研究报道TTS＞8周组pCR率更高，长期生存也更优</w:t>
      </w:r>
      <w:r>
        <w:rPr>
          <w:rFonts w:hint="eastAsia" w:ascii="Times New Roman" w:hAnsi="Times New Roman"/>
          <w:sz w:val="21"/>
          <w:szCs w:val="21"/>
          <w:lang w:val="en-US" w:eastAsia="zh-CN"/>
        </w:rPr>
        <w:fldChar w:fldCharType="begin"/>
      </w:r>
      <w:r>
        <w:rPr>
          <w:rFonts w:hint="eastAsia" w:ascii="Times New Roman" w:hAnsi="Times New Roman"/>
          <w:sz w:val="21"/>
          <w:szCs w:val="21"/>
          <w:lang w:val="en-US" w:eastAsia="zh-CN"/>
        </w:rPr>
        <w:instrText xml:space="preserve"> ADDIN ZOTERO_ITEM CSL_CITATION {"citationID":"MDyrxPRM","properties":{"formattedCitation":"\\super [58]\\nosupersub{}","plainCitation":"[58]","noteIndex":0},"citationItems":[{"id":1630,"uris":["http://zotero.org/users/15831584/items/Y4ASRHX7"],"itemData":{"id":1630,"type":"article-journal","abstract":"Abstract\n            \n              OBJECTIVES\n              While neoadjuvant immunotherapy combined with chemotherapy (NICT) has demonstrated promising efficacy in oesophageal squamous cell carcinoma (ESCC), the optimal interval between NICT and surgery remains undefined. This study aims to investigate the impact of this interval on pathological response and survival in ESCC patients.\n            \n            \n              METHODS\n              Totally, 254 patients with locally advanced ESCC who underwent surgical resection following NICT between September 2020 and January 2024 were retrospectively analysed. Based on the time interval from NICT completion to surgery (TTS), patients were stratified into 2 cohorts: within 8 weeks and exceeding 8 weeks. The association between the TTS and postoperative outcomes and long-term prognosis was evaluated.\n            \n            \n              RESULTS\n              A total of 254 patients were included in the study: 124 patients underwent surgery within 8 weeks after NICT, while 130 patients had surgery over 8 weeks. Among the patients who underwent surgery over 8 weeks, 31 patients (23.8%) achieved pathological complete response (pCR) and 14 patients (11.3%) who underwent surgery within 8 weeks achieved pCR (P = .009). Long-term survival analysis demonstrated that patients who underwent surgery over 8 weeks had significantly better overall survival (OS) (HR, 0.433; 95% CI, 0.233-0.806; P = .008) and disease-free survival (DFS) (HR, 0.451, 95% CI, 0.272-0.748; P = .002) compared to those who had surgery within 8 weeks.\n            \n            \n              CONCLUSIONS\n              A prolonged surgical interval exceeding 8 weeks following NICT is significantly associated with an increased rate of pCR. Furthermore, delayed surgical intervention beyond the 8-week threshold demonstrates a potential survival benefit in patients with locally advanced ESCC.","container-title":"European Journal of Cardio-Thoracic Surgery","DOI":"10.1093/ejcts/ezaf316","ISSN":"1010-7940, 1873-734X","issue":"10","journalAbbreviation":"Eur. J. Cardiothorac. Surg.","language":"en","note":"TLDR: A prolonged surgical interval exceeding 8 weeks following NICT is significantly associated with an increased rate of pCR, and delayed surgical intervention beyond the 8-week threshold demonstrates a potential survival benefit in patients with locally advanced ESCC.\nJCR分区: Q1\n中科院分区升级版: 医学2区\n影响因子: 3.0\n5年影响因子: 3.4\n南农高质量: A","page":"ezaf316","PMID":"40985728","source":"PubMed","title":"The efficacy of time interval between neoadjuvant chemoimmunotherapy and surgery on outcomes in oesophageal squamous cell carcinoma","volume":"67","author":[{"family":"Fang","given":"Pinhao"},{"family":"Xiao","given":"Xin"},{"family":"Zhou","given":"Jianfeng"},{"family":"Mao","given":"Chengyi"},{"family":"Yang","given":"Yushang"},{"family":"Luan","given":"Siyuan"},{"family":"Li","given":"Xiaokun"},{"family":"Liang","given":"Zhiwen"},{"family":"Zhang","given":"Hanlu"},{"family":"Yuan","given":"Yong"}],"issued":{"date-parts":[["2025",10,2]]}}}],"schema":"https://github.com/citation-style-language/schema/raw/master/csl-citation.json"} </w:instrText>
      </w:r>
      <w:r>
        <w:rPr>
          <w:rFonts w:hint="eastAsia" w:ascii="Times New Roman" w:hAnsi="Times New Roman"/>
          <w:sz w:val="21"/>
          <w:szCs w:val="21"/>
          <w:lang w:val="en-US" w:eastAsia="zh-CN"/>
        </w:rPr>
        <w:fldChar w:fldCharType="separate"/>
      </w:r>
      <w:r>
        <w:rPr>
          <w:rFonts w:hint="default" w:ascii="Times New Roman" w:hAnsi="Times New Roman" w:cs="Times New Roman"/>
          <w:sz w:val="21"/>
          <w:szCs w:val="24"/>
          <w:vertAlign w:val="superscript"/>
        </w:rPr>
        <w:t>[58]</w:t>
      </w:r>
      <w:r>
        <w:rPr>
          <w:rFonts w:hint="eastAsia" w:ascii="Times New Roman" w:hAnsi="Times New Roman"/>
          <w:sz w:val="21"/>
          <w:szCs w:val="21"/>
          <w:lang w:val="en-US" w:eastAsia="zh-CN"/>
        </w:rPr>
        <w:fldChar w:fldCharType="end"/>
      </w:r>
      <w:r>
        <w:rPr>
          <w:rFonts w:hint="eastAsia" w:ascii="Times New Roman" w:hAnsi="Times New Roman"/>
          <w:sz w:val="21"/>
          <w:szCs w:val="21"/>
          <w:lang w:val="en-US" w:eastAsia="zh-CN"/>
        </w:rPr>
        <w:t>。指南层面，CSCO建议新辅助放化疗后4-8周、单纯化疗后3-6周实施根治性切除，但目前尚无针对NICT方案后TTS的明确推荐。TTS延长本身常受患者基线状态、应答速度及不良反应恢复时间等多重因素影响，难以通过单一时间截点来解释其对预后的真实作用。鉴于尚无充分证据支持通过刻意延长TTS来换取更高的病理缓解率或额外生存获益，盲目推迟手术反而可能增加疾病进展风险。</w:t>
      </w:r>
    </w:p>
    <w:p w14:paraId="2A418BC6">
      <w:pPr>
        <w:pStyle w:val="4"/>
        <w:bidi w:val="0"/>
        <w:rPr>
          <w:rFonts w:hint="eastAsia" w:ascii="Times New Roman" w:hAnsi="Times New Roman" w:eastAsia="楷体" w:cs="楷体"/>
          <w:b w:val="0"/>
          <w:bCs/>
          <w:sz w:val="21"/>
          <w:szCs w:val="21"/>
          <w:lang w:val="en-US" w:eastAsia="zh-CN"/>
        </w:rPr>
      </w:pPr>
      <w:r>
        <w:rPr>
          <w:rFonts w:hint="eastAsia" w:ascii="Times New Roman" w:hAnsi="Times New Roman" w:eastAsia="楷体" w:cs="楷体"/>
          <w:b w:val="0"/>
          <w:bCs/>
          <w:sz w:val="21"/>
          <w:szCs w:val="21"/>
          <w:lang w:val="en-US" w:eastAsia="zh-CN"/>
        </w:rPr>
        <w:t>3.4术后辅助治疗策略</w:t>
      </w:r>
    </w:p>
    <w:p w14:paraId="481E458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sz w:val="21"/>
          <w:szCs w:val="21"/>
          <w:lang w:val="en-US" w:eastAsia="zh-CN"/>
        </w:rPr>
      </w:pPr>
      <w:r>
        <w:rPr>
          <w:rFonts w:hint="eastAsia" w:ascii="Times New Roman" w:hAnsi="Times New Roman"/>
          <w:sz w:val="21"/>
          <w:szCs w:val="21"/>
          <w:lang w:val="en-US" w:eastAsia="zh-CN"/>
        </w:rPr>
        <w:t>CheckMate 577研究已证实，对于接受NCRT并行R0切除但存在残余病灶的高复发风险食管癌患者，辅助免疫治疗可显著延长DFS，且安全性良好</w:t>
      </w:r>
      <w:r>
        <w:rPr>
          <w:rFonts w:hint="eastAsia" w:ascii="Times New Roman" w:hAnsi="Times New Roman"/>
          <w:sz w:val="21"/>
          <w:szCs w:val="21"/>
          <w:lang w:val="en-US" w:eastAsia="zh-CN"/>
        </w:rPr>
        <w:fldChar w:fldCharType="begin"/>
      </w:r>
      <w:r>
        <w:rPr>
          <w:rFonts w:hint="eastAsia" w:ascii="Times New Roman" w:hAnsi="Times New Roman"/>
          <w:sz w:val="21"/>
          <w:szCs w:val="21"/>
          <w:lang w:val="en-US" w:eastAsia="zh-CN"/>
        </w:rPr>
        <w:instrText xml:space="preserve"> ADDIN ZOTERO_ITEM CSL_CITATION {"citationID":"v9lzrFci","properties":{"formattedCitation":"\\super [59]\\nosupersub{}","plainCitation":"[59]","noteIndex":0},"citationItems":[{"id":1635,"uris":["http://zotero.org/users/15831584/items/R6E8MNHP"],"itemData":{"id":1635,"type":"article-journal","abstract":"Among patients with resected esophageal or gastroesophageal junction cancer who had received neoadjuvant chemoradiotherapy, disease-free survival was significantly longer among those who received nivolumab adjuvant therapy than among those who received placebo. (Funded by Bristol Myers Squibb and On …","container-title":"New England Journal of Medicine","DOI":"10.1056/NEJMoa2032125","ISSN":"0028-4793, 1533-4406","issue":"13","journalAbbreviation":"N. Engl. J. Med.","language":"en","note":"5年影响因子: 84.9\nJCR分区: Q1\nTLDR: CheckMate 577, a global, randomized, double-blind, placebo-controlled phase 3 trial to evaluate a checkpoint inhibitor as adjuvant therapy in patients with esophageal or gastroesophageAl junction cancer, found disease-free survival favored nivolumab across multiple prespecified subgroups.\n中科院分区升级版: 医学1区\n南农高质量: A\n影响因子: 78.5","page":"1191-1203","PMID":"33789008","publisher":"N Engl J Med","source":"ums.xjmu.edu.cn","title":"Adjuvant nivolumab in resected esophageal or gastroesophageal junction cancer","volume":"384","author":[{"family":"Kelly","given":"Ronan J."},{"family":"Ajani","given":"Jaffer A."},{"family":"Kuzdzal","given":"Jaroslaw"},{"family":"Zander","given":"Thomas"},{"family":"Van Cutsem","given":"Eric"},{"family":"Piessen","given":"Guillaume"},{"family":"Mendez","given":"Guillermo"},{"family":"Feliciano","given":"Josephine"},{"family":"Motoyama","given":"Satoru"},{"family":"Lièvre","given":"Astrid"},{"family":"Uronis","given":"Hope"},{"family":"Elimova","given":"Elena"},{"family":"Grootscholten","given":"Cecile"},{"family":"Geboes","given":"Karen"},{"family":"Zafar","given":"Syed"},{"family":"Snow","given":"Stephanie"},{"family":"Ko","given":"Andrew H."},{"family":"Feeney","given":"Kynan"},{"family":"Schenker","given":"Michael"},{"family":"Kocon","given":"Piotr"},{"family":"Zhang","given":"Jenny"},{"family":"Zhu","given":"Lili"},{"family":"Lei","given":"Ming"},{"family":"Singh","given":"Prianka"},{"family":"Kondo","given":"Kaoru"},{"family":"Cleary","given":"James M."},{"family":"Moehler","given":"Markus"}],"issued":{"date-parts":[["2021",4]]}}}],"schema":"https://github.com/citation-style-language/schema/raw/master/csl-citation.json"} </w:instrText>
      </w:r>
      <w:r>
        <w:rPr>
          <w:rFonts w:hint="eastAsia" w:ascii="Times New Roman" w:hAnsi="Times New Roman"/>
          <w:sz w:val="21"/>
          <w:szCs w:val="21"/>
          <w:lang w:val="en-US" w:eastAsia="zh-CN"/>
        </w:rPr>
        <w:fldChar w:fldCharType="separate"/>
      </w:r>
      <w:r>
        <w:rPr>
          <w:rFonts w:hint="default" w:ascii="Times New Roman" w:hAnsi="Times New Roman" w:cs="Times New Roman"/>
          <w:sz w:val="21"/>
          <w:szCs w:val="24"/>
          <w:vertAlign w:val="superscript"/>
        </w:rPr>
        <w:t>[59]</w:t>
      </w:r>
      <w:r>
        <w:rPr>
          <w:rFonts w:hint="eastAsia" w:ascii="Times New Roman" w:hAnsi="Times New Roman"/>
          <w:sz w:val="21"/>
          <w:szCs w:val="21"/>
          <w:lang w:val="en-US" w:eastAsia="zh-CN"/>
        </w:rPr>
        <w:fldChar w:fldCharType="end"/>
      </w:r>
      <w:r>
        <w:rPr>
          <w:rFonts w:hint="eastAsia" w:ascii="Times New Roman" w:hAnsi="Times New Roman"/>
          <w:sz w:val="21"/>
          <w:szCs w:val="21"/>
          <w:lang w:val="en-US" w:eastAsia="zh-CN"/>
        </w:rPr>
        <w:t>。在NICT模式下，多项回顾性研究表明，尽管全人群水平上未显示术后辅助免疫治疗能带来明显生存改善，但在新辅助后存在残余病灶的高危人群中，延续免疫治疗显示出潜在的生存获益</w:t>
      </w:r>
      <w:r>
        <w:rPr>
          <w:rFonts w:hint="eastAsia" w:ascii="Times New Roman" w:hAnsi="Times New Roman"/>
          <w:sz w:val="21"/>
          <w:szCs w:val="21"/>
          <w:lang w:val="en-US" w:eastAsia="zh-CN"/>
        </w:rPr>
        <w:fldChar w:fldCharType="begin"/>
      </w:r>
      <w:r>
        <w:rPr>
          <w:rFonts w:hint="eastAsia" w:ascii="Times New Roman" w:hAnsi="Times New Roman"/>
          <w:sz w:val="21"/>
          <w:szCs w:val="21"/>
          <w:lang w:val="en-US" w:eastAsia="zh-CN"/>
        </w:rPr>
        <w:instrText xml:space="preserve"> ADDIN ZOTERO_ITEM CSL_CITATION {"citationID":"4FqIeYCI","properties":{"formattedCitation":"\\super [60,61]\\nosupersub{}","plainCitation":"[60,61]","noteIndex":0},"citationItems":[{"id":1641,"uris":["http://zotero.org/users/15831584/items/Y2IPZFQ6"],"itemData":{"id":1641,"type":"article-journal","abstract":"BACKGROUND: Although adjuvant immunotherapy demonstrated an improvement in disease-free survival (DFS) within the chemoradiotherapy cohort of the CheckMate 577 trial, its efficacy and role following NCIT remain to be elucidated. This large-sample, multicenter, real-world study aims to assess survival benefits of adjuvant immunotherapy in esophageal squamous cell carcinoma (ESCC) patients treated with neoadjuvant chemoimmunotherapy (NCIT) followed by R0 resection.\nMETHODS: This multicenter retrospective study (8 centers, Jan 2019-Mar 2023) included 724 ESCC patients undergoing NCIT and R0 resection. Propensity score matching (PSM) balanced 262 patients per group: NCIT + Surgery (NCIT + S) vs. NCIT + Surgery + adjuvant immunotherapy (NCIT + S + ICI). Primary endpoints were 2-year overall survival (OS) and DFS; secondary endpoints included recurrence patterns.\nFINDINGS: Median follow-up: 31.2 months (IQR 24.0-39.9). Post-PSM analysis showed no significant OS benefit (2-year OS: 80.0% vs. 84.5%, HR = 1.15, 95% CI:0.78-1.70, p = 0.12) or DFS improvement (77.7% vs. 72.6%, HR = 0.97, 95% CI:0.69-1.37, p = 0.69) for NCIT + S vs. NCIT + S + ICI. Adjuvant immunotherapy was not independently protective for OS (HR = 0.87, p = 0.48) or DFS (HR = 1.03, p = 0.87). However, subgroup analyses revealed OS benefits in Non-MPR patients (63.9% vs. 81.7%, HR = 1.78, 95% CI:1.05-3.03, p = 0.035) and Non-pCR patients (74.9% vs. 84.3%, HR = 1.39, 95% CI:1.19-2.10, p = 0.031). Recurrence rates did not differ (local:15.3% vs.20.2%, p = 0.50; distant:16.8% vs.21.6%, p = 0.17).\nINTERPRETATION: Adjuvant immunotherapy provided no survival benefit in the overall NCIT-treated ESCC cohort but improved OS in patients with residual tumor (Non-MPR/Non-pCR). Further studies are warranted to refine patient selection for adjuvant immunotherapy in this setting.","container-title":"International Journal of Surgery (london, England)","DOI":"10.1097/JS9.0000000000003546","ISSN":"1743-9159","journalAbbreviation":"Int. J. Surg. (lond. Engl.)","language":"en","note":"5年影响因子: 10.4\nJCR分区: Q1\nTLDR: Adjuvant immunotherapy provided no survival benefit in the overall NCIT-treated ESCC cohort but improved OS in patients with residual tumor (Non-MPR/Non-pCR) but improved OS in patients with residual tumor (Non-MPR/Non-pCR).\n中科院分区升级版: 医学2区\n影响因子: 10.3","PMID":"40990502","source":"PubMed","title":"Adjuvant immunotherapy for esophageal squamous cell carcinoma after neoadjuvant chemoimmunotherapy: a multicenter real-world study","title-short":"Adjuvant immunotherapy for esophageal squamous cell carcinoma after neoadjuvant chemoimmunotherapy","author":[{"family":"Chen","given":"Chunji"},{"family":"Tian","given":"Ziqiang"},{"family":"Lin","given":"Jiangbo"},{"family":"Leng","given":"Xuefeng"},{"family":"Shen","given":"Jianfei"},{"family":"Zhao","given":"Jinbo"},{"family":"Lv","given":"Huilai"},{"family":"Wang","given":"Changchun"},{"family":"Mei","given":"Xinyu"},{"family":"Han","given":"Yongtao"},{"family":"Wang","given":"Qifeng"},{"family":"Lv","given":"Jiahua"},{"family":"Chen","given":"Hainan"},{"family":"Yan","given":"Xiaolong"},{"family":"Liu","given":"Zhichao"},{"family":"Zhang","given":"Zhengyang"},{"family":"Zhong","given":"Qihong"},{"family":"Jiang","given":"Youhua"},{"family":"Xu","given":"Liwei"},{"family":"Li","given":"Xiaoyang"},{"family":"Qian","given":"Dong"},{"family":"Ma","given":"Dehua"},{"family":"Ye","given":"Minhua"},{"family":"Wang","given":"Chunguo"},{"family":"Wang","given":"Zimin"},{"family":"Li","given":"Zhigang"},{"family":"Guo","given":"Xufeng"}],"issued":{"date-parts":[["2025",9,24]]}}},{"id":1639,"uris":["http://zotero.org/users/15831584/items/WJ8Q9XYF"],"itemData":{"id":1639,"type":"article-journal","abstract":"Background\nThe role of immunotherapy in the adjuvant setting seems promising in recent years. As per the findings of the CheckMate 577 trial, patients with esophageal cancer (EC) who had neoadjuvant chemoradiation with residual pathologic disease should be considered adjuvant immunotherapy (AIT). However, it is unknown if individuals with esophageal squamous cell carcinoma (ESCC) who have received neoadjuvant immunochemotherapy (NICT) followed by radical surgery also require AIT.\n\nMethods\nA retrospective analysis was performed on the data from patients who underwent NICT and radical surgery for ESCC between 2019 and 2020. To compare disease-free survival (DFS) and overall survival (OS), Kaplan-Meier survival curves were produced. To determine the parameters linked to DFS and OS, a Cox model using hazard ratios (HRs) was completed.\n\nResults\nAmong the 292 eligible patients, 215 cases with a mean age of 63.3 ± 6.8 years, including 190 (88.4%) men and 25 (11.6%) women, were finally recruited. The percentage of R0 resection was 98.3%. After NICT, 65 (30.2%) patients achieved pathological complete response. AIT was given to 78 (36.3%) patients following radical resection. For all patients, the 3-year DFS and OS were 62.3% and 74.0%, respectively. In terms of 3-year DFS (61.5% vs. 62.8%, P=0.984) or OS (76.9% vs. 72.3%, P=0.384), no statistically significant difference was found between patients with and without AIT. AIT significantly improved survival in patients with ypT+N+ (DFS: 23.9% vs. 38.5%, P=0.036; OS: 37.0% vs. 61.5%, P=0.010), but not in those with ypT0N0 or ypT+N0. It was found that AIT was related to both DFS (HR: 0.297; P&lt;0.001) and OS (HR: 0.321; P=0.001) in patients with ypT+N+.\n\nConclusion\nIn ypT+N+ ESCC patients, AIT after NICT followed by radical surgery reduces the recurrence and death, thereby improving the DFS and OS. Randomized controlled trials ought to be conducted to further assess the results of this retrospective investigation.","container-title":"Frontiers in Immunology","DOI":"10.3389/fimmu.2024.1456193","ISSN":"1664-3224","journalAbbreviation":"Front. Immunol.","language":"en","note":"5年影响因子: 6.8\nJCR分区: Q1\nTLDR: In ypT+N+ ESCC patients, AIT after NICT followed by radical surgery reduces the recurrence and death, thereby improving the DFS and OS and in patients with ypT+N+.\n中科院分区升级版: 医学2区\n南农高质量: A\n影响因子: 5.9","page":"1456193","PMID":"39742260","PMCID":"PMC11685212","source":"PubMed Central","title":"Adjuvant immunotherapy after neoadjuvant immunochemotherapy and esophagectomy for esophageal squamous cell carcinoma: a real-world study","title-short":"Adjuvant immunotherapy after neoadjuvant immunochemotherapy and esophagectomy for esophageal squamous cell carcinoma","volume":"15","author":[{"family":"Feng","given":"Jifeng"},{"family":"Wang","given":"Liang"},{"family":"Yang","given":"Xun"},{"family":"Chen","given":"Qixun"}],"issued":{"date-parts":[["2024",12,17]]}}}],"schema":"https://github.com/citation-style-language/schema/raw/master/csl-citation.json"} </w:instrText>
      </w:r>
      <w:r>
        <w:rPr>
          <w:rFonts w:hint="eastAsia" w:ascii="Times New Roman" w:hAnsi="Times New Roman"/>
          <w:sz w:val="21"/>
          <w:szCs w:val="21"/>
          <w:lang w:val="en-US" w:eastAsia="zh-CN"/>
        </w:rPr>
        <w:fldChar w:fldCharType="separate"/>
      </w:r>
      <w:r>
        <w:rPr>
          <w:rFonts w:hint="default" w:ascii="Times New Roman" w:hAnsi="Times New Roman" w:cs="Times New Roman"/>
          <w:sz w:val="21"/>
          <w:szCs w:val="24"/>
          <w:vertAlign w:val="superscript"/>
        </w:rPr>
        <w:t>[60,61]</w:t>
      </w:r>
      <w:r>
        <w:rPr>
          <w:rFonts w:hint="eastAsia" w:ascii="Times New Roman" w:hAnsi="Times New Roman"/>
          <w:sz w:val="21"/>
          <w:szCs w:val="21"/>
          <w:lang w:val="en-US" w:eastAsia="zh-CN"/>
        </w:rPr>
        <w:fldChar w:fldCharType="end"/>
      </w:r>
      <w:r>
        <w:rPr>
          <w:rFonts w:hint="eastAsia" w:ascii="Times New Roman" w:hAnsi="Times New Roman"/>
          <w:sz w:val="21"/>
          <w:szCs w:val="21"/>
          <w:lang w:val="en-US" w:eastAsia="zh-CN"/>
        </w:rPr>
        <w:t>。另一项统一采用NICT的研究比较术后不同治疗路径，发现接受术后化疗患者复发风险反而较高，而术后免疫联合化疗与不进行术后治疗相比生存差异并不显著</w:t>
      </w:r>
      <w:r>
        <w:rPr>
          <w:rFonts w:hint="eastAsia" w:ascii="Times New Roman" w:hAnsi="Times New Roman"/>
          <w:sz w:val="21"/>
          <w:szCs w:val="21"/>
          <w:lang w:val="en-US" w:eastAsia="zh-CN"/>
        </w:rPr>
        <w:fldChar w:fldCharType="begin"/>
      </w:r>
      <w:r>
        <w:rPr>
          <w:rFonts w:hint="eastAsia" w:ascii="Times New Roman" w:hAnsi="Times New Roman"/>
          <w:sz w:val="21"/>
          <w:szCs w:val="21"/>
          <w:lang w:val="en-US" w:eastAsia="zh-CN"/>
        </w:rPr>
        <w:instrText xml:space="preserve"> ADDIN ZOTERO_ITEM CSL_CITATION {"citationID":"YWr3kP67","properties":{"formattedCitation":"\\super [62]\\nosupersub{}","plainCitation":"[62]","noteIndex":0},"citationItems":[{"id":1644,"uris":["http://zotero.org/users/15831584/items/4IAW99TX"],"itemData":{"id":1644,"type":"article-journal","abstract":"Purpose\n              The need for adjuvant therapy (AT) following neoadjuvant chemoimmunotherapy (nICT) and surgery in esophageal squamous cell cancer (ESCC) remains uncertain. This study aims to investigate whether AT offers additional benefits in terms of recurrence-free survival (RFS) for ESCC patients after nICT and surgery.\n            \n            \n              Methods\n              Retrospective analysis was conducted between January 2019 and December 2022 from three centers. Eligible patients were divided into two groups: the AT group and the non-AT group. Survival analyses comparing different modalities of AT (including adjuvant chemotherapy and adjuvant chemoimmunotherapy) with non-AT were performed. The primary endpoint was RFS. Propensity score matching(PSM) was used to mitigate inter-group patient heterogeneity. Kaplan-Meier survival curves and Cox regression analysis were employed for recurrence-free survival analysis.\n            \n            \n              Results\n              A total of 155 nICT patients were included, with 26 patients experiencing recurrence. According to Cox analysis, receipt of adjuvant therapy emerged as an independent risk factor(HR:2.621, 95%CI:[1.089,6.310], P=0.032), and there was statistically significant difference in the Kaplan-Meier survival curves between non-AT and receipt of AT in matched pairs (p=0.026). Stratified analysis revealed AT bring no survival benefit to patients with pathological complete response(p= 0.149) and residual tumor cell(p=0.062). Subgroup analysis showed no significant difference in recurrence-free survival between non-AT and adjuvant chemoimmunotherapy patients(P=0.108). However, patients receiving adjuvant chemotherapy exhibited poorer recurrence survival compared to non-AT patients (p= 0.016).\n            \n            \n              Conclusion\n              In terms of recurrence-free survival for ESCC patients after nICT and surgery, the necessity of adjuvant therapy especially the adjuvant chemotherapy, can be mitigated.","container-title":"Frontiers in Immunology","DOI":"10.3389/fimmu.2024.1332492","ISSN":"1664-3224","journalAbbreviation":"Front. Immunol.","language":"en","note":"5年影响因子: 6.8\nJCR分区: Q1\nTLDR: In terms of recurrence-free survival for ESCC patients after nICT and surgery, the necessity of adjuvant therapy especially the adjuvant chemotherapy, can be mitigated.\n中科院分区升级版: 医学2区\n南农高质量: A\n影响因子: 5.9","page":"1332492","publisher":"Frontiers","source":"Frontiers","title":"Adjuvant therapy provides no additional recurrence-free benefit for esophageal squamous cell carcinoma patients after neoadjuvant chemoimmunotherapy and surgery: a multi-center propensity score match study","title-short":"Adjuvant therapy provides no additional recurrence-free benefit for esophageal squamous cell carcinoma patients after neoadjuvant chemoimmunotherapy and surgery","volume":"15","author":[{"family":"Xie","given":"Shu-Han"},{"family":"Yang","given":"Li-Tao"},{"family":"Zhang","given":"Hai"},{"family":"Tang","given":"Zi-Lu"},{"family":"Lin","given":"Zhi-Wei"},{"family":"Chen","given":"Yi"},{"family":"Hong","given":"Zhi-Nuan"},{"family":"Xu","given":"Rong-Yu"},{"family":"Lin","given":"Wan-Li"},{"family":"Kang","given":"Ming-Qiang"}],"issued":{"date-parts":[["2024",2,5]]}}}],"schema":"https://github.com/citation-style-language/schema/raw/master/csl-citation.json"} </w:instrText>
      </w:r>
      <w:r>
        <w:rPr>
          <w:rFonts w:hint="eastAsia" w:ascii="Times New Roman" w:hAnsi="Times New Roman"/>
          <w:sz w:val="21"/>
          <w:szCs w:val="21"/>
          <w:lang w:val="en-US" w:eastAsia="zh-CN"/>
        </w:rPr>
        <w:fldChar w:fldCharType="separate"/>
      </w:r>
      <w:r>
        <w:rPr>
          <w:rFonts w:hint="default" w:ascii="Times New Roman" w:hAnsi="Times New Roman" w:cs="Times New Roman"/>
          <w:sz w:val="21"/>
          <w:szCs w:val="24"/>
          <w:vertAlign w:val="superscript"/>
        </w:rPr>
        <w:t>[62]</w:t>
      </w:r>
      <w:r>
        <w:rPr>
          <w:rFonts w:hint="eastAsia" w:ascii="Times New Roman" w:hAnsi="Times New Roman"/>
          <w:sz w:val="21"/>
          <w:szCs w:val="21"/>
          <w:lang w:val="en-US" w:eastAsia="zh-CN"/>
        </w:rPr>
        <w:fldChar w:fldCharType="end"/>
      </w:r>
      <w:r>
        <w:rPr>
          <w:rFonts w:hint="eastAsia" w:ascii="Times New Roman" w:hAnsi="Times New Roman"/>
          <w:sz w:val="21"/>
          <w:szCs w:val="21"/>
          <w:lang w:val="en-US" w:eastAsia="zh-CN"/>
        </w:rPr>
        <w:t>。上述结果表明，术后强化治疗的获益人群仍需进一步明确。目前CSCO指南仅推荐接受NCRT后行R0切除的局部晚期食管癌患者接受1年纳武利尤单抗术后辅助治疗，对接受NICT的患者尚未提出明确的术后辅助方案推荐。</w:t>
      </w:r>
    </w:p>
    <w:p w14:paraId="7C2E8F2F">
      <w:pPr>
        <w:pStyle w:val="3"/>
        <w:bidi w:val="0"/>
        <w:rPr>
          <w:rFonts w:hint="eastAsia" w:ascii="Times New Roman" w:hAnsi="Times New Roman"/>
          <w:sz w:val="21"/>
          <w:szCs w:val="21"/>
          <w:lang w:val="en-US" w:eastAsia="zh-CN"/>
        </w:rPr>
      </w:pPr>
      <w:r>
        <w:rPr>
          <w:rFonts w:hint="eastAsia" w:ascii="Times New Roman" w:hAnsi="Times New Roman"/>
          <w:color w:val="FF0000"/>
          <w:sz w:val="21"/>
          <w:szCs w:val="21"/>
          <w:lang w:val="en-US" w:eastAsia="zh-CN"/>
        </w:rPr>
        <w:t xml:space="preserve">4 </w:t>
      </w:r>
      <w:r>
        <w:rPr>
          <w:rFonts w:hint="eastAsia" w:ascii="Times New Roman" w:hAnsi="Times New Roman" w:eastAsia="微软雅黑" w:cs="微软雅黑"/>
          <w:b w:val="0"/>
          <w:bCs/>
          <w:color w:val="FF0000"/>
          <w:sz w:val="21"/>
          <w:szCs w:val="21"/>
          <w:lang w:val="en-US" w:eastAsia="zh-CN"/>
        </w:rPr>
        <w:t>总结与展望</w:t>
      </w:r>
    </w:p>
    <w:p w14:paraId="54D0B64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olor w:val="FF0000"/>
          <w:sz w:val="21"/>
          <w:szCs w:val="21"/>
          <w:lang w:val="en-US" w:eastAsia="zh-CN"/>
        </w:rPr>
      </w:pPr>
      <w:r>
        <w:rPr>
          <w:rFonts w:hint="default" w:ascii="Times New Roman" w:hAnsi="Times New Roman"/>
          <w:color w:val="FF0000"/>
          <w:sz w:val="21"/>
          <w:szCs w:val="21"/>
          <w:lang w:val="en-US" w:eastAsia="zh-CN"/>
        </w:rPr>
        <w:t>新辅助免疫联合化疗已逐步发展为局部晚期食管癌综合治疗体系中的重要模式，在多项临床研究中取得突出的病理缓解效果，围手术期不良反应</w:t>
      </w:r>
      <w:r>
        <w:rPr>
          <w:rFonts w:hint="eastAsia" w:ascii="Times New Roman" w:hAnsi="Times New Roman"/>
          <w:color w:val="FF0000"/>
          <w:sz w:val="21"/>
          <w:szCs w:val="21"/>
          <w:lang w:val="en-US" w:eastAsia="zh-CN"/>
        </w:rPr>
        <w:t>整体</w:t>
      </w:r>
      <w:r>
        <w:rPr>
          <w:rFonts w:hint="default" w:ascii="Times New Roman" w:hAnsi="Times New Roman"/>
          <w:color w:val="FF0000"/>
          <w:sz w:val="21"/>
          <w:szCs w:val="21"/>
          <w:lang w:val="en-US" w:eastAsia="zh-CN"/>
        </w:rPr>
        <w:t>可控，部分随访结果</w:t>
      </w:r>
      <w:r>
        <w:rPr>
          <w:rFonts w:hint="eastAsia" w:ascii="Times New Roman" w:hAnsi="Times New Roman"/>
          <w:color w:val="FF0000"/>
          <w:sz w:val="21"/>
          <w:szCs w:val="21"/>
          <w:lang w:val="en-US" w:eastAsia="zh-CN"/>
        </w:rPr>
        <w:t>已展现</w:t>
      </w:r>
      <w:r>
        <w:rPr>
          <w:rFonts w:hint="default" w:ascii="Times New Roman" w:hAnsi="Times New Roman"/>
          <w:color w:val="FF0000"/>
          <w:sz w:val="21"/>
          <w:szCs w:val="21"/>
          <w:lang w:val="en-US" w:eastAsia="zh-CN"/>
        </w:rPr>
        <w:t>出生存获益趋势。然而现有循证基础仍以短期病理终点为核心评价维度，长期生存数据尚不充分</w:t>
      </w:r>
      <w:r>
        <w:rPr>
          <w:rFonts w:hint="eastAsia" w:ascii="Times New Roman" w:hAnsi="Times New Roman"/>
          <w:color w:val="FF0000"/>
          <w:sz w:val="21"/>
          <w:szCs w:val="21"/>
          <w:lang w:val="en-US" w:eastAsia="zh-CN"/>
        </w:rPr>
        <w:t>，</w:t>
      </w:r>
      <w:r>
        <w:rPr>
          <w:rFonts w:hint="default" w:ascii="Times New Roman" w:hAnsi="Times New Roman"/>
          <w:color w:val="FF0000"/>
          <w:sz w:val="21"/>
          <w:szCs w:val="21"/>
          <w:lang w:val="en-US" w:eastAsia="zh-CN"/>
        </w:rPr>
        <w:t>加之各研究在设计方案与终点定义上存在较大</w:t>
      </w:r>
      <w:r>
        <w:rPr>
          <w:rFonts w:hint="eastAsia" w:ascii="Times New Roman" w:hAnsi="Times New Roman"/>
          <w:color w:val="FF0000"/>
          <w:sz w:val="21"/>
          <w:szCs w:val="21"/>
          <w:lang w:val="en-US" w:eastAsia="zh-CN"/>
        </w:rPr>
        <w:t>差异</w:t>
      </w:r>
      <w:r>
        <w:rPr>
          <w:rFonts w:hint="default" w:ascii="Times New Roman" w:hAnsi="Times New Roman"/>
          <w:color w:val="FF0000"/>
          <w:sz w:val="21"/>
          <w:szCs w:val="21"/>
          <w:lang w:val="en-US" w:eastAsia="zh-CN"/>
        </w:rPr>
        <w:t>，制约了结论的横向比较与外推适用。因此，该模式的生存优势仍有待更多高质量、长随访的循证证据加以验证。在临床实践层面，关键挑战已从方案验证转向精准决策的</w:t>
      </w:r>
      <w:r>
        <w:rPr>
          <w:rFonts w:hint="eastAsia" w:ascii="Times New Roman" w:hAnsi="Times New Roman"/>
          <w:color w:val="FF0000"/>
          <w:sz w:val="21"/>
          <w:szCs w:val="21"/>
          <w:lang w:val="en-US" w:eastAsia="zh-CN"/>
        </w:rPr>
        <w:t>落地</w:t>
      </w:r>
      <w:r>
        <w:rPr>
          <w:rFonts w:hint="default" w:ascii="Times New Roman" w:hAnsi="Times New Roman"/>
          <w:color w:val="FF0000"/>
          <w:sz w:val="21"/>
          <w:szCs w:val="21"/>
          <w:lang w:val="en-US" w:eastAsia="zh-CN"/>
        </w:rPr>
        <w:t>，包括适宜人群的筛选、方案的优化</w:t>
      </w:r>
      <w:r>
        <w:rPr>
          <w:rFonts w:hint="eastAsia" w:ascii="Times New Roman" w:hAnsi="Times New Roman"/>
          <w:color w:val="FF0000"/>
          <w:sz w:val="21"/>
          <w:szCs w:val="21"/>
          <w:lang w:val="en-US" w:eastAsia="zh-CN"/>
        </w:rPr>
        <w:t>、</w:t>
      </w:r>
      <w:r>
        <w:rPr>
          <w:rFonts w:hint="default" w:ascii="Times New Roman" w:hAnsi="Times New Roman"/>
          <w:color w:val="FF0000"/>
          <w:sz w:val="21"/>
          <w:szCs w:val="21"/>
          <w:lang w:val="en-US" w:eastAsia="zh-CN"/>
        </w:rPr>
        <w:t>手术时机的把握、器官保留策略的界定以及术后辅助治疗的应用等核心问题，均需在多学科协作框架下，结合患者临床特征与治疗反应进行个体化决策。</w:t>
      </w:r>
    </w:p>
    <w:p w14:paraId="2A3967D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sz w:val="21"/>
          <w:szCs w:val="21"/>
          <w:lang w:val="en-US" w:eastAsia="zh-CN"/>
        </w:rPr>
      </w:pPr>
      <w:r>
        <w:rPr>
          <w:rFonts w:hint="default" w:ascii="Times New Roman" w:hAnsi="Times New Roman"/>
          <w:color w:val="FF0000"/>
          <w:sz w:val="21"/>
          <w:szCs w:val="21"/>
          <w:lang w:val="en-US" w:eastAsia="zh-CN"/>
        </w:rPr>
        <w:t>未来应通过</w:t>
      </w:r>
      <w:r>
        <w:rPr>
          <w:rFonts w:hint="eastAsia" w:ascii="Times New Roman" w:hAnsi="Times New Roman"/>
          <w:color w:val="FF0000"/>
          <w:sz w:val="21"/>
          <w:szCs w:val="21"/>
          <w:lang w:val="en-US" w:eastAsia="zh-CN"/>
        </w:rPr>
        <w:t>设计</w:t>
      </w:r>
      <w:r>
        <w:rPr>
          <w:rFonts w:hint="default" w:ascii="Times New Roman" w:hAnsi="Times New Roman"/>
          <w:color w:val="FF0000"/>
          <w:sz w:val="21"/>
          <w:szCs w:val="21"/>
          <w:lang w:val="en-US" w:eastAsia="zh-CN"/>
        </w:rPr>
        <w:t>明确、终点合理的高质量随机对照研究，进一步验证NICT在生存层面的真实获益，并明确其与</w:t>
      </w:r>
      <w:r>
        <w:rPr>
          <w:rFonts w:hint="eastAsia" w:ascii="Times New Roman" w:hAnsi="Times New Roman"/>
          <w:color w:val="FF0000"/>
          <w:sz w:val="21"/>
          <w:szCs w:val="21"/>
          <w:lang w:val="en-US" w:eastAsia="zh-CN"/>
        </w:rPr>
        <w:t>现有</w:t>
      </w:r>
      <w:r>
        <w:rPr>
          <w:rFonts w:hint="default" w:ascii="Times New Roman" w:hAnsi="Times New Roman"/>
          <w:color w:val="FF0000"/>
          <w:sz w:val="21"/>
          <w:szCs w:val="21"/>
          <w:lang w:val="en-US" w:eastAsia="zh-CN"/>
        </w:rPr>
        <w:t>标准治疗模式之间的疗效差异与适用边界。</w:t>
      </w:r>
      <w:r>
        <w:rPr>
          <w:rFonts w:hint="eastAsia" w:ascii="Times New Roman" w:hAnsi="Times New Roman"/>
          <w:color w:val="FF0000"/>
          <w:sz w:val="21"/>
          <w:szCs w:val="21"/>
          <w:lang w:val="en-US" w:eastAsia="zh-CN"/>
        </w:rPr>
        <w:t>与此同时，应</w:t>
      </w:r>
      <w:r>
        <w:rPr>
          <w:rFonts w:hint="default" w:ascii="Times New Roman" w:hAnsi="Times New Roman"/>
          <w:color w:val="FF0000"/>
          <w:sz w:val="21"/>
          <w:szCs w:val="21"/>
          <w:lang w:val="en-US" w:eastAsia="zh-CN"/>
        </w:rPr>
        <w:t>加强生物标志物与病理应答指标的</w:t>
      </w:r>
      <w:r>
        <w:rPr>
          <w:rFonts w:hint="eastAsia" w:ascii="Times New Roman" w:hAnsi="Times New Roman"/>
          <w:color w:val="FF0000"/>
          <w:sz w:val="21"/>
          <w:szCs w:val="21"/>
          <w:lang w:val="en-US" w:eastAsia="zh-CN"/>
        </w:rPr>
        <w:t>联合评估</w:t>
      </w:r>
      <w:r>
        <w:rPr>
          <w:rFonts w:hint="default" w:ascii="Times New Roman" w:hAnsi="Times New Roman"/>
          <w:color w:val="FF0000"/>
          <w:sz w:val="21"/>
          <w:szCs w:val="21"/>
          <w:lang w:val="en-US" w:eastAsia="zh-CN"/>
        </w:rPr>
        <w:t>，探索更可靠的长期结局预测模型，</w:t>
      </w:r>
      <w:r>
        <w:rPr>
          <w:rFonts w:hint="eastAsia" w:ascii="Times New Roman" w:hAnsi="Times New Roman"/>
          <w:color w:val="FF0000"/>
          <w:sz w:val="21"/>
          <w:szCs w:val="21"/>
          <w:lang w:val="en-US" w:eastAsia="zh-CN"/>
        </w:rPr>
        <w:t>以优化患者筛选标准并实现治疗强度的个体化匹配</w:t>
      </w:r>
      <w:r>
        <w:rPr>
          <w:rFonts w:hint="default" w:ascii="Times New Roman" w:hAnsi="Times New Roman"/>
          <w:color w:val="FF0000"/>
          <w:sz w:val="21"/>
          <w:szCs w:val="21"/>
          <w:lang w:val="en-US" w:eastAsia="zh-CN"/>
        </w:rPr>
        <w:t>。在器官保留、手术时机选择与术后辅助治疗路径等方面，相关探索应以规范随访与完善的挽救治疗流程为前提</w:t>
      </w:r>
      <w:r>
        <w:rPr>
          <w:rFonts w:hint="eastAsia" w:ascii="Times New Roman" w:hAnsi="Times New Roman"/>
          <w:color w:val="FF0000"/>
          <w:sz w:val="21"/>
          <w:szCs w:val="21"/>
          <w:lang w:val="en-US" w:eastAsia="zh-CN"/>
        </w:rPr>
        <w:t>谨慎</w:t>
      </w:r>
      <w:r>
        <w:rPr>
          <w:rFonts w:hint="default" w:ascii="Times New Roman" w:hAnsi="Times New Roman"/>
          <w:color w:val="FF0000"/>
          <w:sz w:val="21"/>
          <w:szCs w:val="21"/>
          <w:lang w:val="en-US" w:eastAsia="zh-CN"/>
        </w:rPr>
        <w:t>推进</w:t>
      </w:r>
      <w:r>
        <w:rPr>
          <w:rFonts w:hint="eastAsia" w:ascii="Times New Roman" w:hAnsi="Times New Roman"/>
          <w:color w:val="FF0000"/>
          <w:sz w:val="21"/>
          <w:szCs w:val="21"/>
          <w:lang w:val="en-US" w:eastAsia="zh-CN"/>
        </w:rPr>
        <w:t>，</w:t>
      </w:r>
      <w:r>
        <w:rPr>
          <w:rFonts w:hint="default" w:ascii="Times New Roman" w:hAnsi="Times New Roman"/>
          <w:color w:val="FF0000"/>
          <w:sz w:val="21"/>
          <w:szCs w:val="21"/>
          <w:lang w:val="en-US" w:eastAsia="zh-CN"/>
        </w:rPr>
        <w:t>识别能够实现治疗减量而不牺牲肿瘤控制的患者</w:t>
      </w:r>
      <w:r>
        <w:rPr>
          <w:rFonts w:hint="eastAsia" w:ascii="Times New Roman" w:hAnsi="Times New Roman"/>
          <w:color w:val="FF0000"/>
          <w:sz w:val="21"/>
          <w:szCs w:val="21"/>
          <w:lang w:val="en-US" w:eastAsia="zh-CN"/>
        </w:rPr>
        <w:t>。</w:t>
      </w:r>
      <w:r>
        <w:rPr>
          <w:rFonts w:hint="default" w:ascii="Times New Roman" w:hAnsi="Times New Roman"/>
          <w:color w:val="FF0000"/>
          <w:sz w:val="21"/>
          <w:szCs w:val="21"/>
          <w:lang w:val="en-US" w:eastAsia="zh-CN"/>
        </w:rPr>
        <w:t>随着</w:t>
      </w:r>
      <w:r>
        <w:rPr>
          <w:rFonts w:hint="eastAsia" w:ascii="Times New Roman" w:hAnsi="Times New Roman"/>
          <w:color w:val="FF0000"/>
          <w:sz w:val="21"/>
          <w:szCs w:val="21"/>
          <w:lang w:val="en-US" w:eastAsia="zh-CN"/>
        </w:rPr>
        <w:t>随访</w:t>
      </w:r>
      <w:r>
        <w:rPr>
          <w:rFonts w:hint="default" w:ascii="Times New Roman" w:hAnsi="Times New Roman"/>
          <w:color w:val="FF0000"/>
          <w:sz w:val="21"/>
          <w:szCs w:val="21"/>
          <w:lang w:val="en-US" w:eastAsia="zh-CN"/>
        </w:rPr>
        <w:t>证据与决策体系逐步完善，NICT</w:t>
      </w:r>
      <w:r>
        <w:rPr>
          <w:rFonts w:hint="eastAsia" w:ascii="Times New Roman" w:hAnsi="Times New Roman"/>
          <w:color w:val="FF0000"/>
          <w:sz w:val="21"/>
          <w:szCs w:val="21"/>
          <w:lang w:val="en-US" w:eastAsia="zh-CN"/>
        </w:rPr>
        <w:t>方案有望纳入</w:t>
      </w:r>
      <w:r>
        <w:rPr>
          <w:rFonts w:hint="default" w:ascii="Times New Roman" w:hAnsi="Times New Roman"/>
          <w:color w:val="FF0000"/>
          <w:sz w:val="21"/>
          <w:szCs w:val="21"/>
          <w:lang w:val="en-US" w:eastAsia="zh-CN"/>
        </w:rPr>
        <w:t>围手术期全程管理</w:t>
      </w:r>
      <w:r>
        <w:rPr>
          <w:rFonts w:hint="eastAsia" w:ascii="Times New Roman" w:hAnsi="Times New Roman"/>
          <w:color w:val="FF0000"/>
          <w:sz w:val="21"/>
          <w:szCs w:val="21"/>
          <w:lang w:val="en-US" w:eastAsia="zh-CN"/>
        </w:rPr>
        <w:t>体系</w:t>
      </w:r>
      <w:r>
        <w:rPr>
          <w:rFonts w:hint="default" w:ascii="Times New Roman" w:hAnsi="Times New Roman"/>
          <w:color w:val="FF0000"/>
          <w:sz w:val="21"/>
          <w:szCs w:val="21"/>
          <w:lang w:val="en-US" w:eastAsia="zh-CN"/>
        </w:rPr>
        <w:t>，在保障肿瘤根治的基础上，进一步兼顾生存获益与患者生活质量。</w:t>
      </w:r>
    </w:p>
    <w:p w14:paraId="25E8E98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sz w:val="21"/>
          <w:szCs w:val="21"/>
          <w:lang w:val="en-US" w:eastAsia="zh-CN"/>
        </w:rPr>
      </w:pPr>
    </w:p>
    <w:p w14:paraId="0D9B4148">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sz w:val="21"/>
          <w:szCs w:val="21"/>
          <w:lang w:val="en-US" w:eastAsia="zh-CN"/>
        </w:rPr>
      </w:pPr>
      <w:r>
        <w:rPr>
          <w:rFonts w:hint="eastAsia" w:ascii="Times New Roman" w:hAnsi="Times New Roman"/>
          <w:sz w:val="21"/>
          <w:szCs w:val="21"/>
          <w:lang w:val="en-US" w:eastAsia="zh-CN"/>
        </w:rPr>
        <w:t>作者</w:t>
      </w:r>
      <w:r>
        <w:rPr>
          <w:rFonts w:hint="default" w:ascii="Times New Roman" w:hAnsi="Times New Roman"/>
          <w:sz w:val="21"/>
          <w:szCs w:val="21"/>
          <w:lang w:val="en-US" w:eastAsia="zh-CN"/>
        </w:rPr>
        <w:t>贡献声明：</w:t>
      </w:r>
    </w:p>
    <w:p w14:paraId="38F74A21">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sz w:val="21"/>
          <w:szCs w:val="21"/>
          <w:lang w:val="en-US" w:eastAsia="zh-CN"/>
        </w:rPr>
      </w:pPr>
      <w:r>
        <w:rPr>
          <w:rFonts w:hint="default" w:ascii="Times New Roman" w:hAnsi="Times New Roman"/>
          <w:sz w:val="21"/>
          <w:szCs w:val="21"/>
          <w:lang w:val="en-US" w:eastAsia="zh-CN"/>
        </w:rPr>
        <w:t>依尔班江·艾赛提：调查研究</w:t>
      </w:r>
      <w:r>
        <w:rPr>
          <w:rFonts w:hint="eastAsia" w:ascii="Times New Roman" w:hAnsi="Times New Roman"/>
          <w:sz w:val="21"/>
          <w:szCs w:val="21"/>
          <w:lang w:val="en-US" w:eastAsia="zh-CN"/>
        </w:rPr>
        <w:t>，可视化处理，</w:t>
      </w:r>
      <w:r>
        <w:rPr>
          <w:rFonts w:hint="default" w:ascii="Times New Roman" w:hAnsi="Times New Roman"/>
          <w:sz w:val="21"/>
          <w:szCs w:val="21"/>
          <w:lang w:val="en-US" w:eastAsia="zh-CN"/>
        </w:rPr>
        <w:t>初稿写作</w:t>
      </w:r>
      <w:r>
        <w:rPr>
          <w:rFonts w:hint="eastAsia" w:ascii="Times New Roman" w:hAnsi="Times New Roman"/>
          <w:sz w:val="21"/>
          <w:szCs w:val="21"/>
          <w:lang w:val="en-US" w:eastAsia="zh-CN"/>
        </w:rPr>
        <w:t>；</w:t>
      </w:r>
      <w:r>
        <w:rPr>
          <w:rFonts w:hint="default" w:ascii="Times New Roman" w:hAnsi="Times New Roman"/>
          <w:sz w:val="21"/>
          <w:szCs w:val="21"/>
          <w:lang w:val="en-US" w:eastAsia="zh-CN"/>
        </w:rPr>
        <w:t>曲颜丽：论文构思</w:t>
      </w:r>
      <w:r>
        <w:rPr>
          <w:rFonts w:hint="eastAsia" w:ascii="Times New Roman" w:hAnsi="Times New Roman"/>
          <w:sz w:val="21"/>
          <w:szCs w:val="21"/>
          <w:lang w:val="en-US" w:eastAsia="zh-CN"/>
        </w:rPr>
        <w:t>，项目管理，监督指导，审核与修订</w:t>
      </w:r>
      <w:r>
        <w:rPr>
          <w:rFonts w:hint="default" w:ascii="Times New Roman" w:hAnsi="Times New Roman"/>
          <w:sz w:val="21"/>
          <w:szCs w:val="21"/>
          <w:lang w:val="en-US" w:eastAsia="zh-CN"/>
        </w:rPr>
        <w:t>。</w:t>
      </w:r>
    </w:p>
    <w:p w14:paraId="3025E52A">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sz w:val="21"/>
          <w:szCs w:val="21"/>
          <w:lang w:val="en-US" w:eastAsia="zh-CN"/>
        </w:rPr>
      </w:pPr>
      <w:r>
        <w:rPr>
          <w:rFonts w:hint="default" w:ascii="Times New Roman" w:hAnsi="Times New Roman"/>
          <w:sz w:val="21"/>
          <w:szCs w:val="21"/>
          <w:lang w:val="en-US" w:eastAsia="zh-CN"/>
        </w:rPr>
        <w:t>利益冲突声明：所有作者声明不存在利益冲突。</w:t>
      </w:r>
    </w:p>
    <w:p w14:paraId="5210C63F">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sz w:val="21"/>
          <w:szCs w:val="21"/>
          <w:lang w:val="en-US" w:eastAsia="zh-CN"/>
        </w:rPr>
      </w:pPr>
      <w:r>
        <w:rPr>
          <w:rFonts w:hint="default" w:ascii="Times New Roman" w:hAnsi="Times New Roman"/>
          <w:sz w:val="21"/>
          <w:szCs w:val="21"/>
          <w:lang w:val="en-US" w:eastAsia="zh-CN"/>
        </w:rPr>
        <w:t>基金资助情况：无基金资助。</w:t>
      </w:r>
    </w:p>
    <w:p w14:paraId="17FDED8A">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sz w:val="21"/>
          <w:szCs w:val="21"/>
          <w:lang w:val="en-US" w:eastAsia="zh-CN"/>
        </w:rPr>
      </w:pPr>
      <w:r>
        <w:rPr>
          <w:rFonts w:hint="default" w:ascii="Times New Roman" w:hAnsi="Times New Roman"/>
          <w:sz w:val="21"/>
          <w:szCs w:val="21"/>
          <w:lang w:val="en-US" w:eastAsia="zh-CN"/>
        </w:rPr>
        <w:t>伦理声明：本文为文献综述，无需伦理委员会审批及知情同意。</w:t>
      </w:r>
    </w:p>
    <w:p w14:paraId="47184AB2">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sz w:val="21"/>
          <w:szCs w:val="21"/>
          <w:lang w:val="en-US" w:eastAsia="zh-CN"/>
        </w:rPr>
      </w:pPr>
    </w:p>
    <w:p w14:paraId="32F73D83">
      <w:pPr>
        <w:widowControl/>
        <w:kinsoku w:val="0"/>
        <w:autoSpaceDE w:val="0"/>
        <w:autoSpaceDN w:val="0"/>
        <w:adjustRightInd w:val="0"/>
        <w:snapToGrid w:val="0"/>
        <w:spacing w:before="65" w:line="215" w:lineRule="auto"/>
        <w:jc w:val="left"/>
        <w:textAlignment w:val="baseline"/>
        <w:rPr>
          <w:rFonts w:hint="eastAsia" w:ascii="Times New Roman" w:hAnsi="Times New Roman" w:eastAsia="黑体" w:cs="黑体"/>
          <w:b w:val="0"/>
          <w:bCs/>
          <w:sz w:val="21"/>
          <w:szCs w:val="21"/>
          <w:lang w:val="en-US" w:eastAsia="zh-CN"/>
        </w:rPr>
      </w:pPr>
      <w:r>
        <w:rPr>
          <w:rFonts w:ascii="Times New Roman" w:hAnsi="Times New Roman" w:eastAsia="宋体" w:cs="宋体"/>
          <w:snapToGrid w:val="0"/>
          <w:color w:val="231F20"/>
          <w:spacing w:val="-2"/>
          <w:kern w:val="0"/>
          <w:sz w:val="21"/>
          <w:szCs w:val="21"/>
          <w:lang w:eastAsia="en-US"/>
        </w:rPr>
        <w:t>［参考文献］</w:t>
      </w:r>
    </w:p>
    <w:p w14:paraId="4F4B7A40">
      <w:pPr>
        <w:pStyle w:val="11"/>
        <w:bidi w:val="0"/>
        <w:rPr>
          <w:rFonts w:hint="default" w:ascii="Times New Roman" w:hAnsi="Times New Roman"/>
          <w:szCs w:val="24"/>
        </w:rPr>
      </w:pPr>
      <w:r>
        <w:rPr>
          <w:rFonts w:hint="default" w:ascii="Times New Roman" w:hAnsi="Times New Roman"/>
          <w:szCs w:val="24"/>
        </w:rPr>
        <w:fldChar w:fldCharType="begin"/>
      </w:r>
      <w:r>
        <w:rPr>
          <w:rFonts w:hint="eastAsia" w:ascii="Times New Roman" w:hAnsi="Times New Roman"/>
          <w:szCs w:val="24"/>
          <w:lang w:eastAsia="zh-CN"/>
        </w:rPr>
        <w:instrText xml:space="preserve"> ADDIN ZOTERO_BIBL {"uncited":[],"omitted":[],"custom":[]} CSL_BIBLIOGRAPHY </w:instrText>
      </w:r>
      <w:r>
        <w:rPr>
          <w:rFonts w:hint="default" w:ascii="Times New Roman" w:hAnsi="Times New Roman"/>
          <w:szCs w:val="24"/>
        </w:rPr>
        <w:fldChar w:fldCharType="separate"/>
      </w:r>
      <w:r>
        <w:rPr>
          <w:rFonts w:hint="default" w:ascii="Times New Roman" w:hAnsi="Times New Roman"/>
          <w:szCs w:val="24"/>
        </w:rPr>
        <w:t>[1]</w:t>
      </w:r>
      <w:r>
        <w:rPr>
          <w:rFonts w:hint="default" w:ascii="Times New Roman" w:hAnsi="Times New Roman"/>
          <w:szCs w:val="24"/>
        </w:rPr>
        <w:tab/>
      </w:r>
      <w:r>
        <w:rPr>
          <w:rFonts w:hint="default" w:ascii="Times New Roman" w:hAnsi="Times New Roman"/>
          <w:szCs w:val="24"/>
        </w:rPr>
        <w:t>BRAY F, LAVERSANNE M, SUNG H, et al. Global cancer statistics 2022: GLOBOCAN estimates of incidence and mortality worldwide for 36 cancers in 185 countries[J]. CA Cancer J Clin, 2024, 74(3): 229-263.</w:t>
      </w:r>
    </w:p>
    <w:p w14:paraId="3D0BB53F">
      <w:pPr>
        <w:pStyle w:val="11"/>
        <w:bidi w:val="0"/>
        <w:rPr>
          <w:rFonts w:hint="default" w:ascii="Times New Roman" w:hAnsi="Times New Roman"/>
          <w:szCs w:val="24"/>
        </w:rPr>
      </w:pPr>
      <w:r>
        <w:rPr>
          <w:rFonts w:hint="default" w:ascii="Times New Roman" w:hAnsi="Times New Roman"/>
          <w:szCs w:val="24"/>
        </w:rPr>
        <w:t>[2]</w:t>
      </w:r>
      <w:r>
        <w:rPr>
          <w:rFonts w:hint="default" w:ascii="Times New Roman" w:hAnsi="Times New Roman"/>
          <w:szCs w:val="24"/>
        </w:rPr>
        <w:tab/>
      </w:r>
      <w:r>
        <w:rPr>
          <w:rFonts w:hint="default" w:ascii="Times New Roman" w:hAnsi="Times New Roman"/>
          <w:szCs w:val="24"/>
        </w:rPr>
        <w:t xml:space="preserve">HAN B, ZHENG R, ZENG H, et al. Cancer incidence and mortality in </w:t>
      </w:r>
      <w:r>
        <w:rPr>
          <w:rFonts w:hint="eastAsia" w:ascii="Times New Roman" w:hAnsi="Times New Roman"/>
          <w:szCs w:val="24"/>
          <w:lang w:val="en-US" w:eastAsia="zh-CN"/>
        </w:rPr>
        <w:t>C</w:t>
      </w:r>
      <w:r>
        <w:rPr>
          <w:rFonts w:hint="default" w:ascii="Times New Roman" w:hAnsi="Times New Roman"/>
          <w:szCs w:val="24"/>
        </w:rPr>
        <w:t>hina, 2022[J]. J Natl Cancer Cent, 2024, 4(1): 47-5</w:t>
      </w:r>
      <w:r>
        <w:rPr>
          <w:rFonts w:hint="eastAsia" w:ascii="Times New Roman" w:hAnsi="Times New Roman"/>
          <w:szCs w:val="24"/>
          <w:lang w:val="en-US" w:eastAsia="zh-CN"/>
        </w:rPr>
        <w:t>3</w:t>
      </w:r>
      <w:r>
        <w:rPr>
          <w:rFonts w:hint="default" w:ascii="Times New Roman" w:hAnsi="Times New Roman"/>
          <w:szCs w:val="24"/>
        </w:rPr>
        <w:t>.</w:t>
      </w:r>
    </w:p>
    <w:p w14:paraId="06A61807">
      <w:pPr>
        <w:pStyle w:val="11"/>
        <w:bidi w:val="0"/>
        <w:rPr>
          <w:rFonts w:hint="default" w:ascii="Times New Roman" w:hAnsi="Times New Roman"/>
          <w:szCs w:val="24"/>
        </w:rPr>
      </w:pPr>
      <w:r>
        <w:rPr>
          <w:rFonts w:hint="default" w:ascii="Times New Roman" w:hAnsi="Times New Roman"/>
          <w:szCs w:val="24"/>
        </w:rPr>
        <w:t>[3]</w:t>
      </w:r>
      <w:r>
        <w:rPr>
          <w:rFonts w:hint="default" w:ascii="Times New Roman" w:hAnsi="Times New Roman"/>
          <w:szCs w:val="24"/>
        </w:rPr>
        <w:tab/>
      </w:r>
      <w:r>
        <w:rPr>
          <w:rFonts w:hint="default" w:ascii="Times New Roman" w:hAnsi="Times New Roman"/>
          <w:szCs w:val="24"/>
        </w:rPr>
        <w:t>刘倩</w:t>
      </w:r>
      <w:r>
        <w:rPr>
          <w:rFonts w:hint="eastAsia" w:ascii="Times New Roman" w:hAnsi="Times New Roman"/>
          <w:szCs w:val="24"/>
          <w:lang w:val="en-US" w:eastAsia="zh-CN"/>
        </w:rPr>
        <w:t>,</w:t>
      </w:r>
      <w:r>
        <w:rPr>
          <w:rFonts w:hint="default" w:ascii="Times New Roman" w:hAnsi="Times New Roman"/>
          <w:szCs w:val="24"/>
        </w:rPr>
        <w:t>刘娜</w:t>
      </w:r>
      <w:r>
        <w:rPr>
          <w:rFonts w:hint="eastAsia" w:ascii="Times New Roman" w:hAnsi="Times New Roman"/>
          <w:szCs w:val="24"/>
          <w:lang w:val="en-US" w:eastAsia="zh-CN"/>
        </w:rPr>
        <w:t>,</w:t>
      </w:r>
      <w:r>
        <w:rPr>
          <w:rFonts w:hint="default" w:ascii="Times New Roman" w:hAnsi="Times New Roman"/>
          <w:szCs w:val="24"/>
        </w:rPr>
        <w:t>丁姿源</w:t>
      </w:r>
      <w:r>
        <w:rPr>
          <w:rFonts w:hint="eastAsia" w:ascii="Times New Roman" w:hAnsi="Times New Roman"/>
          <w:szCs w:val="24"/>
          <w:lang w:val="en-US" w:eastAsia="zh-CN"/>
        </w:rPr>
        <w:t>,</w:t>
      </w:r>
      <w:r>
        <w:rPr>
          <w:rFonts w:hint="default" w:ascii="Times New Roman" w:hAnsi="Times New Roman"/>
          <w:szCs w:val="24"/>
        </w:rPr>
        <w:t>等.2001—2021年中国食道癌的疾病负担及趋势[J]. 中国循证医学杂志</w:t>
      </w:r>
      <w:r>
        <w:rPr>
          <w:rFonts w:hint="eastAsia" w:ascii="Times New Roman" w:hAnsi="Times New Roman"/>
          <w:szCs w:val="24"/>
          <w:lang w:eastAsia="zh-CN"/>
        </w:rPr>
        <w:t>，</w:t>
      </w:r>
      <w:r>
        <w:rPr>
          <w:rFonts w:hint="default" w:ascii="Times New Roman" w:hAnsi="Times New Roman"/>
          <w:szCs w:val="24"/>
        </w:rPr>
        <w:t>2025, 25(9): 1012-1019.</w:t>
      </w:r>
    </w:p>
    <w:p w14:paraId="03139F85">
      <w:pPr>
        <w:pStyle w:val="11"/>
        <w:bidi w:val="0"/>
        <w:rPr>
          <w:rFonts w:hint="default" w:ascii="Times New Roman" w:hAnsi="Times New Roman" w:eastAsiaTheme="minorEastAsia"/>
          <w:szCs w:val="24"/>
          <w:lang w:val="en-US" w:eastAsia="zh-CN"/>
        </w:rPr>
      </w:pPr>
      <w:r>
        <w:rPr>
          <w:rFonts w:hint="eastAsia" w:ascii="Times New Roman" w:hAnsi="Times New Roman"/>
          <w:szCs w:val="24"/>
          <w:lang w:val="en-US" w:eastAsia="zh-CN"/>
        </w:rPr>
        <w:t xml:space="preserve">    LIU Q, LIU N, DING Z Y, et al. Disease burden and trend of esophageal cancer in China from 2001 to 2021[J]. Chinese Journal of Evidence-Based Medicine, 2025, 25(9): 1012-1019.</w:t>
      </w:r>
    </w:p>
    <w:p w14:paraId="1828DAA2">
      <w:pPr>
        <w:pStyle w:val="11"/>
        <w:bidi w:val="0"/>
        <w:rPr>
          <w:rFonts w:hint="default" w:ascii="Times New Roman" w:hAnsi="Times New Roman"/>
          <w:szCs w:val="24"/>
        </w:rPr>
      </w:pPr>
      <w:r>
        <w:rPr>
          <w:rFonts w:hint="default" w:ascii="Times New Roman" w:hAnsi="Times New Roman"/>
          <w:szCs w:val="24"/>
        </w:rPr>
        <w:t>[4]</w:t>
      </w:r>
      <w:r>
        <w:rPr>
          <w:rFonts w:hint="default" w:ascii="Times New Roman" w:hAnsi="Times New Roman"/>
          <w:szCs w:val="24"/>
        </w:rPr>
        <w:tab/>
      </w:r>
      <w:r>
        <w:rPr>
          <w:rFonts w:hint="default" w:ascii="Times New Roman" w:hAnsi="Times New Roman"/>
          <w:szCs w:val="24"/>
        </w:rPr>
        <w:t>DEBOEVER N, JONES C M, YAMASHITA K, et al. Advances in diagnosis and management of cancer of the esophagus[J]. BMJ, 2024, 385: e074962.</w:t>
      </w:r>
    </w:p>
    <w:p w14:paraId="334B8202">
      <w:pPr>
        <w:pStyle w:val="11"/>
        <w:bidi w:val="0"/>
        <w:rPr>
          <w:rFonts w:hint="default" w:ascii="Times New Roman" w:hAnsi="Times New Roman"/>
          <w:szCs w:val="24"/>
        </w:rPr>
      </w:pPr>
      <w:r>
        <w:rPr>
          <w:rFonts w:hint="default" w:ascii="Times New Roman" w:hAnsi="Times New Roman"/>
          <w:szCs w:val="24"/>
        </w:rPr>
        <w:t>[5]</w:t>
      </w:r>
      <w:r>
        <w:rPr>
          <w:rFonts w:hint="default" w:ascii="Times New Roman" w:hAnsi="Times New Roman"/>
          <w:szCs w:val="24"/>
        </w:rPr>
        <w:tab/>
      </w:r>
      <w:r>
        <w:rPr>
          <w:rFonts w:hint="default" w:ascii="Times New Roman" w:hAnsi="Times New Roman"/>
          <w:szCs w:val="24"/>
        </w:rPr>
        <w:t>BAO Y, MA Z, YUAN M, et al. Comparison of different neoadjuvant treatments for resectable locoregional esophageal cancer: a systematic review and network meta-analysis[J]. Thorac Cancer, 2022, 13(17): 2515-2523.</w:t>
      </w:r>
    </w:p>
    <w:p w14:paraId="789F31EE">
      <w:pPr>
        <w:pStyle w:val="11"/>
        <w:bidi w:val="0"/>
        <w:rPr>
          <w:rFonts w:hint="default" w:ascii="Times New Roman" w:hAnsi="Times New Roman"/>
          <w:szCs w:val="24"/>
        </w:rPr>
      </w:pPr>
      <w:r>
        <w:rPr>
          <w:rFonts w:hint="default" w:ascii="Times New Roman" w:hAnsi="Times New Roman"/>
          <w:szCs w:val="24"/>
        </w:rPr>
        <w:t>[6]</w:t>
      </w:r>
      <w:r>
        <w:rPr>
          <w:rFonts w:hint="default" w:ascii="Times New Roman" w:hAnsi="Times New Roman"/>
          <w:szCs w:val="24"/>
        </w:rPr>
        <w:tab/>
      </w:r>
      <w:r>
        <w:rPr>
          <w:rFonts w:hint="default" w:ascii="Times New Roman" w:hAnsi="Times New Roman"/>
          <w:szCs w:val="24"/>
        </w:rPr>
        <w:t>QIN J, XUE L, HAO A, et al. Neoadjuvant chemotherapy with or without camrelizumab in resectable esophageal squamous cell carcinoma: the randomized phase 3 ESCORT-NEO/NCCES01 trial[J]. Nat Med, 2024, 30(9): 2549-2557.</w:t>
      </w:r>
    </w:p>
    <w:p w14:paraId="1D1E323F">
      <w:pPr>
        <w:pStyle w:val="11"/>
        <w:bidi w:val="0"/>
        <w:rPr>
          <w:rFonts w:hint="default" w:ascii="Times New Roman" w:hAnsi="Times New Roman"/>
          <w:szCs w:val="24"/>
        </w:rPr>
      </w:pPr>
      <w:r>
        <w:rPr>
          <w:rFonts w:hint="default" w:ascii="Times New Roman" w:hAnsi="Times New Roman"/>
          <w:szCs w:val="24"/>
        </w:rPr>
        <w:t>[7]</w:t>
      </w:r>
      <w:r>
        <w:rPr>
          <w:rFonts w:hint="default" w:ascii="Times New Roman" w:hAnsi="Times New Roman"/>
          <w:szCs w:val="24"/>
        </w:rPr>
        <w:tab/>
      </w:r>
      <w:r>
        <w:rPr>
          <w:rFonts w:hint="default" w:ascii="Times New Roman" w:hAnsi="Times New Roman"/>
          <w:szCs w:val="24"/>
        </w:rPr>
        <w:t>YAN X, DUAN H, NI Y, et al. Tislelizumab combined with chemotherapy as neoadjuvant therapy for surgically resectable esophageal cancer: a prospective, single-arm, phase II study (TD-NICE)[J]. Int J Surg, 2022, 103: 106680.</w:t>
      </w:r>
    </w:p>
    <w:p w14:paraId="03B99895">
      <w:pPr>
        <w:pStyle w:val="11"/>
        <w:bidi w:val="0"/>
        <w:rPr>
          <w:rFonts w:hint="default" w:ascii="Times New Roman" w:hAnsi="Times New Roman"/>
          <w:szCs w:val="24"/>
        </w:rPr>
      </w:pPr>
      <w:r>
        <w:rPr>
          <w:rFonts w:hint="default" w:ascii="Times New Roman" w:hAnsi="Times New Roman"/>
          <w:szCs w:val="24"/>
        </w:rPr>
        <w:t>[8]</w:t>
      </w:r>
      <w:r>
        <w:rPr>
          <w:rFonts w:hint="default" w:ascii="Times New Roman" w:hAnsi="Times New Roman"/>
          <w:szCs w:val="24"/>
        </w:rPr>
        <w:tab/>
      </w:r>
      <w:r>
        <w:rPr>
          <w:rFonts w:hint="default" w:ascii="Times New Roman" w:hAnsi="Times New Roman"/>
          <w:szCs w:val="24"/>
        </w:rPr>
        <w:t>DUAN H, SHAO C, PAN M, et al. Neoadjuvant pembrolizumab and chemotherapy in resectable esophageal cancer: an open-label, single-arm study (PEN-ICE)[J]. Front Immunol, 2022, 13: 849984.</w:t>
      </w:r>
    </w:p>
    <w:p w14:paraId="7870148C">
      <w:pPr>
        <w:pStyle w:val="11"/>
        <w:bidi w:val="0"/>
        <w:rPr>
          <w:rFonts w:hint="default" w:ascii="Times New Roman" w:hAnsi="Times New Roman"/>
          <w:szCs w:val="24"/>
        </w:rPr>
      </w:pPr>
      <w:r>
        <w:rPr>
          <w:rFonts w:hint="default" w:ascii="Times New Roman" w:hAnsi="Times New Roman"/>
          <w:szCs w:val="24"/>
        </w:rPr>
        <w:t>[9]</w:t>
      </w:r>
      <w:r>
        <w:rPr>
          <w:rFonts w:hint="default" w:ascii="Times New Roman" w:hAnsi="Times New Roman"/>
          <w:szCs w:val="24"/>
        </w:rPr>
        <w:tab/>
      </w:r>
      <w:r>
        <w:rPr>
          <w:rFonts w:hint="default" w:ascii="Times New Roman" w:hAnsi="Times New Roman"/>
          <w:szCs w:val="24"/>
        </w:rPr>
        <w:t>OBERMANNOVÁ RL, LEONG T, ESMO Guidelines Committee.ESMO clinical practice guideline interim update on the treatment of locally advanced oesophageal and oesophagogastric junction adenocarcinoma and metastatic squamous-cell carcinoma[J]. ESMO Open, 2025, 10(2): 104134.</w:t>
      </w:r>
    </w:p>
    <w:p w14:paraId="2F3EF64E">
      <w:pPr>
        <w:pStyle w:val="11"/>
        <w:bidi w:val="0"/>
        <w:rPr>
          <w:rFonts w:hint="default" w:ascii="Times New Roman" w:hAnsi="Times New Roman"/>
          <w:szCs w:val="24"/>
        </w:rPr>
      </w:pPr>
      <w:r>
        <w:rPr>
          <w:rFonts w:hint="default" w:ascii="Times New Roman" w:hAnsi="Times New Roman"/>
          <w:szCs w:val="24"/>
        </w:rPr>
        <w:t>[10]</w:t>
      </w:r>
      <w:r>
        <w:rPr>
          <w:rFonts w:hint="default" w:ascii="Times New Roman" w:hAnsi="Times New Roman"/>
          <w:szCs w:val="24"/>
        </w:rPr>
        <w:tab/>
      </w:r>
      <w:r>
        <w:rPr>
          <w:rFonts w:hint="default" w:ascii="Times New Roman" w:hAnsi="Times New Roman"/>
          <w:szCs w:val="24"/>
        </w:rPr>
        <w:t>王祎,陈思雨,殷伟彤,等.《NCCN食管和食管胃结合部癌临床实践指南（2025 V1版）》主要更新点解读[J].中国胸心血管外科临床杂志,2025,32(09):1225-1232.</w:t>
      </w:r>
    </w:p>
    <w:p w14:paraId="23ACBF4E">
      <w:pPr>
        <w:pStyle w:val="11"/>
        <w:bidi w:val="0"/>
        <w:rPr>
          <w:rFonts w:hint="default" w:ascii="Times New Roman" w:hAnsi="Times New Roman" w:eastAsiaTheme="minorEastAsia"/>
          <w:szCs w:val="24"/>
          <w:lang w:val="en-US" w:eastAsia="zh-CN"/>
        </w:rPr>
      </w:pPr>
      <w:r>
        <w:rPr>
          <w:rFonts w:hint="eastAsia" w:ascii="Times New Roman" w:hAnsi="Times New Roman"/>
          <w:szCs w:val="24"/>
          <w:lang w:val="en-US" w:eastAsia="zh-CN"/>
        </w:rPr>
        <w:t xml:space="preserve">    WANG Y, CHEN S Y, YIN W T, et al. Interpretation of the updates of NCCN esophageal and esophagogastric junction cancers clinical practice guidelines in oncology(version 1.2025)[J]. Chinese Journal of Clinical Thoracic and Cardiovascular Surgery, 2025, 32(09): 1225-1232.</w:t>
      </w:r>
    </w:p>
    <w:p w14:paraId="514811D4">
      <w:pPr>
        <w:pStyle w:val="11"/>
        <w:bidi w:val="0"/>
        <w:rPr>
          <w:rFonts w:hint="default" w:ascii="Times New Roman" w:hAnsi="Times New Roman"/>
          <w:szCs w:val="24"/>
        </w:rPr>
      </w:pPr>
      <w:r>
        <w:rPr>
          <w:rFonts w:hint="default" w:ascii="Times New Roman" w:hAnsi="Times New Roman"/>
          <w:szCs w:val="24"/>
        </w:rPr>
        <w:t>[11]</w:t>
      </w:r>
      <w:r>
        <w:rPr>
          <w:rFonts w:hint="default" w:ascii="Times New Roman" w:hAnsi="Times New Roman"/>
          <w:szCs w:val="24"/>
        </w:rPr>
        <w:tab/>
      </w:r>
      <w:r>
        <w:rPr>
          <w:rFonts w:hint="default" w:ascii="Times New Roman" w:hAnsi="Times New Roman"/>
          <w:szCs w:val="24"/>
        </w:rPr>
        <w:t>SHAPIRO J, VAN LANSCHOT J J B, HULSHOF M C C M, et al. Neoadjuvant chemoradiotherapy plus surgery versus surgery alone for oesophageal or junctional cancer (CROSS): long-term results of a randomised controlled trial[J]. Lancet Oncol, 2015, 16(9): 1090-1098.</w:t>
      </w:r>
    </w:p>
    <w:p w14:paraId="7B6CA1C7">
      <w:pPr>
        <w:pStyle w:val="11"/>
        <w:bidi w:val="0"/>
        <w:rPr>
          <w:rFonts w:hint="default" w:ascii="Times New Roman" w:hAnsi="Times New Roman"/>
          <w:szCs w:val="24"/>
        </w:rPr>
      </w:pPr>
      <w:r>
        <w:rPr>
          <w:rFonts w:hint="default" w:ascii="Times New Roman" w:hAnsi="Times New Roman"/>
          <w:szCs w:val="24"/>
        </w:rPr>
        <w:t>[12]</w:t>
      </w:r>
      <w:r>
        <w:rPr>
          <w:rFonts w:hint="default" w:ascii="Times New Roman" w:hAnsi="Times New Roman"/>
          <w:szCs w:val="24"/>
        </w:rPr>
        <w:tab/>
      </w:r>
      <w:r>
        <w:rPr>
          <w:rFonts w:hint="default" w:ascii="Times New Roman" w:hAnsi="Times New Roman"/>
          <w:szCs w:val="24"/>
        </w:rPr>
        <w:t>ALDERSON D, CUNNINGHAM D, NANKIVELL M, et al. Neoadjuvant cisplatin and fluorouracil versus epirubicin, cisplatin, and capecitabine followed by resection in patients with oesophageal adenocarcinoma (UK MRC OE05): an open-label, randomised phase 3 trial[J]. Lancet Oncol, 2017, 18(9): 1249-1260.</w:t>
      </w:r>
    </w:p>
    <w:p w14:paraId="5747D377">
      <w:pPr>
        <w:pStyle w:val="11"/>
        <w:bidi w:val="0"/>
        <w:rPr>
          <w:rFonts w:hint="default" w:ascii="Times New Roman" w:hAnsi="Times New Roman"/>
          <w:szCs w:val="24"/>
        </w:rPr>
      </w:pPr>
      <w:r>
        <w:rPr>
          <w:rFonts w:hint="default" w:ascii="Times New Roman" w:hAnsi="Times New Roman"/>
          <w:szCs w:val="24"/>
        </w:rPr>
        <w:t>[13]</w:t>
      </w:r>
      <w:r>
        <w:rPr>
          <w:rFonts w:hint="default" w:ascii="Times New Roman" w:hAnsi="Times New Roman"/>
          <w:szCs w:val="24"/>
        </w:rPr>
        <w:tab/>
      </w:r>
      <w:r>
        <w:rPr>
          <w:rFonts w:hint="default" w:ascii="Times New Roman" w:hAnsi="Times New Roman"/>
          <w:szCs w:val="24"/>
        </w:rPr>
        <w:t xml:space="preserve">LI Q, LIU T, DING Z. Neoadjuvant immunotherapy for resectable esophageal cancer: </w:t>
      </w:r>
      <w:r>
        <w:rPr>
          <w:rFonts w:hint="eastAsia" w:ascii="Times New Roman" w:hAnsi="Times New Roman"/>
          <w:szCs w:val="24"/>
          <w:lang w:val="en-US" w:eastAsia="zh-CN"/>
        </w:rPr>
        <w:t>a</w:t>
      </w:r>
      <w:r>
        <w:rPr>
          <w:rFonts w:hint="default" w:ascii="Times New Roman" w:hAnsi="Times New Roman"/>
          <w:szCs w:val="24"/>
        </w:rPr>
        <w:t xml:space="preserve"> review[J]. Front Immunol, 2022, 13: 1051841.</w:t>
      </w:r>
    </w:p>
    <w:p w14:paraId="4F6263C0">
      <w:pPr>
        <w:pStyle w:val="11"/>
        <w:bidi w:val="0"/>
        <w:rPr>
          <w:rFonts w:hint="default" w:ascii="Times New Roman" w:hAnsi="Times New Roman"/>
          <w:szCs w:val="24"/>
        </w:rPr>
      </w:pPr>
      <w:r>
        <w:rPr>
          <w:rFonts w:hint="default" w:ascii="Times New Roman" w:hAnsi="Times New Roman"/>
          <w:szCs w:val="24"/>
        </w:rPr>
        <w:t>[14]</w:t>
      </w:r>
      <w:r>
        <w:rPr>
          <w:rFonts w:hint="default" w:ascii="Times New Roman" w:hAnsi="Times New Roman"/>
          <w:szCs w:val="24"/>
        </w:rPr>
        <w:tab/>
      </w:r>
      <w:r>
        <w:rPr>
          <w:rFonts w:hint="default" w:ascii="Times New Roman" w:hAnsi="Times New Roman"/>
          <w:szCs w:val="24"/>
        </w:rPr>
        <w:t>LIU J, WU Z, ZHOU S, et al. Neoadjuvant immunochemotherapy for locally advanced esophageal squamous cell carcinoma in real-world practice: an analysis of the clinical outcomes and long-term survival, and the feasibility of using major pathological response as a surrogate endpoint[J]. Eur J Med Res, 2025, 30(1): 342.</w:t>
      </w:r>
    </w:p>
    <w:p w14:paraId="2DFBE2E3">
      <w:pPr>
        <w:pStyle w:val="11"/>
        <w:bidi w:val="0"/>
        <w:rPr>
          <w:rFonts w:hint="default" w:ascii="Times New Roman" w:hAnsi="Times New Roman"/>
          <w:szCs w:val="24"/>
        </w:rPr>
      </w:pPr>
      <w:r>
        <w:rPr>
          <w:rFonts w:hint="default" w:ascii="Times New Roman" w:hAnsi="Times New Roman"/>
          <w:szCs w:val="24"/>
        </w:rPr>
        <w:t>[15]</w:t>
      </w:r>
      <w:r>
        <w:rPr>
          <w:rFonts w:hint="default" w:ascii="Times New Roman" w:hAnsi="Times New Roman"/>
          <w:szCs w:val="24"/>
        </w:rPr>
        <w:tab/>
      </w:r>
      <w:r>
        <w:rPr>
          <w:rFonts w:hint="default" w:ascii="Times New Roman" w:hAnsi="Times New Roman"/>
          <w:szCs w:val="24"/>
        </w:rPr>
        <w:t>LIU L, LIU Y, XU L, et al. Tumor immune microenvironment remodeling and prognosis of patients with esophageal squamous cell carcinoma after neoadjuvant chemotherapy with and without immunotherapy: a retrospective cohort study[J]. J</w:t>
      </w:r>
      <w:r>
        <w:rPr>
          <w:rFonts w:hint="eastAsia" w:ascii="Times New Roman" w:hAnsi="Times New Roman"/>
          <w:szCs w:val="24"/>
          <w:lang w:val="en-US" w:eastAsia="zh-CN"/>
        </w:rPr>
        <w:t xml:space="preserve"> </w:t>
      </w:r>
      <w:r>
        <w:rPr>
          <w:rFonts w:hint="default" w:ascii="Times New Roman" w:hAnsi="Times New Roman"/>
          <w:szCs w:val="24"/>
        </w:rPr>
        <w:t>Thorac Dis, 2024, 16(6): 3909-3922.</w:t>
      </w:r>
    </w:p>
    <w:p w14:paraId="049830DB">
      <w:pPr>
        <w:pStyle w:val="11"/>
        <w:bidi w:val="0"/>
        <w:rPr>
          <w:rFonts w:hint="default" w:ascii="Times New Roman" w:hAnsi="Times New Roman"/>
          <w:szCs w:val="24"/>
        </w:rPr>
      </w:pPr>
      <w:r>
        <w:rPr>
          <w:rFonts w:hint="default" w:ascii="Times New Roman" w:hAnsi="Times New Roman"/>
          <w:szCs w:val="24"/>
        </w:rPr>
        <w:t>[16]</w:t>
      </w:r>
      <w:r>
        <w:rPr>
          <w:rFonts w:hint="default" w:ascii="Times New Roman" w:hAnsi="Times New Roman"/>
          <w:szCs w:val="24"/>
        </w:rPr>
        <w:tab/>
      </w:r>
      <w:r>
        <w:rPr>
          <w:rFonts w:hint="default" w:ascii="Times New Roman" w:hAnsi="Times New Roman"/>
          <w:szCs w:val="24"/>
        </w:rPr>
        <w:t>WANG P, CHEN Y, WANG F, et al. Camrelizumab plus chemotherapy versus chemoradiotherapy as neoadjuvant therapy for resectable esophageal squamous cell carcinoma: phase 2 randomized trial (REVO)[J]. Nat Commun, 2025, 16(1): 9676.</w:t>
      </w:r>
    </w:p>
    <w:p w14:paraId="380DAD62">
      <w:pPr>
        <w:pStyle w:val="11"/>
        <w:bidi w:val="0"/>
        <w:rPr>
          <w:rFonts w:hint="default" w:ascii="Times New Roman" w:hAnsi="Times New Roman"/>
          <w:szCs w:val="24"/>
        </w:rPr>
      </w:pPr>
      <w:r>
        <w:rPr>
          <w:rFonts w:hint="default" w:ascii="Times New Roman" w:hAnsi="Times New Roman"/>
          <w:szCs w:val="24"/>
        </w:rPr>
        <w:t>[17]</w:t>
      </w:r>
      <w:r>
        <w:rPr>
          <w:rFonts w:hint="default" w:ascii="Times New Roman" w:hAnsi="Times New Roman"/>
          <w:szCs w:val="24"/>
        </w:rPr>
        <w:tab/>
      </w:r>
      <w:r>
        <w:rPr>
          <w:rFonts w:hint="default" w:ascii="Times New Roman" w:hAnsi="Times New Roman"/>
          <w:szCs w:val="24"/>
        </w:rPr>
        <w:t>ZHENG Y, LIANG G, YUAN D, et al. Perioperative toripalimab plus neoadjuvant chemotherapy might improve outcomes in resectable esophageal cancer: an interim analysis of a phase III randomized clinical trial[J]. Cancer Commun, 2024, 44(10): 1214-1227.</w:t>
      </w:r>
    </w:p>
    <w:p w14:paraId="74C40060">
      <w:pPr>
        <w:pStyle w:val="11"/>
        <w:bidi w:val="0"/>
        <w:rPr>
          <w:rFonts w:hint="default" w:ascii="Times New Roman" w:hAnsi="Times New Roman"/>
          <w:szCs w:val="24"/>
        </w:rPr>
      </w:pPr>
      <w:r>
        <w:rPr>
          <w:rFonts w:hint="default" w:ascii="Times New Roman" w:hAnsi="Times New Roman"/>
          <w:szCs w:val="24"/>
        </w:rPr>
        <w:t>[18]</w:t>
      </w:r>
      <w:r>
        <w:rPr>
          <w:rFonts w:hint="default" w:ascii="Times New Roman" w:hAnsi="Times New Roman"/>
          <w:szCs w:val="24"/>
        </w:rPr>
        <w:tab/>
      </w:r>
      <w:r>
        <w:rPr>
          <w:rFonts w:hint="default" w:ascii="Times New Roman" w:hAnsi="Times New Roman"/>
          <w:szCs w:val="24"/>
        </w:rPr>
        <w:t>MORGAN E, SOERJOMATARAM I, RUMGAY H, et al. The global landscape of esophageal squamous cell carcinoma and esophageal adenocarcinoma incidence and mortality in 2020 and projections to 2040: new estimates from GLOBOCAN 2020[J]. Gastroenterology, 2022, 163(3): 649-658.e2.</w:t>
      </w:r>
    </w:p>
    <w:p w14:paraId="75D48004">
      <w:pPr>
        <w:pStyle w:val="11"/>
        <w:bidi w:val="0"/>
        <w:rPr>
          <w:rFonts w:hint="default" w:ascii="Times New Roman" w:hAnsi="Times New Roman"/>
          <w:szCs w:val="24"/>
        </w:rPr>
      </w:pPr>
      <w:r>
        <w:rPr>
          <w:rFonts w:hint="default" w:ascii="Times New Roman" w:hAnsi="Times New Roman"/>
          <w:szCs w:val="24"/>
        </w:rPr>
        <w:t>[19]</w:t>
      </w:r>
      <w:r>
        <w:rPr>
          <w:rFonts w:hint="default" w:ascii="Times New Roman" w:hAnsi="Times New Roman"/>
          <w:szCs w:val="24"/>
        </w:rPr>
        <w:tab/>
      </w:r>
      <w:r>
        <w:rPr>
          <w:rFonts w:hint="default" w:ascii="Times New Roman" w:hAnsi="Times New Roman"/>
          <w:szCs w:val="24"/>
        </w:rPr>
        <w:t>ABNET C C, ARNOLD M, WEI W Q. Epidemiology of esophageal squamous cell carcinoma[J]. Gastroenterology, 2018, 154(2): 360-373.</w:t>
      </w:r>
    </w:p>
    <w:p w14:paraId="6CBF4DA7">
      <w:pPr>
        <w:pStyle w:val="11"/>
        <w:bidi w:val="0"/>
        <w:rPr>
          <w:rFonts w:hint="default" w:ascii="Times New Roman" w:hAnsi="Times New Roman"/>
          <w:szCs w:val="24"/>
        </w:rPr>
      </w:pPr>
      <w:r>
        <w:rPr>
          <w:rFonts w:hint="default" w:ascii="Times New Roman" w:hAnsi="Times New Roman"/>
          <w:szCs w:val="24"/>
        </w:rPr>
        <w:t>[20]</w:t>
      </w:r>
      <w:r>
        <w:rPr>
          <w:rFonts w:hint="default" w:ascii="Times New Roman" w:hAnsi="Times New Roman"/>
          <w:szCs w:val="24"/>
        </w:rPr>
        <w:tab/>
      </w:r>
      <w:r>
        <w:rPr>
          <w:rFonts w:hint="default" w:ascii="Times New Roman" w:hAnsi="Times New Roman"/>
          <w:szCs w:val="24"/>
        </w:rPr>
        <w:t>BABA Y, NOMOTO D, OKADOME K, et al. Tumor immune microenvironment and immune checkpoint inhibitors in esophageal squamous cell carcinoma[J]. Cancer Sci, 2020, 111(9): 3132-3141.</w:t>
      </w:r>
    </w:p>
    <w:p w14:paraId="29A01D87">
      <w:pPr>
        <w:pStyle w:val="11"/>
        <w:bidi w:val="0"/>
        <w:rPr>
          <w:rFonts w:hint="default" w:ascii="Times New Roman" w:hAnsi="Times New Roman"/>
          <w:szCs w:val="24"/>
        </w:rPr>
      </w:pPr>
      <w:r>
        <w:rPr>
          <w:rFonts w:hint="default" w:ascii="Times New Roman" w:hAnsi="Times New Roman"/>
          <w:szCs w:val="24"/>
        </w:rPr>
        <w:t>[21]</w:t>
      </w:r>
      <w:r>
        <w:rPr>
          <w:rFonts w:hint="default" w:ascii="Times New Roman" w:hAnsi="Times New Roman"/>
          <w:szCs w:val="24"/>
        </w:rPr>
        <w:tab/>
      </w:r>
      <w:r>
        <w:rPr>
          <w:rFonts w:hint="default" w:ascii="Times New Roman" w:hAnsi="Times New Roman"/>
          <w:szCs w:val="24"/>
        </w:rPr>
        <w:t>BILSKI J, PINKAS M, WOJCIK-GRZYBEK D, et al. Role of obesity, physical exercise, adipose tissue-skeletal muscle crosstalk and molecular advances in barrett’s esophagus and esophageal adenocarcinoma[J]. Int J Mol Sci, 2022, 23(7): 3942.</w:t>
      </w:r>
    </w:p>
    <w:p w14:paraId="6F356A7A">
      <w:pPr>
        <w:pStyle w:val="11"/>
        <w:bidi w:val="0"/>
        <w:rPr>
          <w:rFonts w:hint="default" w:ascii="Times New Roman" w:hAnsi="Times New Roman"/>
          <w:szCs w:val="24"/>
        </w:rPr>
      </w:pPr>
      <w:r>
        <w:rPr>
          <w:rFonts w:hint="default" w:ascii="Times New Roman" w:hAnsi="Times New Roman"/>
          <w:szCs w:val="24"/>
        </w:rPr>
        <w:t>[22]</w:t>
      </w:r>
      <w:r>
        <w:rPr>
          <w:rFonts w:hint="default" w:ascii="Times New Roman" w:hAnsi="Times New Roman"/>
          <w:szCs w:val="24"/>
        </w:rPr>
        <w:tab/>
      </w:r>
      <w:r>
        <w:rPr>
          <w:rFonts w:hint="default" w:ascii="Times New Roman" w:hAnsi="Times New Roman"/>
          <w:szCs w:val="24"/>
        </w:rPr>
        <w:t xml:space="preserve">SALEM M E, PUCCINI A, XIU J, et al. Comparative </w:t>
      </w:r>
      <w:r>
        <w:rPr>
          <w:rFonts w:hint="eastAsia" w:ascii="Times New Roman" w:hAnsi="Times New Roman"/>
          <w:szCs w:val="24"/>
          <w:lang w:val="en-US" w:eastAsia="zh-CN"/>
        </w:rPr>
        <w:t>m</w:t>
      </w:r>
      <w:r>
        <w:rPr>
          <w:rFonts w:hint="default" w:ascii="Times New Roman" w:hAnsi="Times New Roman"/>
          <w:szCs w:val="24"/>
        </w:rPr>
        <w:t xml:space="preserve">olecular </w:t>
      </w:r>
      <w:r>
        <w:rPr>
          <w:rFonts w:hint="eastAsia" w:ascii="Times New Roman" w:hAnsi="Times New Roman"/>
          <w:szCs w:val="24"/>
          <w:lang w:val="en-US" w:eastAsia="zh-CN"/>
        </w:rPr>
        <w:t>a</w:t>
      </w:r>
      <w:r>
        <w:rPr>
          <w:rFonts w:hint="default" w:ascii="Times New Roman" w:hAnsi="Times New Roman"/>
          <w:szCs w:val="24"/>
        </w:rPr>
        <w:t xml:space="preserve">nalyses of </w:t>
      </w:r>
      <w:r>
        <w:rPr>
          <w:rFonts w:hint="eastAsia" w:ascii="Times New Roman" w:hAnsi="Times New Roman"/>
          <w:szCs w:val="24"/>
          <w:lang w:val="en-US" w:eastAsia="zh-CN"/>
        </w:rPr>
        <w:t>e</w:t>
      </w:r>
      <w:r>
        <w:rPr>
          <w:rFonts w:hint="default" w:ascii="Times New Roman" w:hAnsi="Times New Roman"/>
          <w:szCs w:val="24"/>
        </w:rPr>
        <w:t xml:space="preserve">sophageal </w:t>
      </w:r>
      <w:r>
        <w:rPr>
          <w:rFonts w:hint="eastAsia" w:ascii="Times New Roman" w:hAnsi="Times New Roman"/>
          <w:szCs w:val="24"/>
          <w:lang w:val="en-US" w:eastAsia="zh-CN"/>
        </w:rPr>
        <w:t>s</w:t>
      </w:r>
      <w:r>
        <w:rPr>
          <w:rFonts w:hint="default" w:ascii="Times New Roman" w:hAnsi="Times New Roman"/>
          <w:szCs w:val="24"/>
        </w:rPr>
        <w:t xml:space="preserve">quamous </w:t>
      </w:r>
      <w:r>
        <w:rPr>
          <w:rFonts w:hint="eastAsia" w:ascii="Times New Roman" w:hAnsi="Times New Roman"/>
          <w:szCs w:val="24"/>
          <w:lang w:val="en-US" w:eastAsia="zh-CN"/>
        </w:rPr>
        <w:t>c</w:t>
      </w:r>
      <w:r>
        <w:rPr>
          <w:rFonts w:hint="default" w:ascii="Times New Roman" w:hAnsi="Times New Roman"/>
          <w:szCs w:val="24"/>
        </w:rPr>
        <w:t xml:space="preserve">ell </w:t>
      </w:r>
      <w:r>
        <w:rPr>
          <w:rFonts w:hint="eastAsia" w:ascii="Times New Roman" w:hAnsi="Times New Roman"/>
          <w:szCs w:val="24"/>
          <w:lang w:val="en-US" w:eastAsia="zh-CN"/>
        </w:rPr>
        <w:t>c</w:t>
      </w:r>
      <w:r>
        <w:rPr>
          <w:rFonts w:hint="default" w:ascii="Times New Roman" w:hAnsi="Times New Roman"/>
          <w:szCs w:val="24"/>
        </w:rPr>
        <w:t xml:space="preserve">arcinoma, </w:t>
      </w:r>
      <w:r>
        <w:rPr>
          <w:rFonts w:hint="eastAsia" w:ascii="Times New Roman" w:hAnsi="Times New Roman"/>
          <w:szCs w:val="24"/>
          <w:lang w:val="en-US" w:eastAsia="zh-CN"/>
        </w:rPr>
        <w:t>e</w:t>
      </w:r>
      <w:r>
        <w:rPr>
          <w:rFonts w:hint="default" w:ascii="Times New Roman" w:hAnsi="Times New Roman"/>
          <w:szCs w:val="24"/>
        </w:rPr>
        <w:t xml:space="preserve">sophageal </w:t>
      </w:r>
      <w:r>
        <w:rPr>
          <w:rFonts w:hint="eastAsia" w:ascii="Times New Roman" w:hAnsi="Times New Roman"/>
          <w:szCs w:val="24"/>
          <w:lang w:val="en-US" w:eastAsia="zh-CN"/>
        </w:rPr>
        <w:t>a</w:t>
      </w:r>
      <w:r>
        <w:rPr>
          <w:rFonts w:hint="default" w:ascii="Times New Roman" w:hAnsi="Times New Roman"/>
          <w:szCs w:val="24"/>
        </w:rPr>
        <w:t xml:space="preserve">denocarcinoma, and </w:t>
      </w:r>
      <w:r>
        <w:rPr>
          <w:rFonts w:hint="eastAsia" w:ascii="Times New Roman" w:hAnsi="Times New Roman"/>
          <w:szCs w:val="24"/>
          <w:lang w:val="en-US" w:eastAsia="zh-CN"/>
        </w:rPr>
        <w:t>g</w:t>
      </w:r>
      <w:r>
        <w:rPr>
          <w:rFonts w:hint="default" w:ascii="Times New Roman" w:hAnsi="Times New Roman"/>
          <w:szCs w:val="24"/>
        </w:rPr>
        <w:t xml:space="preserve">astric </w:t>
      </w:r>
      <w:r>
        <w:rPr>
          <w:rFonts w:hint="eastAsia" w:ascii="Times New Roman" w:hAnsi="Times New Roman"/>
          <w:szCs w:val="24"/>
          <w:lang w:val="en-US" w:eastAsia="zh-CN"/>
        </w:rPr>
        <w:t>a</w:t>
      </w:r>
      <w:r>
        <w:rPr>
          <w:rFonts w:hint="default" w:ascii="Times New Roman" w:hAnsi="Times New Roman"/>
          <w:szCs w:val="24"/>
        </w:rPr>
        <w:t>denocarcinoma[J]. Oncologist, 2018, 23(11): 1319-1327.</w:t>
      </w:r>
    </w:p>
    <w:p w14:paraId="1C0F1CBF">
      <w:pPr>
        <w:pStyle w:val="11"/>
        <w:bidi w:val="0"/>
        <w:rPr>
          <w:rFonts w:hint="default" w:ascii="Times New Roman" w:hAnsi="Times New Roman"/>
          <w:szCs w:val="24"/>
        </w:rPr>
      </w:pPr>
      <w:r>
        <w:rPr>
          <w:rFonts w:hint="default" w:ascii="Times New Roman" w:hAnsi="Times New Roman"/>
          <w:szCs w:val="24"/>
        </w:rPr>
        <w:t>[23]</w:t>
      </w:r>
      <w:r>
        <w:rPr>
          <w:rFonts w:hint="default" w:ascii="Times New Roman" w:hAnsi="Times New Roman"/>
          <w:szCs w:val="24"/>
        </w:rPr>
        <w:tab/>
      </w:r>
      <w:r>
        <w:rPr>
          <w:rFonts w:hint="default" w:ascii="Times New Roman" w:hAnsi="Times New Roman"/>
          <w:szCs w:val="24"/>
        </w:rPr>
        <w:t>ANDRÉ T, TOUGERON D, PIESSEN G, et al. Neoadjuvant nivolumab plus ipilimumab and adjuvant nivolumab in localized deficient mismatch repair/microsatellite instability–high gastric or esophagogastric junction adenocarcinoma: the GERCOR NEONIPIGA phase II study[J]. J Clin Oncol, 2023, 41(2): 255-265.</w:t>
      </w:r>
    </w:p>
    <w:p w14:paraId="7A5E0382">
      <w:pPr>
        <w:pStyle w:val="11"/>
        <w:bidi w:val="0"/>
        <w:rPr>
          <w:rFonts w:hint="default" w:ascii="Times New Roman" w:hAnsi="Times New Roman"/>
          <w:szCs w:val="24"/>
        </w:rPr>
      </w:pPr>
      <w:r>
        <w:rPr>
          <w:rFonts w:hint="default" w:ascii="Times New Roman" w:hAnsi="Times New Roman"/>
          <w:szCs w:val="24"/>
        </w:rPr>
        <w:t>[24]</w:t>
      </w:r>
      <w:r>
        <w:rPr>
          <w:rFonts w:hint="default" w:ascii="Times New Roman" w:hAnsi="Times New Roman"/>
          <w:szCs w:val="24"/>
        </w:rPr>
        <w:tab/>
      </w:r>
      <w:r>
        <w:rPr>
          <w:rFonts w:hint="default" w:ascii="Times New Roman" w:hAnsi="Times New Roman"/>
          <w:szCs w:val="24"/>
        </w:rPr>
        <w:t>GE F, HUO Z, CAI X, et al. Evaluation of clinical and safety outcomes of neoadjuvant immunotherapy combined with chemotherapy for patients with resectable esophageal cancer: a systematic review and meta-analysis[J]. JAMA Netw Open, 2022, 5(11): e2239778.</w:t>
      </w:r>
    </w:p>
    <w:p w14:paraId="61087D39">
      <w:pPr>
        <w:pStyle w:val="11"/>
        <w:bidi w:val="0"/>
        <w:rPr>
          <w:rFonts w:hint="default" w:ascii="Times New Roman" w:hAnsi="Times New Roman"/>
          <w:szCs w:val="24"/>
        </w:rPr>
      </w:pPr>
      <w:r>
        <w:rPr>
          <w:rFonts w:hint="default" w:ascii="Times New Roman" w:hAnsi="Times New Roman"/>
          <w:szCs w:val="24"/>
        </w:rPr>
        <w:t>[25]</w:t>
      </w:r>
      <w:r>
        <w:rPr>
          <w:rFonts w:hint="default" w:ascii="Times New Roman" w:hAnsi="Times New Roman"/>
          <w:szCs w:val="24"/>
        </w:rPr>
        <w:tab/>
      </w:r>
      <w:r>
        <w:rPr>
          <w:rFonts w:hint="default" w:ascii="Times New Roman" w:hAnsi="Times New Roman"/>
          <w:szCs w:val="24"/>
        </w:rPr>
        <w:t>QIN H, LIU F, ZHANG Y, et al. Comparison of neoadjuvant immunotherapy versus routine neoadjuvant therapy for patients with locally advanced esophageal cancer: a systematic review and meta-analysis[J]. Front Immunol, 2023, 14: 1108213.</w:t>
      </w:r>
    </w:p>
    <w:p w14:paraId="43A433D4">
      <w:pPr>
        <w:pStyle w:val="11"/>
        <w:bidi w:val="0"/>
        <w:rPr>
          <w:rFonts w:hint="default" w:ascii="Times New Roman" w:hAnsi="Times New Roman"/>
          <w:szCs w:val="24"/>
        </w:rPr>
      </w:pPr>
      <w:r>
        <w:rPr>
          <w:rFonts w:hint="default" w:ascii="Times New Roman" w:hAnsi="Times New Roman"/>
          <w:szCs w:val="24"/>
        </w:rPr>
        <w:t>[26]</w:t>
      </w:r>
      <w:r>
        <w:rPr>
          <w:rFonts w:hint="default" w:ascii="Times New Roman" w:hAnsi="Times New Roman"/>
          <w:szCs w:val="24"/>
        </w:rPr>
        <w:tab/>
      </w:r>
      <w:r>
        <w:rPr>
          <w:rFonts w:hint="default" w:ascii="Times New Roman" w:hAnsi="Times New Roman"/>
          <w:szCs w:val="24"/>
        </w:rPr>
        <w:t>YI Y, CAO Q, ZHANG H, et al. Efficacy of neoadjuvant chemoimmunotherapy in locally advanced resectable esophageal cancer[J]. J Cancer Res Ther, 2025, 21(4): 934-940.</w:t>
      </w:r>
    </w:p>
    <w:p w14:paraId="4327B9BE">
      <w:pPr>
        <w:pStyle w:val="11"/>
        <w:bidi w:val="0"/>
        <w:rPr>
          <w:rFonts w:hint="default" w:ascii="Times New Roman" w:hAnsi="Times New Roman"/>
          <w:szCs w:val="24"/>
        </w:rPr>
      </w:pPr>
      <w:r>
        <w:rPr>
          <w:rFonts w:hint="default" w:ascii="Times New Roman" w:hAnsi="Times New Roman"/>
          <w:szCs w:val="24"/>
        </w:rPr>
        <w:t>[27]</w:t>
      </w:r>
      <w:r>
        <w:rPr>
          <w:rFonts w:hint="default" w:ascii="Times New Roman" w:hAnsi="Times New Roman"/>
          <w:szCs w:val="24"/>
        </w:rPr>
        <w:tab/>
      </w:r>
      <w:r>
        <w:rPr>
          <w:rFonts w:hint="default" w:ascii="Times New Roman" w:hAnsi="Times New Roman"/>
          <w:szCs w:val="24"/>
        </w:rPr>
        <w:t>YU Y, WANG W, QIN Z, et al. A clinical nomogram for predicting tumor regression grade in esophageal squamous-cell carcinoma treated with immune neoadjuvant immunotherapy[J]. Ann Transl Med, 2022, 10(2): 102.</w:t>
      </w:r>
    </w:p>
    <w:p w14:paraId="35C1DA99">
      <w:pPr>
        <w:pStyle w:val="11"/>
        <w:bidi w:val="0"/>
        <w:rPr>
          <w:rFonts w:hint="default" w:ascii="Times New Roman" w:hAnsi="Times New Roman"/>
          <w:szCs w:val="24"/>
        </w:rPr>
      </w:pPr>
      <w:r>
        <w:rPr>
          <w:rFonts w:hint="default" w:ascii="Times New Roman" w:hAnsi="Times New Roman"/>
          <w:szCs w:val="24"/>
        </w:rPr>
        <w:t>[28]</w:t>
      </w:r>
      <w:r>
        <w:rPr>
          <w:rFonts w:hint="default" w:ascii="Times New Roman" w:hAnsi="Times New Roman"/>
          <w:szCs w:val="24"/>
        </w:rPr>
        <w:tab/>
      </w:r>
      <w:r>
        <w:rPr>
          <w:rFonts w:hint="default" w:ascii="Times New Roman" w:hAnsi="Times New Roman"/>
          <w:szCs w:val="24"/>
        </w:rPr>
        <w:t>HAEFLIGER L, CHAPELLIER P, VIETTI VIOLI N, et al. Advancing esophageal cancer staging and restaging: the role of MRI in precision diagnosis[J]. Cancers (Basel), 2025, 17(8): 1351.</w:t>
      </w:r>
    </w:p>
    <w:p w14:paraId="2928DF76">
      <w:pPr>
        <w:pStyle w:val="11"/>
        <w:bidi w:val="0"/>
        <w:rPr>
          <w:rFonts w:hint="default" w:ascii="Times New Roman" w:hAnsi="Times New Roman"/>
          <w:szCs w:val="24"/>
        </w:rPr>
      </w:pPr>
      <w:r>
        <w:rPr>
          <w:rFonts w:hint="default" w:ascii="Times New Roman" w:hAnsi="Times New Roman"/>
          <w:szCs w:val="24"/>
        </w:rPr>
        <w:t>[29]</w:t>
      </w:r>
      <w:r>
        <w:rPr>
          <w:rFonts w:hint="default" w:ascii="Times New Roman" w:hAnsi="Times New Roman"/>
          <w:szCs w:val="24"/>
        </w:rPr>
        <w:tab/>
      </w:r>
      <w:r>
        <w:rPr>
          <w:rFonts w:hint="default" w:ascii="Times New Roman" w:hAnsi="Times New Roman"/>
          <w:szCs w:val="24"/>
        </w:rPr>
        <w:t>RAPTIS C A, GOLDSTEIN A, HENRY T S, et al. ACR appropriateness criteria® staging and follow-up of esophageal cancer[J]. J Am Coll Radiol, 2022, 19(11</w:t>
      </w:r>
      <w:r>
        <w:rPr>
          <w:rFonts w:hint="eastAsia" w:ascii="Times New Roman" w:hAnsi="Times New Roman"/>
          <w:szCs w:val="24"/>
          <w:lang w:val="en-US" w:eastAsia="zh-CN"/>
        </w:rPr>
        <w:t>S</w:t>
      </w:r>
      <w:r>
        <w:rPr>
          <w:rFonts w:hint="default" w:ascii="Times New Roman" w:hAnsi="Times New Roman"/>
          <w:szCs w:val="24"/>
        </w:rPr>
        <w:t>): S462-S472.</w:t>
      </w:r>
    </w:p>
    <w:p w14:paraId="5FB25A0F">
      <w:pPr>
        <w:pStyle w:val="11"/>
        <w:bidi w:val="0"/>
        <w:rPr>
          <w:rFonts w:hint="default" w:ascii="Times New Roman" w:hAnsi="Times New Roman"/>
          <w:szCs w:val="24"/>
        </w:rPr>
      </w:pPr>
      <w:r>
        <w:rPr>
          <w:rFonts w:hint="default" w:ascii="Times New Roman" w:hAnsi="Times New Roman"/>
          <w:szCs w:val="24"/>
        </w:rPr>
        <w:t>[30]</w:t>
      </w:r>
      <w:r>
        <w:rPr>
          <w:rFonts w:hint="default" w:ascii="Times New Roman" w:hAnsi="Times New Roman"/>
          <w:szCs w:val="24"/>
        </w:rPr>
        <w:tab/>
      </w:r>
      <w:r>
        <w:rPr>
          <w:rFonts w:hint="default" w:ascii="Times New Roman" w:hAnsi="Times New Roman"/>
          <w:szCs w:val="24"/>
        </w:rPr>
        <w:t>LEVY V, JREIGE M, HAEFLIGER L, et al. Evaluation of MRI for initial staging of esophageal cancer: the STIRMCO study[J]. Eur Radiol, 2025, 35(11): 6917-6927.</w:t>
      </w:r>
    </w:p>
    <w:p w14:paraId="271C3E10">
      <w:pPr>
        <w:pStyle w:val="11"/>
        <w:bidi w:val="0"/>
        <w:rPr>
          <w:rFonts w:hint="default" w:ascii="Times New Roman" w:hAnsi="Times New Roman"/>
          <w:szCs w:val="24"/>
        </w:rPr>
      </w:pPr>
      <w:r>
        <w:rPr>
          <w:rFonts w:hint="default" w:ascii="Times New Roman" w:hAnsi="Times New Roman"/>
          <w:szCs w:val="24"/>
        </w:rPr>
        <w:t>[31]</w:t>
      </w:r>
      <w:r>
        <w:rPr>
          <w:rFonts w:hint="default" w:ascii="Times New Roman" w:hAnsi="Times New Roman"/>
          <w:szCs w:val="24"/>
        </w:rPr>
        <w:tab/>
      </w:r>
      <w:r>
        <w:rPr>
          <w:rFonts w:hint="default" w:ascii="Times New Roman" w:hAnsi="Times New Roman"/>
          <w:szCs w:val="24"/>
        </w:rPr>
        <w:t>MOHEBBI A, MOHAMMADZADEH S, MORADI Z, et al. Staging of esophageal cancer using PET/MRI: a systematic review with head-to-head comparison[J]. BMC Med Imaging, 2025, 25(1): 32.</w:t>
      </w:r>
    </w:p>
    <w:p w14:paraId="42973FCF">
      <w:pPr>
        <w:pStyle w:val="11"/>
        <w:bidi w:val="0"/>
        <w:rPr>
          <w:rFonts w:hint="default" w:ascii="Times New Roman" w:hAnsi="Times New Roman"/>
          <w:szCs w:val="24"/>
        </w:rPr>
      </w:pPr>
      <w:r>
        <w:rPr>
          <w:rFonts w:hint="default" w:ascii="Times New Roman" w:hAnsi="Times New Roman"/>
          <w:szCs w:val="24"/>
        </w:rPr>
        <w:t>[32]</w:t>
      </w:r>
      <w:r>
        <w:rPr>
          <w:rFonts w:hint="default" w:ascii="Times New Roman" w:hAnsi="Times New Roman"/>
          <w:szCs w:val="24"/>
        </w:rPr>
        <w:tab/>
      </w:r>
      <w:r>
        <w:rPr>
          <w:rFonts w:hint="default" w:ascii="Times New Roman" w:hAnsi="Times New Roman"/>
          <w:szCs w:val="24"/>
        </w:rPr>
        <w:t>SHANG X, ZHANG W, ZHAO G, et al. Pembrolizumab combined with neoadjuvant chemotherapy versus neoadjuvant chemoradiotherapy followed by surgery for locally advanced oesophageal squamous cell carcinoma: protocol for a multicentre, prospective, randomized-controlled, phase III clinical study (</w:t>
      </w:r>
      <w:r>
        <w:rPr>
          <w:rFonts w:hint="eastAsia" w:ascii="Times New Roman" w:hAnsi="Times New Roman"/>
          <w:szCs w:val="24"/>
          <w:lang w:val="en-US" w:eastAsia="zh-CN"/>
        </w:rPr>
        <w:t>K</w:t>
      </w:r>
      <w:r>
        <w:rPr>
          <w:rFonts w:hint="default" w:ascii="Times New Roman" w:hAnsi="Times New Roman"/>
          <w:szCs w:val="24"/>
        </w:rPr>
        <w:t>eystone-002)[J]. Front Oncol, 2022, 12: 831345.</w:t>
      </w:r>
    </w:p>
    <w:p w14:paraId="5B2C138E">
      <w:pPr>
        <w:pStyle w:val="11"/>
        <w:bidi w:val="0"/>
        <w:rPr>
          <w:rFonts w:hint="default" w:ascii="Times New Roman" w:hAnsi="Times New Roman"/>
          <w:szCs w:val="24"/>
        </w:rPr>
      </w:pPr>
      <w:r>
        <w:rPr>
          <w:rFonts w:hint="default" w:ascii="Times New Roman" w:hAnsi="Times New Roman"/>
          <w:szCs w:val="24"/>
        </w:rPr>
        <w:t>[33]</w:t>
      </w:r>
      <w:r>
        <w:rPr>
          <w:rFonts w:hint="default" w:ascii="Times New Roman" w:hAnsi="Times New Roman"/>
          <w:szCs w:val="24"/>
        </w:rPr>
        <w:tab/>
      </w:r>
      <w:r>
        <w:rPr>
          <w:rFonts w:hint="default" w:ascii="Times New Roman" w:hAnsi="Times New Roman"/>
          <w:szCs w:val="24"/>
        </w:rPr>
        <w:t>郭旭峰.边界可切除食管癌诊治的再思考[J]. 中华外科杂志, 2025, 63(11): 988-991.</w:t>
      </w:r>
    </w:p>
    <w:p w14:paraId="50EC3DBC">
      <w:pPr>
        <w:pStyle w:val="11"/>
        <w:bidi w:val="0"/>
        <w:rPr>
          <w:rFonts w:hint="default" w:ascii="Times New Roman" w:hAnsi="Times New Roman" w:eastAsiaTheme="minorEastAsia"/>
          <w:szCs w:val="24"/>
          <w:lang w:val="en-US" w:eastAsia="zh-CN"/>
        </w:rPr>
      </w:pPr>
      <w:r>
        <w:rPr>
          <w:rFonts w:hint="eastAsia" w:ascii="Times New Roman" w:hAnsi="Times New Roman"/>
          <w:szCs w:val="24"/>
          <w:lang w:val="en-US" w:eastAsia="zh-CN"/>
        </w:rPr>
        <w:t xml:space="preserve">    GUO X F. Recognition of diagnosis and treatment of borderline resectable esophageal cancer[J]. Chinese Journal of Surgery, 2025, 63(11): 988-991.</w:t>
      </w:r>
    </w:p>
    <w:p w14:paraId="01E098D2">
      <w:pPr>
        <w:pStyle w:val="11"/>
        <w:bidi w:val="0"/>
        <w:rPr>
          <w:rFonts w:hint="default" w:ascii="Times New Roman" w:hAnsi="Times New Roman"/>
          <w:szCs w:val="24"/>
        </w:rPr>
      </w:pPr>
      <w:r>
        <w:rPr>
          <w:rFonts w:hint="default" w:ascii="Times New Roman" w:hAnsi="Times New Roman"/>
          <w:szCs w:val="24"/>
        </w:rPr>
        <w:t>[34]</w:t>
      </w:r>
      <w:r>
        <w:rPr>
          <w:rFonts w:hint="default" w:ascii="Times New Roman" w:hAnsi="Times New Roman"/>
          <w:szCs w:val="24"/>
        </w:rPr>
        <w:tab/>
      </w:r>
      <w:r>
        <w:rPr>
          <w:rFonts w:hint="default" w:ascii="Times New Roman" w:hAnsi="Times New Roman"/>
          <w:szCs w:val="24"/>
        </w:rPr>
        <w:t>MINE S, TANAKA K, KAWACHI H, et al. Japanese classification of esophageal cancer, 12th edition: part I[J]. Esophagus, 2024, 21(3): 179-215.</w:t>
      </w:r>
    </w:p>
    <w:p w14:paraId="734E3988">
      <w:pPr>
        <w:pStyle w:val="11"/>
        <w:bidi w:val="0"/>
        <w:rPr>
          <w:rFonts w:hint="default" w:ascii="Times New Roman" w:hAnsi="Times New Roman"/>
          <w:szCs w:val="24"/>
        </w:rPr>
      </w:pPr>
      <w:r>
        <w:rPr>
          <w:rFonts w:hint="default" w:ascii="Times New Roman" w:hAnsi="Times New Roman"/>
          <w:szCs w:val="24"/>
        </w:rPr>
        <w:t>[35]</w:t>
      </w:r>
      <w:r>
        <w:rPr>
          <w:rFonts w:hint="default" w:ascii="Times New Roman" w:hAnsi="Times New Roman"/>
          <w:szCs w:val="24"/>
        </w:rPr>
        <w:tab/>
      </w:r>
      <w:r>
        <w:rPr>
          <w:rFonts w:hint="default" w:ascii="Times New Roman" w:hAnsi="Times New Roman"/>
          <w:szCs w:val="24"/>
        </w:rPr>
        <w:t>LIN J P, ZHUANG F N, CHEN W J, et al. Neoadjuvant chemoimmunotherapy versus neoadjuvant chemoradiotherapy in patients with borderline resectable esophageal squamous cell carcinoma[J]. J Transl Med, 2025, 23(1): 922.</w:t>
      </w:r>
    </w:p>
    <w:p w14:paraId="278460C7">
      <w:pPr>
        <w:pStyle w:val="11"/>
        <w:bidi w:val="0"/>
        <w:rPr>
          <w:rFonts w:hint="default" w:ascii="Times New Roman" w:hAnsi="Times New Roman"/>
          <w:szCs w:val="24"/>
        </w:rPr>
      </w:pPr>
      <w:r>
        <w:rPr>
          <w:rFonts w:hint="default" w:ascii="Times New Roman" w:hAnsi="Times New Roman"/>
          <w:szCs w:val="24"/>
        </w:rPr>
        <w:t>[36]</w:t>
      </w:r>
      <w:r>
        <w:rPr>
          <w:rFonts w:hint="default" w:ascii="Times New Roman" w:hAnsi="Times New Roman"/>
          <w:szCs w:val="24"/>
        </w:rPr>
        <w:tab/>
      </w:r>
      <w:r>
        <w:rPr>
          <w:rFonts w:hint="default" w:ascii="Times New Roman" w:hAnsi="Times New Roman"/>
          <w:szCs w:val="24"/>
        </w:rPr>
        <w:t>AJANI J A, D’AMICO T A, BENTREM D J, et al. Esophageal and esophagogastric junction cancers, version 2.2023, NCCN clinical practice guidelines in oncology[J]. J Natl Compr Canc Netw, 2023, 21(4): 393-422.</w:t>
      </w:r>
    </w:p>
    <w:p w14:paraId="633D120C">
      <w:pPr>
        <w:pStyle w:val="11"/>
        <w:bidi w:val="0"/>
        <w:rPr>
          <w:rFonts w:hint="default" w:ascii="Times New Roman" w:hAnsi="Times New Roman"/>
          <w:szCs w:val="24"/>
        </w:rPr>
      </w:pPr>
      <w:r>
        <w:rPr>
          <w:rFonts w:hint="default" w:ascii="Times New Roman" w:hAnsi="Times New Roman"/>
          <w:szCs w:val="24"/>
        </w:rPr>
        <w:t>[37]</w:t>
      </w:r>
      <w:r>
        <w:rPr>
          <w:rFonts w:hint="default" w:ascii="Times New Roman" w:hAnsi="Times New Roman"/>
          <w:szCs w:val="24"/>
        </w:rPr>
        <w:tab/>
      </w:r>
      <w:r>
        <w:rPr>
          <w:rFonts w:hint="default" w:ascii="Times New Roman" w:hAnsi="Times New Roman"/>
          <w:szCs w:val="24"/>
        </w:rPr>
        <w:t>SUN J M, SHEN L, SHAH M A, et al. Pembrolizumab plus chemotherapy versus chemotherapy alone for first-line treatment of advanced oesophageal cancer (KEYNOTE-590): a randomised, placebo-controlled, phase 3 study[J]. Lancet, 2021, 398(10302): 759-771.</w:t>
      </w:r>
    </w:p>
    <w:p w14:paraId="3ABF3B68">
      <w:pPr>
        <w:pStyle w:val="11"/>
        <w:bidi w:val="0"/>
        <w:rPr>
          <w:rFonts w:hint="default" w:ascii="Times New Roman" w:hAnsi="Times New Roman"/>
          <w:szCs w:val="24"/>
        </w:rPr>
      </w:pPr>
      <w:r>
        <w:rPr>
          <w:rFonts w:hint="default" w:ascii="Times New Roman" w:hAnsi="Times New Roman"/>
          <w:szCs w:val="24"/>
        </w:rPr>
        <w:t>[38]</w:t>
      </w:r>
      <w:r>
        <w:rPr>
          <w:rFonts w:hint="default" w:ascii="Times New Roman" w:hAnsi="Times New Roman"/>
          <w:szCs w:val="24"/>
        </w:rPr>
        <w:tab/>
      </w:r>
      <w:r>
        <w:rPr>
          <w:rFonts w:hint="default" w:ascii="Times New Roman" w:hAnsi="Times New Roman"/>
          <w:szCs w:val="24"/>
        </w:rPr>
        <w:t>DOKI Y, AJANI J A, KATO K, et al. Nivolumab combination therapy in advanced esophageal squamous-cell carcinoma[J]. N Engl J Med, 2022, 386(5): 449-462.</w:t>
      </w:r>
    </w:p>
    <w:p w14:paraId="628D0FE6">
      <w:pPr>
        <w:pStyle w:val="11"/>
        <w:bidi w:val="0"/>
        <w:rPr>
          <w:rFonts w:hint="default" w:ascii="Times New Roman" w:hAnsi="Times New Roman"/>
          <w:szCs w:val="24"/>
        </w:rPr>
      </w:pPr>
      <w:r>
        <w:rPr>
          <w:rFonts w:hint="default" w:ascii="Times New Roman" w:hAnsi="Times New Roman"/>
          <w:szCs w:val="24"/>
        </w:rPr>
        <w:t>[39]</w:t>
      </w:r>
      <w:r>
        <w:rPr>
          <w:rFonts w:hint="default" w:ascii="Times New Roman" w:hAnsi="Times New Roman"/>
          <w:szCs w:val="24"/>
        </w:rPr>
        <w:tab/>
      </w:r>
      <w:r>
        <w:rPr>
          <w:rFonts w:hint="default" w:ascii="Times New Roman" w:hAnsi="Times New Roman"/>
          <w:szCs w:val="24"/>
        </w:rPr>
        <w:t>LENG X, HE W, LYU J</w:t>
      </w:r>
      <w:r>
        <w:rPr>
          <w:rFonts w:hint="eastAsia" w:ascii="Times New Roman" w:hAnsi="Times New Roman"/>
          <w:szCs w:val="24"/>
          <w:lang w:val="en-US" w:eastAsia="zh-CN"/>
        </w:rPr>
        <w:t>, et al</w:t>
      </w:r>
      <w:r>
        <w:rPr>
          <w:rFonts w:hint="default" w:ascii="Times New Roman" w:hAnsi="Times New Roman"/>
          <w:szCs w:val="24"/>
        </w:rPr>
        <w:t>. Preliminary results from the multicenter, randomized phase III trial (SCIENCE): comparing chemotherapy plus sintilimab and chemoradiotherapy plus sintilimab versus chemoradiotherapy for neoadjuvant treatment in resectable locally advanced esophageal squamous cell carcinoma[J]. J Clin Oncol. 2025;43(suppl 4):LBA329.</w:t>
      </w:r>
    </w:p>
    <w:p w14:paraId="4A62685E">
      <w:pPr>
        <w:pStyle w:val="11"/>
        <w:bidi w:val="0"/>
        <w:rPr>
          <w:rFonts w:hint="default" w:ascii="Times New Roman" w:hAnsi="Times New Roman"/>
          <w:szCs w:val="24"/>
        </w:rPr>
      </w:pPr>
      <w:r>
        <w:rPr>
          <w:rFonts w:hint="default" w:ascii="Times New Roman" w:hAnsi="Times New Roman"/>
          <w:szCs w:val="24"/>
        </w:rPr>
        <w:t>[40]</w:t>
      </w:r>
      <w:r>
        <w:rPr>
          <w:rFonts w:hint="default" w:ascii="Times New Roman" w:hAnsi="Times New Roman"/>
          <w:szCs w:val="24"/>
        </w:rPr>
        <w:tab/>
      </w:r>
      <w:r>
        <w:rPr>
          <w:rFonts w:hint="default" w:ascii="Times New Roman" w:hAnsi="Times New Roman"/>
          <w:szCs w:val="24"/>
        </w:rPr>
        <w:t>LIU J, YANG Y, LIU Z, et al. Multicenter, single-arm, phase II trial of camrelizumab and chemotherapy as neoadjuvant treatment for locally advanced esophageal squamous cell carcinoma[J]. J Immunother Cancer, 2022, 10(3): e004291.</w:t>
      </w:r>
    </w:p>
    <w:p w14:paraId="73388FA4">
      <w:pPr>
        <w:pStyle w:val="11"/>
        <w:bidi w:val="0"/>
        <w:rPr>
          <w:rFonts w:hint="default" w:ascii="Times New Roman" w:hAnsi="Times New Roman"/>
          <w:szCs w:val="24"/>
        </w:rPr>
      </w:pPr>
      <w:r>
        <w:rPr>
          <w:rFonts w:hint="default" w:ascii="Times New Roman" w:hAnsi="Times New Roman"/>
          <w:szCs w:val="24"/>
        </w:rPr>
        <w:t>[41]</w:t>
      </w:r>
      <w:r>
        <w:rPr>
          <w:rFonts w:hint="default" w:ascii="Times New Roman" w:hAnsi="Times New Roman"/>
          <w:szCs w:val="24"/>
        </w:rPr>
        <w:tab/>
      </w:r>
      <w:r>
        <w:rPr>
          <w:rFonts w:hint="default" w:ascii="Times New Roman" w:hAnsi="Times New Roman"/>
          <w:szCs w:val="24"/>
        </w:rPr>
        <w:t>YANG Y, LIU J, LIU Z, et al. Two-year outcomes of clinical N2-3 esophageal squamous cell carcinoma after neoadjuvant chemotherapy and immunotherapy from the phase 2 NICE study[J]. J Thorac Cardiovasc Surg, 2024, 167(3): 838-847.e1.</w:t>
      </w:r>
    </w:p>
    <w:p w14:paraId="6BE2890A">
      <w:pPr>
        <w:pStyle w:val="11"/>
        <w:bidi w:val="0"/>
        <w:rPr>
          <w:rFonts w:hint="default" w:ascii="Times New Roman" w:hAnsi="Times New Roman"/>
          <w:szCs w:val="24"/>
        </w:rPr>
      </w:pPr>
      <w:r>
        <w:rPr>
          <w:rFonts w:hint="default" w:ascii="Times New Roman" w:hAnsi="Times New Roman"/>
          <w:szCs w:val="24"/>
        </w:rPr>
        <w:t>[42]</w:t>
      </w:r>
      <w:r>
        <w:rPr>
          <w:rFonts w:hint="default" w:ascii="Times New Roman" w:hAnsi="Times New Roman"/>
          <w:szCs w:val="24"/>
        </w:rPr>
        <w:tab/>
      </w:r>
      <w:r>
        <w:rPr>
          <w:rFonts w:hint="default" w:ascii="Times New Roman" w:hAnsi="Times New Roman"/>
          <w:szCs w:val="24"/>
        </w:rPr>
        <w:t>MAO Y, GAO Z, SUN Y, et al. Four-year follow-up from the phase 2 study TD-NICE: neoadjuvant treatment of tislelizumab combined with chemotherapy in resectable esophageal squamous cell carcinoma[J]. BMC Cancer, 2025, 25</w:t>
      </w:r>
      <w:r>
        <w:rPr>
          <w:rFonts w:hint="eastAsia" w:ascii="Times New Roman" w:hAnsi="Times New Roman"/>
          <w:szCs w:val="24"/>
          <w:lang w:val="en-US" w:eastAsia="zh-CN"/>
        </w:rPr>
        <w:t>(1)</w:t>
      </w:r>
      <w:r>
        <w:rPr>
          <w:rFonts w:hint="default" w:ascii="Times New Roman" w:hAnsi="Times New Roman"/>
          <w:szCs w:val="24"/>
        </w:rPr>
        <w:t>: 1328.</w:t>
      </w:r>
    </w:p>
    <w:p w14:paraId="6B1A98CC">
      <w:pPr>
        <w:pStyle w:val="11"/>
        <w:bidi w:val="0"/>
        <w:rPr>
          <w:rFonts w:hint="default" w:ascii="Times New Roman" w:hAnsi="Times New Roman"/>
          <w:szCs w:val="24"/>
        </w:rPr>
      </w:pPr>
      <w:r>
        <w:rPr>
          <w:rFonts w:hint="default" w:ascii="Times New Roman" w:hAnsi="Times New Roman"/>
          <w:szCs w:val="24"/>
        </w:rPr>
        <w:t>[43]</w:t>
      </w:r>
      <w:r>
        <w:rPr>
          <w:rFonts w:hint="default" w:ascii="Times New Roman" w:hAnsi="Times New Roman"/>
          <w:szCs w:val="24"/>
        </w:rPr>
        <w:tab/>
      </w:r>
      <w:r>
        <w:rPr>
          <w:rFonts w:hint="default" w:ascii="Times New Roman" w:hAnsi="Times New Roman"/>
          <w:szCs w:val="24"/>
        </w:rPr>
        <w:t>LI Z G, LIU J, ZHANG M</w:t>
      </w:r>
      <w:r>
        <w:rPr>
          <w:rFonts w:hint="eastAsia" w:ascii="Times New Roman" w:hAnsi="Times New Roman"/>
          <w:szCs w:val="24"/>
          <w:lang w:val="en-US" w:eastAsia="zh-CN"/>
        </w:rPr>
        <w:t>,</w:t>
      </w:r>
      <w:r>
        <w:rPr>
          <w:rFonts w:hint="default" w:ascii="Times New Roman" w:hAnsi="Times New Roman"/>
          <w:szCs w:val="24"/>
        </w:rPr>
        <w:t xml:space="preserve"> et al. A phase II study of neoadjuvant immunotherapy combined with chemotherapy (camrelizumab plus albumin paclitaxel and carboplatin) in resectable thoracic esophageal squamous cell cancer (NICE study): interim results[J]. J Clin Oncol, 2021, 39(15_suppl): 4060.</w:t>
      </w:r>
    </w:p>
    <w:p w14:paraId="0E43B9CA">
      <w:pPr>
        <w:pStyle w:val="11"/>
        <w:bidi w:val="0"/>
        <w:rPr>
          <w:rFonts w:hint="default" w:ascii="Times New Roman" w:hAnsi="Times New Roman"/>
          <w:szCs w:val="24"/>
        </w:rPr>
      </w:pPr>
      <w:r>
        <w:rPr>
          <w:rFonts w:hint="default" w:ascii="Times New Roman" w:hAnsi="Times New Roman"/>
          <w:szCs w:val="24"/>
        </w:rPr>
        <w:t>[44]</w:t>
      </w:r>
      <w:r>
        <w:rPr>
          <w:rFonts w:hint="default" w:ascii="Times New Roman" w:hAnsi="Times New Roman"/>
          <w:szCs w:val="24"/>
        </w:rPr>
        <w:tab/>
      </w:r>
      <w:r>
        <w:rPr>
          <w:rFonts w:hint="default" w:ascii="Times New Roman" w:hAnsi="Times New Roman"/>
          <w:szCs w:val="24"/>
        </w:rPr>
        <w:t>NIE R C, YUAN S Q, DING Y, et al. Perioperative tislelizumab plus chemotherapy for locally advanced gastroesophageal junction adenocarcinoma (NEOSUMMIT-03): a prospective, nonrandomized, open-label, phase 2 trial[J]. Signal Transduct Target Ther, 2025, 10</w:t>
      </w:r>
      <w:r>
        <w:rPr>
          <w:rFonts w:hint="eastAsia" w:ascii="Times New Roman" w:hAnsi="Times New Roman"/>
          <w:szCs w:val="24"/>
          <w:lang w:val="en-US" w:eastAsia="zh-CN"/>
        </w:rPr>
        <w:t>(1)</w:t>
      </w:r>
      <w:r>
        <w:rPr>
          <w:rFonts w:hint="default" w:ascii="Times New Roman" w:hAnsi="Times New Roman"/>
          <w:szCs w:val="24"/>
        </w:rPr>
        <w:t>: 60.</w:t>
      </w:r>
    </w:p>
    <w:p w14:paraId="43191D81">
      <w:pPr>
        <w:pStyle w:val="11"/>
        <w:bidi w:val="0"/>
        <w:rPr>
          <w:rFonts w:hint="default" w:ascii="Times New Roman" w:hAnsi="Times New Roman"/>
          <w:szCs w:val="24"/>
        </w:rPr>
      </w:pPr>
      <w:r>
        <w:rPr>
          <w:rFonts w:hint="default" w:ascii="Times New Roman" w:hAnsi="Times New Roman"/>
          <w:szCs w:val="24"/>
        </w:rPr>
        <w:t>[45]</w:t>
      </w:r>
      <w:r>
        <w:rPr>
          <w:rFonts w:hint="default" w:ascii="Times New Roman" w:hAnsi="Times New Roman"/>
          <w:szCs w:val="24"/>
        </w:rPr>
        <w:tab/>
      </w:r>
      <w:r>
        <w:rPr>
          <w:rFonts w:hint="default" w:ascii="Times New Roman" w:hAnsi="Times New Roman"/>
          <w:szCs w:val="24"/>
        </w:rPr>
        <w:t>TSUSHIMA T, YAMAMOTO S, KATO K, et al. Efficacy of neoadjuvant CF or DCF, FLOT plus nivolumab for resectable locally advanced esophageal squamous cell carcinoma (JCOG1804E: FRONTIER)[J]. Dis Esophagus, 2024, 37(Supplement_1): doae057.047.</w:t>
      </w:r>
    </w:p>
    <w:p w14:paraId="1A7C5F85">
      <w:pPr>
        <w:pStyle w:val="11"/>
        <w:bidi w:val="0"/>
        <w:rPr>
          <w:rFonts w:hint="default" w:ascii="Times New Roman" w:hAnsi="Times New Roman"/>
          <w:szCs w:val="24"/>
        </w:rPr>
      </w:pPr>
      <w:r>
        <w:rPr>
          <w:rFonts w:hint="default" w:ascii="Times New Roman" w:hAnsi="Times New Roman"/>
          <w:szCs w:val="24"/>
        </w:rPr>
        <w:t>[46]</w:t>
      </w:r>
      <w:r>
        <w:rPr>
          <w:rFonts w:hint="default" w:ascii="Times New Roman" w:hAnsi="Times New Roman"/>
          <w:szCs w:val="24"/>
        </w:rPr>
        <w:tab/>
      </w:r>
      <w:r>
        <w:rPr>
          <w:rFonts w:hint="default" w:ascii="Times New Roman" w:hAnsi="Times New Roman"/>
          <w:szCs w:val="24"/>
        </w:rPr>
        <w:t>SHITARA K, RHA S Y, WYRWICZ L S, et al. Neoadjuvant and adjuvant pembrolizumab plus chemotherapy in locally advanced gastric or gastro-oesophageal cancer (KEYNOTE-585): an interim analysis of the multicentre, double-blind, randomised phase 3 study[J]. Lancet Oncol, 2024, 25(2): 212-224.</w:t>
      </w:r>
    </w:p>
    <w:p w14:paraId="630ABBC7">
      <w:pPr>
        <w:pStyle w:val="11"/>
        <w:bidi w:val="0"/>
        <w:rPr>
          <w:rFonts w:hint="default" w:ascii="Times New Roman" w:hAnsi="Times New Roman"/>
          <w:szCs w:val="24"/>
        </w:rPr>
      </w:pPr>
      <w:r>
        <w:rPr>
          <w:rFonts w:hint="default" w:ascii="Times New Roman" w:hAnsi="Times New Roman"/>
          <w:szCs w:val="24"/>
        </w:rPr>
        <w:t>[47]</w:t>
      </w:r>
      <w:r>
        <w:rPr>
          <w:rFonts w:hint="default" w:ascii="Times New Roman" w:hAnsi="Times New Roman"/>
          <w:szCs w:val="24"/>
        </w:rPr>
        <w:tab/>
      </w:r>
      <w:r>
        <w:rPr>
          <w:rFonts w:hint="default" w:ascii="Times New Roman" w:hAnsi="Times New Roman"/>
          <w:szCs w:val="24"/>
        </w:rPr>
        <w:t>JANJIGIAN Y Y, AL-BATRAN S E, WAINBERG Z A, et al. Perioperative durvalumab in gastric and gastroesophageal junction cancer[J]. N Engl J Med, 2025, 393(3): 217-230.</w:t>
      </w:r>
    </w:p>
    <w:p w14:paraId="5F0BDB31">
      <w:pPr>
        <w:pStyle w:val="11"/>
        <w:bidi w:val="0"/>
        <w:rPr>
          <w:rFonts w:hint="default" w:ascii="Times New Roman" w:hAnsi="Times New Roman"/>
          <w:szCs w:val="24"/>
        </w:rPr>
      </w:pPr>
      <w:r>
        <w:rPr>
          <w:rFonts w:hint="default" w:ascii="Times New Roman" w:hAnsi="Times New Roman"/>
          <w:szCs w:val="24"/>
        </w:rPr>
        <w:t>[48]</w:t>
      </w:r>
      <w:r>
        <w:rPr>
          <w:rFonts w:hint="default" w:ascii="Times New Roman" w:hAnsi="Times New Roman"/>
          <w:szCs w:val="24"/>
        </w:rPr>
        <w:tab/>
      </w:r>
      <w:r>
        <w:rPr>
          <w:rFonts w:hint="default" w:ascii="Times New Roman" w:hAnsi="Times New Roman"/>
          <w:szCs w:val="24"/>
        </w:rPr>
        <w:t>MATSUDA S, WIJNHOVEN B, LORDICK F, et al. Quality indicator survey of clinical practice guidelines for esophagogastric junction cancer 2023[J]. Dis Esophagus, 2025, 38(5): doaf071.</w:t>
      </w:r>
    </w:p>
    <w:p w14:paraId="3E1D5532">
      <w:pPr>
        <w:pStyle w:val="11"/>
        <w:bidi w:val="0"/>
        <w:rPr>
          <w:rFonts w:hint="default" w:ascii="Times New Roman" w:hAnsi="Times New Roman"/>
          <w:szCs w:val="24"/>
        </w:rPr>
      </w:pPr>
      <w:r>
        <w:rPr>
          <w:rFonts w:hint="default" w:ascii="Times New Roman" w:hAnsi="Times New Roman"/>
          <w:szCs w:val="24"/>
        </w:rPr>
        <w:t>[49]</w:t>
      </w:r>
      <w:r>
        <w:rPr>
          <w:rFonts w:hint="default" w:ascii="Times New Roman" w:hAnsi="Times New Roman"/>
          <w:szCs w:val="24"/>
        </w:rPr>
        <w:tab/>
      </w:r>
      <w:r>
        <w:rPr>
          <w:rFonts w:hint="default" w:ascii="Times New Roman" w:hAnsi="Times New Roman"/>
          <w:szCs w:val="24"/>
        </w:rPr>
        <w:t>VAN DER WILK B J, EYCK B M, WIJNHOVEN B P L, et al. Neoadjuvant chemoradiotherapy followed by active surveillance versus standard surgery for oesophageal cancer (SANO trial): a multicentre, stepped-wedge, cluster-randomised, non-inferiority, phase 3 trial[J]. Lancet Oncol, 2025, 26(4): 425-436.</w:t>
      </w:r>
    </w:p>
    <w:p w14:paraId="17598939">
      <w:pPr>
        <w:pStyle w:val="11"/>
        <w:bidi w:val="0"/>
        <w:rPr>
          <w:rFonts w:hint="default" w:ascii="Times New Roman" w:hAnsi="Times New Roman"/>
          <w:szCs w:val="24"/>
        </w:rPr>
      </w:pPr>
      <w:r>
        <w:rPr>
          <w:rFonts w:hint="default" w:ascii="Times New Roman" w:hAnsi="Times New Roman"/>
          <w:szCs w:val="24"/>
        </w:rPr>
        <w:t>[50]</w:t>
      </w:r>
      <w:r>
        <w:rPr>
          <w:rFonts w:hint="default" w:ascii="Times New Roman" w:hAnsi="Times New Roman"/>
          <w:szCs w:val="24"/>
        </w:rPr>
        <w:tab/>
      </w:r>
      <w:r>
        <w:rPr>
          <w:rFonts w:hint="default" w:ascii="Times New Roman" w:hAnsi="Times New Roman"/>
          <w:szCs w:val="24"/>
        </w:rPr>
        <w:t>QIAN D, CHEN X, SHANG X, et al. Definitive chemoradiotherapy versus neoadjuvant chemoradiotherapy followed by surgery in patients with locally advanced esophageal squamous cell carcinoma who achieved clinical complete response when induction chemoradiation finished: a phase II random[J]. Radiother Oncol, 2022, 174: 1-7.</w:t>
      </w:r>
    </w:p>
    <w:p w14:paraId="623D6413">
      <w:pPr>
        <w:pStyle w:val="11"/>
        <w:bidi w:val="0"/>
        <w:rPr>
          <w:rFonts w:hint="default" w:ascii="Times New Roman" w:hAnsi="Times New Roman"/>
          <w:szCs w:val="24"/>
        </w:rPr>
      </w:pPr>
      <w:r>
        <w:rPr>
          <w:rFonts w:hint="default" w:ascii="Times New Roman" w:hAnsi="Times New Roman"/>
          <w:szCs w:val="24"/>
        </w:rPr>
        <w:t>[51]</w:t>
      </w:r>
      <w:r>
        <w:rPr>
          <w:rFonts w:hint="default" w:ascii="Times New Roman" w:hAnsi="Times New Roman"/>
          <w:szCs w:val="24"/>
        </w:rPr>
        <w:tab/>
      </w:r>
      <w:r>
        <w:rPr>
          <w:rFonts w:hint="default" w:ascii="Times New Roman" w:hAnsi="Times New Roman"/>
          <w:szCs w:val="24"/>
        </w:rPr>
        <w:t>WILK B J, EYCK B M, DOUKAS M, et al. Residual disease after neoadjuvant chemoradiotherapy for oesophageal cancer: locations undetected by endoscopic biopsies in the preSANO trial[J]. Br J Surg, 2020, 107(13): 1791-1800.</w:t>
      </w:r>
    </w:p>
    <w:p w14:paraId="6601CD9C">
      <w:pPr>
        <w:pStyle w:val="11"/>
        <w:bidi w:val="0"/>
        <w:rPr>
          <w:rFonts w:hint="default" w:ascii="Times New Roman" w:hAnsi="Times New Roman"/>
          <w:szCs w:val="24"/>
        </w:rPr>
      </w:pPr>
      <w:r>
        <w:rPr>
          <w:rFonts w:hint="default" w:ascii="Times New Roman" w:hAnsi="Times New Roman"/>
          <w:szCs w:val="24"/>
        </w:rPr>
        <w:t>[52]</w:t>
      </w:r>
      <w:r>
        <w:rPr>
          <w:rFonts w:hint="default" w:ascii="Times New Roman" w:hAnsi="Times New Roman"/>
          <w:szCs w:val="24"/>
        </w:rPr>
        <w:tab/>
      </w:r>
      <w:r>
        <w:rPr>
          <w:rFonts w:hint="default" w:ascii="Times New Roman" w:hAnsi="Times New Roman"/>
          <w:szCs w:val="24"/>
        </w:rPr>
        <w:t>YANG Y, LIU Z, WONG I, et al. Detecting residual disease after neoadjuvant chemoradiotherapy for oesophageal squamous cell carcinoma: prospective multicentre preSINO trial[J]. Br J Surg, 2025, 112(2): znaf004.</w:t>
      </w:r>
    </w:p>
    <w:p w14:paraId="0C37B495">
      <w:pPr>
        <w:pStyle w:val="11"/>
        <w:bidi w:val="0"/>
        <w:rPr>
          <w:rFonts w:hint="default" w:ascii="Times New Roman" w:hAnsi="Times New Roman"/>
          <w:szCs w:val="24"/>
        </w:rPr>
      </w:pPr>
      <w:r>
        <w:rPr>
          <w:rFonts w:hint="default" w:ascii="Times New Roman" w:hAnsi="Times New Roman"/>
          <w:szCs w:val="24"/>
        </w:rPr>
        <w:t>[53]</w:t>
      </w:r>
      <w:r>
        <w:rPr>
          <w:rFonts w:hint="default" w:ascii="Times New Roman" w:hAnsi="Times New Roman"/>
          <w:szCs w:val="24"/>
        </w:rPr>
        <w:tab/>
      </w:r>
      <w:r>
        <w:rPr>
          <w:rFonts w:hint="default" w:ascii="Times New Roman" w:hAnsi="Times New Roman"/>
          <w:szCs w:val="24"/>
        </w:rPr>
        <w:t xml:space="preserve">HUANG Y, CHEN M, ZHOU L, et al. Impact of clinical decisions on patient outcomes after neoadjuvant therapy in locally advanced resectable esophageal squamous cell carcinoma[J]. Surg Endosc, 2025, </w:t>
      </w:r>
      <w:r>
        <w:rPr>
          <w:rFonts w:hint="eastAsia" w:ascii="Times New Roman" w:hAnsi="Times New Roman"/>
          <w:szCs w:val="24"/>
          <w:lang w:val="en-US" w:eastAsia="zh-CN"/>
        </w:rPr>
        <w:t>39</w:t>
      </w:r>
      <w:r>
        <w:rPr>
          <w:rFonts w:hint="default" w:ascii="Times New Roman" w:hAnsi="Times New Roman"/>
          <w:szCs w:val="24"/>
        </w:rPr>
        <w:t>(</w:t>
      </w:r>
      <w:r>
        <w:rPr>
          <w:rFonts w:hint="eastAsia" w:ascii="Times New Roman" w:hAnsi="Times New Roman"/>
          <w:szCs w:val="24"/>
          <w:lang w:val="en-US" w:eastAsia="zh-CN"/>
        </w:rPr>
        <w:t>12</w:t>
      </w:r>
      <w:r>
        <w:rPr>
          <w:rFonts w:hint="default" w:ascii="Times New Roman" w:hAnsi="Times New Roman"/>
          <w:szCs w:val="24"/>
        </w:rPr>
        <w:t>): 80</w:t>
      </w:r>
      <w:r>
        <w:rPr>
          <w:rFonts w:hint="eastAsia" w:ascii="Times New Roman" w:hAnsi="Times New Roman"/>
          <w:szCs w:val="24"/>
          <w:lang w:val="en-US" w:eastAsia="zh-CN"/>
        </w:rPr>
        <w:t>14</w:t>
      </w:r>
      <w:r>
        <w:rPr>
          <w:rFonts w:hint="default" w:ascii="Times New Roman" w:hAnsi="Times New Roman"/>
          <w:szCs w:val="24"/>
        </w:rPr>
        <w:t>-</w:t>
      </w:r>
      <w:r>
        <w:rPr>
          <w:rFonts w:hint="eastAsia" w:ascii="Times New Roman" w:hAnsi="Times New Roman"/>
          <w:szCs w:val="24"/>
          <w:lang w:val="en-US" w:eastAsia="zh-CN"/>
        </w:rPr>
        <w:t>9025</w:t>
      </w:r>
      <w:r>
        <w:rPr>
          <w:rFonts w:hint="default" w:ascii="Times New Roman" w:hAnsi="Times New Roman"/>
          <w:szCs w:val="24"/>
        </w:rPr>
        <w:t>.</w:t>
      </w:r>
    </w:p>
    <w:p w14:paraId="4EDB044A">
      <w:pPr>
        <w:pStyle w:val="11"/>
        <w:bidi w:val="0"/>
        <w:rPr>
          <w:rFonts w:hint="default" w:ascii="Times New Roman" w:hAnsi="Times New Roman"/>
          <w:szCs w:val="24"/>
        </w:rPr>
      </w:pPr>
      <w:r>
        <w:rPr>
          <w:rFonts w:hint="default" w:ascii="Times New Roman" w:hAnsi="Times New Roman"/>
          <w:szCs w:val="24"/>
        </w:rPr>
        <w:t>[54]</w:t>
      </w:r>
      <w:r>
        <w:rPr>
          <w:rFonts w:hint="default" w:ascii="Times New Roman" w:hAnsi="Times New Roman"/>
          <w:szCs w:val="24"/>
        </w:rPr>
        <w:tab/>
      </w:r>
      <w:r>
        <w:rPr>
          <w:rFonts w:hint="default" w:ascii="Times New Roman" w:hAnsi="Times New Roman"/>
          <w:szCs w:val="24"/>
        </w:rPr>
        <w:t>SONG X Y, LIN L, YANG Y, et al. Radiotherapy as an organ-preserving alternative to surgery in patients with locally advanced esophageal squamous cell carcinoma achieving major pathologic response after induction immunochemotherapy[J]. Int J Cancer, 2025, 157(8): 1680-1693.</w:t>
      </w:r>
    </w:p>
    <w:p w14:paraId="7A665091">
      <w:pPr>
        <w:pStyle w:val="11"/>
        <w:bidi w:val="0"/>
        <w:rPr>
          <w:rFonts w:hint="default" w:ascii="Times New Roman" w:hAnsi="Times New Roman"/>
          <w:szCs w:val="24"/>
        </w:rPr>
      </w:pPr>
      <w:r>
        <w:rPr>
          <w:rFonts w:hint="default" w:ascii="Times New Roman" w:hAnsi="Times New Roman"/>
          <w:szCs w:val="24"/>
        </w:rPr>
        <w:t>[55]</w:t>
      </w:r>
      <w:r>
        <w:rPr>
          <w:rFonts w:hint="default" w:ascii="Times New Roman" w:hAnsi="Times New Roman"/>
          <w:szCs w:val="24"/>
        </w:rPr>
        <w:tab/>
      </w:r>
      <w:r>
        <w:rPr>
          <w:rFonts w:hint="default" w:ascii="Times New Roman" w:hAnsi="Times New Roman"/>
          <w:szCs w:val="24"/>
        </w:rPr>
        <w:t>NILSSON K, KLEVEBRO F, SUNDE B, et al. Oncological outcomes of standard versus prolonged time to surgery after neoadjuvant chemoradiotherapy for oesophageal cancer in the multicentre, randomised, controlled NeoRes II trial[J]. Ann Oncol, 2023, 34(11): 1015-1024.</w:t>
      </w:r>
    </w:p>
    <w:p w14:paraId="5AE9E083">
      <w:pPr>
        <w:pStyle w:val="11"/>
        <w:bidi w:val="0"/>
        <w:rPr>
          <w:rFonts w:hint="default" w:ascii="Times New Roman" w:hAnsi="Times New Roman"/>
          <w:szCs w:val="24"/>
        </w:rPr>
      </w:pPr>
      <w:r>
        <w:rPr>
          <w:rFonts w:hint="default" w:ascii="Times New Roman" w:hAnsi="Times New Roman"/>
          <w:szCs w:val="24"/>
        </w:rPr>
        <w:t>[56]</w:t>
      </w:r>
      <w:r>
        <w:rPr>
          <w:rFonts w:hint="default" w:ascii="Times New Roman" w:hAnsi="Times New Roman"/>
          <w:szCs w:val="24"/>
        </w:rPr>
        <w:tab/>
      </w:r>
      <w:r>
        <w:rPr>
          <w:rFonts w:hint="default" w:ascii="Times New Roman" w:hAnsi="Times New Roman"/>
          <w:szCs w:val="24"/>
        </w:rPr>
        <w:t>YANG G, HONG Y, ZHANG X, et al. Impact of the interval between neoadjuvant immunotherapy and surgery on prognosis in esophageal squamous cell carcinoma (ESCC): a real-world study[J]. Cancer Immunol Immunother, 2024, 73(10): 202.</w:t>
      </w:r>
    </w:p>
    <w:p w14:paraId="01BD7FAB">
      <w:pPr>
        <w:pStyle w:val="11"/>
        <w:bidi w:val="0"/>
        <w:rPr>
          <w:rFonts w:hint="default" w:ascii="Times New Roman" w:hAnsi="Times New Roman"/>
          <w:szCs w:val="24"/>
        </w:rPr>
      </w:pPr>
      <w:r>
        <w:rPr>
          <w:rFonts w:hint="default" w:ascii="Times New Roman" w:hAnsi="Times New Roman"/>
          <w:szCs w:val="24"/>
        </w:rPr>
        <w:t>[57]</w:t>
      </w:r>
      <w:r>
        <w:rPr>
          <w:rFonts w:hint="default" w:ascii="Times New Roman" w:hAnsi="Times New Roman"/>
          <w:szCs w:val="24"/>
        </w:rPr>
        <w:tab/>
      </w:r>
      <w:r>
        <w:rPr>
          <w:rFonts w:hint="default" w:ascii="Times New Roman" w:hAnsi="Times New Roman"/>
          <w:szCs w:val="24"/>
        </w:rPr>
        <w:t>LIU J, ZHU L, HUANG X, et al. Does the time interval from neoadjuvant camrelizumab combined with chemotherapy to surgery affect outcomes for locally advanced esophageal squamous cell carcinoma?[J]. J Cancer Res Clin Oncol, 2024, 150(3): 161.</w:t>
      </w:r>
    </w:p>
    <w:p w14:paraId="51AC6558">
      <w:pPr>
        <w:pStyle w:val="11"/>
        <w:bidi w:val="0"/>
        <w:rPr>
          <w:rFonts w:hint="default" w:ascii="Times New Roman" w:hAnsi="Times New Roman"/>
          <w:szCs w:val="24"/>
        </w:rPr>
      </w:pPr>
      <w:r>
        <w:rPr>
          <w:rFonts w:hint="default" w:ascii="Times New Roman" w:hAnsi="Times New Roman"/>
          <w:szCs w:val="24"/>
        </w:rPr>
        <w:t>[58]</w:t>
      </w:r>
      <w:r>
        <w:rPr>
          <w:rFonts w:hint="default" w:ascii="Times New Roman" w:hAnsi="Times New Roman"/>
          <w:szCs w:val="24"/>
        </w:rPr>
        <w:tab/>
      </w:r>
      <w:r>
        <w:rPr>
          <w:rFonts w:hint="default" w:ascii="Times New Roman" w:hAnsi="Times New Roman"/>
          <w:szCs w:val="24"/>
        </w:rPr>
        <w:t>FANG P, XIAO X, ZHOU J, et al. The efficacy of time interval between neoadjuvant chemoimmunotherapy and surgery on outcomes in oesophageal squamous cell carcinoma[J]. Eur J Cardiothorac Surg, 2025, 67(10): ezaf316.</w:t>
      </w:r>
    </w:p>
    <w:p w14:paraId="58005495">
      <w:pPr>
        <w:pStyle w:val="11"/>
        <w:bidi w:val="0"/>
        <w:rPr>
          <w:rFonts w:hint="default" w:ascii="Times New Roman" w:hAnsi="Times New Roman"/>
          <w:szCs w:val="24"/>
        </w:rPr>
      </w:pPr>
      <w:r>
        <w:rPr>
          <w:rFonts w:hint="default" w:ascii="Times New Roman" w:hAnsi="Times New Roman"/>
          <w:szCs w:val="24"/>
        </w:rPr>
        <w:t>[59]</w:t>
      </w:r>
      <w:r>
        <w:rPr>
          <w:rFonts w:hint="default" w:ascii="Times New Roman" w:hAnsi="Times New Roman"/>
          <w:szCs w:val="24"/>
        </w:rPr>
        <w:tab/>
      </w:r>
      <w:r>
        <w:rPr>
          <w:rFonts w:hint="default" w:ascii="Times New Roman" w:hAnsi="Times New Roman"/>
          <w:szCs w:val="24"/>
        </w:rPr>
        <w:t>KELLY R J, AJANI J A, KUZDZAL J, et al. Adjuvant nivolumab in resected esophageal or gastroesophageal junction cancer[J]. N Engl J Med, 2021, 384(13): 1191-1203.</w:t>
      </w:r>
    </w:p>
    <w:p w14:paraId="3849A62F">
      <w:pPr>
        <w:pStyle w:val="11"/>
        <w:bidi w:val="0"/>
        <w:rPr>
          <w:rFonts w:hint="default" w:ascii="Times New Roman" w:hAnsi="Times New Roman"/>
          <w:szCs w:val="24"/>
        </w:rPr>
      </w:pPr>
      <w:r>
        <w:rPr>
          <w:rFonts w:hint="default" w:ascii="Times New Roman" w:hAnsi="Times New Roman"/>
          <w:szCs w:val="24"/>
        </w:rPr>
        <w:t>[60]</w:t>
      </w:r>
      <w:r>
        <w:rPr>
          <w:rFonts w:hint="default" w:ascii="Times New Roman" w:hAnsi="Times New Roman"/>
          <w:szCs w:val="24"/>
        </w:rPr>
        <w:tab/>
      </w:r>
      <w:r>
        <w:rPr>
          <w:rFonts w:hint="default" w:ascii="Times New Roman" w:hAnsi="Times New Roman"/>
          <w:szCs w:val="24"/>
        </w:rPr>
        <w:t>CHEN C, TIAN Z, LIN J, et al. Adjuvant immunotherapy for esophageal squamous cell carcinoma after neoadjuvant chemoimmunotherapy: a multicenter real-world study[J]. Int J Surg, 202</w:t>
      </w:r>
      <w:r>
        <w:rPr>
          <w:rFonts w:hint="eastAsia" w:ascii="Times New Roman" w:hAnsi="Times New Roman"/>
          <w:szCs w:val="24"/>
          <w:lang w:val="en-US" w:eastAsia="zh-CN"/>
        </w:rPr>
        <w:t>6</w:t>
      </w:r>
      <w:r>
        <w:rPr>
          <w:rFonts w:hint="default" w:ascii="Times New Roman" w:hAnsi="Times New Roman"/>
          <w:szCs w:val="24"/>
        </w:rPr>
        <w:t xml:space="preserve">, </w:t>
      </w:r>
      <w:r>
        <w:rPr>
          <w:rFonts w:hint="eastAsia" w:ascii="Times New Roman" w:hAnsi="Times New Roman"/>
          <w:szCs w:val="24"/>
          <w:lang w:val="en-US" w:eastAsia="zh-CN"/>
        </w:rPr>
        <w:t>112</w:t>
      </w:r>
      <w:r>
        <w:rPr>
          <w:rFonts w:hint="default" w:ascii="Times New Roman" w:hAnsi="Times New Roman"/>
          <w:szCs w:val="24"/>
        </w:rPr>
        <w:t>(1): 1</w:t>
      </w:r>
      <w:r>
        <w:rPr>
          <w:rFonts w:hint="eastAsia" w:ascii="Times New Roman" w:hAnsi="Times New Roman"/>
          <w:szCs w:val="24"/>
          <w:lang w:val="en-US" w:eastAsia="zh-CN"/>
        </w:rPr>
        <w:t>284</w:t>
      </w:r>
      <w:r>
        <w:rPr>
          <w:rFonts w:hint="default" w:ascii="Times New Roman" w:hAnsi="Times New Roman"/>
          <w:szCs w:val="24"/>
        </w:rPr>
        <w:t>-12</w:t>
      </w:r>
      <w:r>
        <w:rPr>
          <w:rFonts w:hint="eastAsia" w:ascii="Times New Roman" w:hAnsi="Times New Roman"/>
          <w:szCs w:val="24"/>
          <w:lang w:val="en-US" w:eastAsia="zh-CN"/>
        </w:rPr>
        <w:t>94</w:t>
      </w:r>
      <w:r>
        <w:rPr>
          <w:rFonts w:hint="default" w:ascii="Times New Roman" w:hAnsi="Times New Roman"/>
          <w:szCs w:val="24"/>
        </w:rPr>
        <w:t>.</w:t>
      </w:r>
    </w:p>
    <w:p w14:paraId="3DE3A046">
      <w:pPr>
        <w:pStyle w:val="11"/>
        <w:bidi w:val="0"/>
        <w:rPr>
          <w:rFonts w:hint="default" w:ascii="Times New Roman" w:hAnsi="Times New Roman"/>
          <w:szCs w:val="24"/>
        </w:rPr>
      </w:pPr>
      <w:r>
        <w:rPr>
          <w:rFonts w:hint="default" w:ascii="Times New Roman" w:hAnsi="Times New Roman"/>
          <w:szCs w:val="24"/>
        </w:rPr>
        <w:t>[61]</w:t>
      </w:r>
      <w:r>
        <w:rPr>
          <w:rFonts w:hint="default" w:ascii="Times New Roman" w:hAnsi="Times New Roman"/>
          <w:szCs w:val="24"/>
        </w:rPr>
        <w:tab/>
      </w:r>
      <w:r>
        <w:rPr>
          <w:rFonts w:hint="default" w:ascii="Times New Roman" w:hAnsi="Times New Roman"/>
          <w:szCs w:val="24"/>
        </w:rPr>
        <w:t>FENG J, WANG L, YANG X, et al. Adjuvant immunotherapy after neoadjuvant immunochemotherapy and esophagectomy for esophageal squamous cell carcinoma: a real-world study[J]. Front Immunol, 2024, 15: 1456193.</w:t>
      </w:r>
    </w:p>
    <w:p w14:paraId="3D7A80B6">
      <w:pPr>
        <w:pStyle w:val="11"/>
        <w:bidi w:val="0"/>
        <w:rPr>
          <w:rFonts w:hint="default" w:ascii="Times New Roman" w:hAnsi="Times New Roman"/>
          <w:szCs w:val="24"/>
        </w:rPr>
      </w:pPr>
      <w:r>
        <w:rPr>
          <w:rFonts w:hint="default" w:ascii="Times New Roman" w:hAnsi="Times New Roman"/>
          <w:szCs w:val="24"/>
        </w:rPr>
        <w:t>[62]</w:t>
      </w:r>
      <w:r>
        <w:rPr>
          <w:rFonts w:hint="default" w:ascii="Times New Roman" w:hAnsi="Times New Roman"/>
          <w:szCs w:val="24"/>
        </w:rPr>
        <w:tab/>
      </w:r>
      <w:r>
        <w:rPr>
          <w:rFonts w:hint="default" w:ascii="Times New Roman" w:hAnsi="Times New Roman"/>
          <w:szCs w:val="24"/>
        </w:rPr>
        <w:t>XIE S H, YANG L T, ZHANG H, et al. Adjuvant therapy provides no additional recurrence-free benefit for esophageal squamous cell carcinoma patients after neoadjuvant chemoimmunotherapy and surgery: a multi-center propensity score match study[J]. Front Immunol, 2024, 15: 1332492.</w:t>
      </w:r>
    </w:p>
    <w:p w14:paraId="558A93CD">
      <w:pPr>
        <w:pStyle w:val="11"/>
        <w:tabs>
          <w:tab w:val="left" w:pos="384"/>
          <w:tab w:val="clear" w:pos="504"/>
        </w:tabs>
        <w:bidi w:val="0"/>
        <w:ind w:left="0" w:leftChars="0" w:firstLine="0" w:firstLineChars="0"/>
        <w:rPr>
          <w:rFonts w:hint="default" w:ascii="Times New Roman" w:hAnsi="Times New Roman"/>
          <w:szCs w:val="24"/>
        </w:rPr>
      </w:pPr>
      <w:r>
        <w:rPr>
          <w:rFonts w:hint="default" w:ascii="Times New Roman" w:hAnsi="Times New Roman"/>
          <w:szCs w:val="24"/>
        </w:rPr>
        <w:fldChar w:fldCharType="end"/>
      </w:r>
    </w:p>
    <w:p w14:paraId="6B320C78">
      <w:pPr>
        <w:pStyle w:val="11"/>
        <w:tabs>
          <w:tab w:val="left" w:pos="384"/>
          <w:tab w:val="clear" w:pos="504"/>
        </w:tabs>
        <w:bidi w:val="0"/>
        <w:rPr>
          <w:rFonts w:hint="default" w:ascii="Times New Roman" w:hAnsi="Times New Roman"/>
          <w:sz w:val="21"/>
          <w:szCs w:val="21"/>
          <w:lang w:val="en-US" w:eastAsia="zh-CN"/>
        </w:rPr>
      </w:pPr>
    </w:p>
    <w:p w14:paraId="59C66F01">
      <w:pPr>
        <w:pStyle w:val="11"/>
        <w:tabs>
          <w:tab w:val="left" w:pos="384"/>
          <w:tab w:val="clear" w:pos="504"/>
        </w:tabs>
        <w:bidi w:val="0"/>
        <w:rPr>
          <w:rFonts w:hint="default" w:ascii="Times New Roman" w:hAnsi="Times New Roman"/>
          <w:sz w:val="21"/>
          <w:szCs w:val="21"/>
          <w:lang w:val="en-US" w:eastAsia="zh-CN"/>
        </w:rPr>
      </w:pPr>
    </w:p>
    <w:p w14:paraId="3BFA6A9D">
      <w:pPr>
        <w:pStyle w:val="11"/>
        <w:tabs>
          <w:tab w:val="left" w:pos="384"/>
          <w:tab w:val="clear" w:pos="504"/>
        </w:tabs>
        <w:bidi w:val="0"/>
        <w:rPr>
          <w:rFonts w:hint="default" w:ascii="Times New Roman" w:hAnsi="Times New Roman"/>
          <w:sz w:val="21"/>
          <w:szCs w:val="21"/>
          <w:lang w:val="en-US" w:eastAsia="zh-CN"/>
        </w:rPr>
      </w:pPr>
    </w:p>
    <w:p w14:paraId="199FE1F7">
      <w:pPr>
        <w:pStyle w:val="11"/>
        <w:tabs>
          <w:tab w:val="left" w:pos="384"/>
          <w:tab w:val="clear" w:pos="504"/>
        </w:tabs>
        <w:bidi w:val="0"/>
        <w:rPr>
          <w:rFonts w:hint="default" w:ascii="Times New Roman" w:hAnsi="Times New Roman"/>
          <w:sz w:val="21"/>
          <w:szCs w:val="21"/>
          <w:lang w:val="en-US" w:eastAsia="zh-CN"/>
        </w:rPr>
      </w:pPr>
    </w:p>
    <w:p w14:paraId="592C3A99">
      <w:pPr>
        <w:pStyle w:val="11"/>
        <w:tabs>
          <w:tab w:val="left" w:pos="384"/>
          <w:tab w:val="clear" w:pos="504"/>
        </w:tabs>
        <w:bidi w:val="0"/>
        <w:rPr>
          <w:rFonts w:hint="default" w:ascii="Times New Roman" w:hAnsi="Times New Roman"/>
          <w:sz w:val="21"/>
          <w:szCs w:val="21"/>
          <w:lang w:val="en-US" w:eastAsia="zh-CN"/>
        </w:rPr>
      </w:pPr>
    </w:p>
    <w:p w14:paraId="15BC237C">
      <w:pPr>
        <w:pStyle w:val="11"/>
        <w:tabs>
          <w:tab w:val="left" w:pos="384"/>
          <w:tab w:val="clear" w:pos="504"/>
        </w:tabs>
        <w:bidi w:val="0"/>
        <w:rPr>
          <w:rFonts w:hint="default" w:ascii="Times New Roman" w:hAnsi="Times New Roman"/>
          <w:sz w:val="21"/>
          <w:szCs w:val="21"/>
          <w:lang w:val="en-US" w:eastAsia="zh-CN"/>
        </w:rPr>
      </w:pPr>
    </w:p>
    <w:p w14:paraId="5F735EB2">
      <w:pPr>
        <w:pStyle w:val="11"/>
        <w:tabs>
          <w:tab w:val="left" w:pos="384"/>
          <w:tab w:val="clear" w:pos="504"/>
        </w:tabs>
        <w:bidi w:val="0"/>
        <w:rPr>
          <w:rFonts w:hint="default" w:ascii="Times New Roman" w:hAnsi="Times New Roman"/>
          <w:sz w:val="21"/>
          <w:szCs w:val="21"/>
          <w:lang w:val="en-US" w:eastAsia="zh-CN"/>
        </w:rPr>
      </w:pP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A808738"/>
    <w:multiLevelType w:val="singleLevel"/>
    <w:tmpl w:val="FA808738"/>
    <w:lvl w:ilvl="0" w:tentative="0">
      <w:start w:val="5"/>
      <w:numFmt w:val="chineseCounting"/>
      <w:suff w:val="nothing"/>
      <w:lvlText w:val="%1、"/>
      <w:lvlJc w:val="left"/>
      <w:rPr>
        <w:rFonts w:hint="eastAsia"/>
      </w:rPr>
    </w:lvl>
  </w:abstractNum>
  <w:abstractNum w:abstractNumId="1">
    <w:nsid w:val="35F5898E"/>
    <w:multiLevelType w:val="singleLevel"/>
    <w:tmpl w:val="35F5898E"/>
    <w:lvl w:ilvl="0" w:tentative="0">
      <w:start w:val="1"/>
      <w:numFmt w:val="decimal"/>
      <w:suff w:val="space"/>
      <w:lvlText w:val="(%1."/>
      <w:lvlJc w:val="left"/>
    </w:lvl>
  </w:abstractNum>
  <w:abstractNum w:abstractNumId="2">
    <w:nsid w:val="4BF54606"/>
    <w:multiLevelType w:val="singleLevel"/>
    <w:tmpl w:val="4BF54606"/>
    <w:lvl w:ilvl="0" w:tentative="0">
      <w:start w:val="2"/>
      <w:numFmt w:val="chineseCounting"/>
      <w:suff w:val="nothing"/>
      <w:lvlText w:val="%1、"/>
      <w:lvlJc w:val="left"/>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421CE"/>
    <w:rsid w:val="00132C81"/>
    <w:rsid w:val="002332EB"/>
    <w:rsid w:val="004375AC"/>
    <w:rsid w:val="00664533"/>
    <w:rsid w:val="0077325E"/>
    <w:rsid w:val="00A07DF5"/>
    <w:rsid w:val="00A82233"/>
    <w:rsid w:val="00B5341A"/>
    <w:rsid w:val="00C603FA"/>
    <w:rsid w:val="00E521C7"/>
    <w:rsid w:val="00E61DC5"/>
    <w:rsid w:val="01260E98"/>
    <w:rsid w:val="01427C79"/>
    <w:rsid w:val="01463C70"/>
    <w:rsid w:val="015F254D"/>
    <w:rsid w:val="01806DDF"/>
    <w:rsid w:val="01996D0C"/>
    <w:rsid w:val="01AD5116"/>
    <w:rsid w:val="01DB1680"/>
    <w:rsid w:val="01FC27D6"/>
    <w:rsid w:val="020C020B"/>
    <w:rsid w:val="020E0A4E"/>
    <w:rsid w:val="02117DF2"/>
    <w:rsid w:val="02317DBE"/>
    <w:rsid w:val="023747AF"/>
    <w:rsid w:val="02383131"/>
    <w:rsid w:val="023858EA"/>
    <w:rsid w:val="023A5733"/>
    <w:rsid w:val="024A6EF3"/>
    <w:rsid w:val="024B6CD3"/>
    <w:rsid w:val="025F3F8C"/>
    <w:rsid w:val="02672D80"/>
    <w:rsid w:val="02931FE5"/>
    <w:rsid w:val="02A971EA"/>
    <w:rsid w:val="02B346E9"/>
    <w:rsid w:val="02B86A83"/>
    <w:rsid w:val="02BA5D3C"/>
    <w:rsid w:val="02BE378E"/>
    <w:rsid w:val="02D05861"/>
    <w:rsid w:val="02DD0AFB"/>
    <w:rsid w:val="02E35293"/>
    <w:rsid w:val="02EC1781"/>
    <w:rsid w:val="030D350D"/>
    <w:rsid w:val="036269B4"/>
    <w:rsid w:val="0365741F"/>
    <w:rsid w:val="03762F3D"/>
    <w:rsid w:val="03786440"/>
    <w:rsid w:val="03924AC7"/>
    <w:rsid w:val="03975670"/>
    <w:rsid w:val="03C4295A"/>
    <w:rsid w:val="03CE5F43"/>
    <w:rsid w:val="03DB6C7C"/>
    <w:rsid w:val="03DB6DDA"/>
    <w:rsid w:val="03E147EA"/>
    <w:rsid w:val="03E312C3"/>
    <w:rsid w:val="03EF1A15"/>
    <w:rsid w:val="03F922D4"/>
    <w:rsid w:val="04127E4F"/>
    <w:rsid w:val="04340109"/>
    <w:rsid w:val="043B1F2D"/>
    <w:rsid w:val="04536763"/>
    <w:rsid w:val="045B7DD6"/>
    <w:rsid w:val="045D4343"/>
    <w:rsid w:val="04656FC2"/>
    <w:rsid w:val="04746C92"/>
    <w:rsid w:val="047A5783"/>
    <w:rsid w:val="049A7BD3"/>
    <w:rsid w:val="04A70858"/>
    <w:rsid w:val="04AE1A41"/>
    <w:rsid w:val="04AE2C39"/>
    <w:rsid w:val="04E62626"/>
    <w:rsid w:val="04EA65CA"/>
    <w:rsid w:val="05056200"/>
    <w:rsid w:val="05117747"/>
    <w:rsid w:val="05131E0A"/>
    <w:rsid w:val="05295CAB"/>
    <w:rsid w:val="05351C19"/>
    <w:rsid w:val="053523CE"/>
    <w:rsid w:val="054007AB"/>
    <w:rsid w:val="054123C0"/>
    <w:rsid w:val="0544172F"/>
    <w:rsid w:val="057247B6"/>
    <w:rsid w:val="057951B2"/>
    <w:rsid w:val="057E3312"/>
    <w:rsid w:val="05941C32"/>
    <w:rsid w:val="059E6E44"/>
    <w:rsid w:val="05AF70A1"/>
    <w:rsid w:val="05AF70AA"/>
    <w:rsid w:val="05B44CC5"/>
    <w:rsid w:val="05BC239F"/>
    <w:rsid w:val="05C64552"/>
    <w:rsid w:val="05DE61E6"/>
    <w:rsid w:val="05E4625C"/>
    <w:rsid w:val="05FA3D12"/>
    <w:rsid w:val="05FE4192"/>
    <w:rsid w:val="0609724F"/>
    <w:rsid w:val="060C2D53"/>
    <w:rsid w:val="0619570F"/>
    <w:rsid w:val="0639166E"/>
    <w:rsid w:val="06477363"/>
    <w:rsid w:val="065B7836"/>
    <w:rsid w:val="06696793"/>
    <w:rsid w:val="066A0ADD"/>
    <w:rsid w:val="066E436F"/>
    <w:rsid w:val="068560C3"/>
    <w:rsid w:val="06AA71FC"/>
    <w:rsid w:val="06B75848"/>
    <w:rsid w:val="06BA455D"/>
    <w:rsid w:val="06BE5FC9"/>
    <w:rsid w:val="06C3547C"/>
    <w:rsid w:val="06CD130C"/>
    <w:rsid w:val="06DC0977"/>
    <w:rsid w:val="06FD08ED"/>
    <w:rsid w:val="072C1921"/>
    <w:rsid w:val="072C64D0"/>
    <w:rsid w:val="073D3E64"/>
    <w:rsid w:val="07633483"/>
    <w:rsid w:val="076B5F50"/>
    <w:rsid w:val="07724E37"/>
    <w:rsid w:val="07844D18"/>
    <w:rsid w:val="078B414B"/>
    <w:rsid w:val="078B5EF9"/>
    <w:rsid w:val="079274FA"/>
    <w:rsid w:val="0793321D"/>
    <w:rsid w:val="07A272F8"/>
    <w:rsid w:val="07B567B5"/>
    <w:rsid w:val="07B92C3C"/>
    <w:rsid w:val="07C36277"/>
    <w:rsid w:val="07C84643"/>
    <w:rsid w:val="07E25977"/>
    <w:rsid w:val="07E43A81"/>
    <w:rsid w:val="07F4584C"/>
    <w:rsid w:val="07F87185"/>
    <w:rsid w:val="080F2686"/>
    <w:rsid w:val="08161C67"/>
    <w:rsid w:val="082472AD"/>
    <w:rsid w:val="08371F47"/>
    <w:rsid w:val="083D201A"/>
    <w:rsid w:val="084A0EA6"/>
    <w:rsid w:val="087010E6"/>
    <w:rsid w:val="087F67E2"/>
    <w:rsid w:val="08A06389"/>
    <w:rsid w:val="08A14C58"/>
    <w:rsid w:val="08BC5353"/>
    <w:rsid w:val="08EF2A75"/>
    <w:rsid w:val="08F97134"/>
    <w:rsid w:val="090B7225"/>
    <w:rsid w:val="091003CA"/>
    <w:rsid w:val="091308EF"/>
    <w:rsid w:val="091361A6"/>
    <w:rsid w:val="092C085E"/>
    <w:rsid w:val="093446A7"/>
    <w:rsid w:val="09434CDD"/>
    <w:rsid w:val="095567BF"/>
    <w:rsid w:val="095B3C4E"/>
    <w:rsid w:val="095F390F"/>
    <w:rsid w:val="0979740A"/>
    <w:rsid w:val="098D41AA"/>
    <w:rsid w:val="098F5CBA"/>
    <w:rsid w:val="09A017D8"/>
    <w:rsid w:val="09AE5786"/>
    <w:rsid w:val="09CA0F5B"/>
    <w:rsid w:val="09DA28B7"/>
    <w:rsid w:val="09F74A60"/>
    <w:rsid w:val="0A1B7645"/>
    <w:rsid w:val="0A2C3657"/>
    <w:rsid w:val="0A2F6B46"/>
    <w:rsid w:val="0A305844"/>
    <w:rsid w:val="0A3974EE"/>
    <w:rsid w:val="0A5115FC"/>
    <w:rsid w:val="0A6D7E41"/>
    <w:rsid w:val="0A854281"/>
    <w:rsid w:val="0A8B1E7D"/>
    <w:rsid w:val="0A9877F2"/>
    <w:rsid w:val="0AAA05B2"/>
    <w:rsid w:val="0AB319EF"/>
    <w:rsid w:val="0AC43BFC"/>
    <w:rsid w:val="0AC52D31"/>
    <w:rsid w:val="0B03361E"/>
    <w:rsid w:val="0B04351C"/>
    <w:rsid w:val="0B052C79"/>
    <w:rsid w:val="0B3E1552"/>
    <w:rsid w:val="0B510EC7"/>
    <w:rsid w:val="0B666B56"/>
    <w:rsid w:val="0B6A6ADF"/>
    <w:rsid w:val="0B8249A4"/>
    <w:rsid w:val="0B844805"/>
    <w:rsid w:val="0BA47589"/>
    <w:rsid w:val="0BA57B12"/>
    <w:rsid w:val="0BF01FA1"/>
    <w:rsid w:val="0C0C5DA0"/>
    <w:rsid w:val="0C0D4368"/>
    <w:rsid w:val="0C19573F"/>
    <w:rsid w:val="0C477370"/>
    <w:rsid w:val="0C483CB5"/>
    <w:rsid w:val="0C572DDC"/>
    <w:rsid w:val="0C735D72"/>
    <w:rsid w:val="0C7A56D7"/>
    <w:rsid w:val="0C843C2C"/>
    <w:rsid w:val="0C8850DF"/>
    <w:rsid w:val="0C994FA5"/>
    <w:rsid w:val="0CBD16F5"/>
    <w:rsid w:val="0CDA3224"/>
    <w:rsid w:val="0CE20630"/>
    <w:rsid w:val="0CE35CF3"/>
    <w:rsid w:val="0CFD510D"/>
    <w:rsid w:val="0D223618"/>
    <w:rsid w:val="0D3C261A"/>
    <w:rsid w:val="0D442DD2"/>
    <w:rsid w:val="0D605732"/>
    <w:rsid w:val="0D6C6366"/>
    <w:rsid w:val="0D70016D"/>
    <w:rsid w:val="0D706468"/>
    <w:rsid w:val="0D735465"/>
    <w:rsid w:val="0D7C7ACB"/>
    <w:rsid w:val="0D822738"/>
    <w:rsid w:val="0D8476AE"/>
    <w:rsid w:val="0D8A0478"/>
    <w:rsid w:val="0DA46AFB"/>
    <w:rsid w:val="0DEE7869"/>
    <w:rsid w:val="0DF20224"/>
    <w:rsid w:val="0E0013EF"/>
    <w:rsid w:val="0E0C5377"/>
    <w:rsid w:val="0E20133D"/>
    <w:rsid w:val="0E3C4511"/>
    <w:rsid w:val="0E3C75E8"/>
    <w:rsid w:val="0E5A6B98"/>
    <w:rsid w:val="0E962187"/>
    <w:rsid w:val="0EAD11D9"/>
    <w:rsid w:val="0EB01236"/>
    <w:rsid w:val="0EBE68BC"/>
    <w:rsid w:val="0ECE05F4"/>
    <w:rsid w:val="0ED308B1"/>
    <w:rsid w:val="0EE96807"/>
    <w:rsid w:val="0EF64818"/>
    <w:rsid w:val="0F234C69"/>
    <w:rsid w:val="0F3A448D"/>
    <w:rsid w:val="0F465419"/>
    <w:rsid w:val="0F512F0F"/>
    <w:rsid w:val="0F6D64A3"/>
    <w:rsid w:val="0F757F93"/>
    <w:rsid w:val="0F79690E"/>
    <w:rsid w:val="0F8E5C90"/>
    <w:rsid w:val="0FD3043D"/>
    <w:rsid w:val="0FE5719E"/>
    <w:rsid w:val="0FEC465E"/>
    <w:rsid w:val="0FF74FC9"/>
    <w:rsid w:val="0FFE5298"/>
    <w:rsid w:val="10225B78"/>
    <w:rsid w:val="102D5E93"/>
    <w:rsid w:val="10362C26"/>
    <w:rsid w:val="103D5E34"/>
    <w:rsid w:val="104579BD"/>
    <w:rsid w:val="104906FF"/>
    <w:rsid w:val="105C58EA"/>
    <w:rsid w:val="107938F3"/>
    <w:rsid w:val="10866E14"/>
    <w:rsid w:val="108B44D6"/>
    <w:rsid w:val="10B35E6E"/>
    <w:rsid w:val="10C36704"/>
    <w:rsid w:val="10D64D2E"/>
    <w:rsid w:val="10E67546"/>
    <w:rsid w:val="110274F6"/>
    <w:rsid w:val="11057DFB"/>
    <w:rsid w:val="11096801"/>
    <w:rsid w:val="111156C1"/>
    <w:rsid w:val="111C784B"/>
    <w:rsid w:val="11261702"/>
    <w:rsid w:val="11525504"/>
    <w:rsid w:val="117D32A8"/>
    <w:rsid w:val="117F1913"/>
    <w:rsid w:val="1185547F"/>
    <w:rsid w:val="11930964"/>
    <w:rsid w:val="119D47D7"/>
    <w:rsid w:val="119E717A"/>
    <w:rsid w:val="11AC0F46"/>
    <w:rsid w:val="11C22033"/>
    <w:rsid w:val="11CE1A42"/>
    <w:rsid w:val="11E95F4C"/>
    <w:rsid w:val="11F0547A"/>
    <w:rsid w:val="1202325C"/>
    <w:rsid w:val="12050515"/>
    <w:rsid w:val="120533DA"/>
    <w:rsid w:val="12192A7F"/>
    <w:rsid w:val="127631F4"/>
    <w:rsid w:val="12787CDD"/>
    <w:rsid w:val="12892176"/>
    <w:rsid w:val="128B4FFF"/>
    <w:rsid w:val="128B5679"/>
    <w:rsid w:val="12931208"/>
    <w:rsid w:val="12964D0E"/>
    <w:rsid w:val="12DC7A01"/>
    <w:rsid w:val="12E27315"/>
    <w:rsid w:val="12F572A6"/>
    <w:rsid w:val="131A74E6"/>
    <w:rsid w:val="131D7AB1"/>
    <w:rsid w:val="13252E99"/>
    <w:rsid w:val="133D299B"/>
    <w:rsid w:val="13491142"/>
    <w:rsid w:val="13612AFD"/>
    <w:rsid w:val="13976302"/>
    <w:rsid w:val="13B769DD"/>
    <w:rsid w:val="13BD1D6F"/>
    <w:rsid w:val="13C034F7"/>
    <w:rsid w:val="13C6192D"/>
    <w:rsid w:val="13D7569A"/>
    <w:rsid w:val="13D80FD4"/>
    <w:rsid w:val="13D96CE3"/>
    <w:rsid w:val="13EE74BE"/>
    <w:rsid w:val="141D03AC"/>
    <w:rsid w:val="142008CD"/>
    <w:rsid w:val="144219B9"/>
    <w:rsid w:val="144E4BC4"/>
    <w:rsid w:val="145A5833"/>
    <w:rsid w:val="145C3375"/>
    <w:rsid w:val="14663C85"/>
    <w:rsid w:val="14741FA9"/>
    <w:rsid w:val="147C16AC"/>
    <w:rsid w:val="14850E4F"/>
    <w:rsid w:val="14962256"/>
    <w:rsid w:val="14BA590D"/>
    <w:rsid w:val="14C227AD"/>
    <w:rsid w:val="14EB6229"/>
    <w:rsid w:val="150712B5"/>
    <w:rsid w:val="151C355A"/>
    <w:rsid w:val="15253679"/>
    <w:rsid w:val="15273D43"/>
    <w:rsid w:val="154410F5"/>
    <w:rsid w:val="15491CF9"/>
    <w:rsid w:val="154D0CFD"/>
    <w:rsid w:val="15612E1C"/>
    <w:rsid w:val="15771544"/>
    <w:rsid w:val="157B75AD"/>
    <w:rsid w:val="158B450E"/>
    <w:rsid w:val="15954377"/>
    <w:rsid w:val="159C7BB9"/>
    <w:rsid w:val="15D00CD9"/>
    <w:rsid w:val="15D476DF"/>
    <w:rsid w:val="15E13171"/>
    <w:rsid w:val="15FF1F8C"/>
    <w:rsid w:val="1609726C"/>
    <w:rsid w:val="16263C66"/>
    <w:rsid w:val="164A7C92"/>
    <w:rsid w:val="16753FFC"/>
    <w:rsid w:val="167A73B7"/>
    <w:rsid w:val="1689290A"/>
    <w:rsid w:val="16B65802"/>
    <w:rsid w:val="16F779F4"/>
    <w:rsid w:val="171C6B53"/>
    <w:rsid w:val="172F4118"/>
    <w:rsid w:val="17407C36"/>
    <w:rsid w:val="175B4A52"/>
    <w:rsid w:val="176C18A3"/>
    <w:rsid w:val="17AA0D49"/>
    <w:rsid w:val="17AA0D75"/>
    <w:rsid w:val="17B528C0"/>
    <w:rsid w:val="17DB43D0"/>
    <w:rsid w:val="17EC08B7"/>
    <w:rsid w:val="18065BFA"/>
    <w:rsid w:val="180D0D79"/>
    <w:rsid w:val="180D4FC6"/>
    <w:rsid w:val="1819421C"/>
    <w:rsid w:val="181F6915"/>
    <w:rsid w:val="18381785"/>
    <w:rsid w:val="18972D9A"/>
    <w:rsid w:val="18B42B68"/>
    <w:rsid w:val="18BA663E"/>
    <w:rsid w:val="18BC4164"/>
    <w:rsid w:val="18C474BD"/>
    <w:rsid w:val="18DF2B5E"/>
    <w:rsid w:val="18E637EA"/>
    <w:rsid w:val="18F4137B"/>
    <w:rsid w:val="18F81F79"/>
    <w:rsid w:val="191F4F5C"/>
    <w:rsid w:val="192C3EF5"/>
    <w:rsid w:val="1953639C"/>
    <w:rsid w:val="196A001E"/>
    <w:rsid w:val="196D2DFC"/>
    <w:rsid w:val="1978126D"/>
    <w:rsid w:val="19AD4DF4"/>
    <w:rsid w:val="19C16E81"/>
    <w:rsid w:val="19D56FB2"/>
    <w:rsid w:val="19DF652E"/>
    <w:rsid w:val="19E27BFB"/>
    <w:rsid w:val="19EB3F91"/>
    <w:rsid w:val="19ED3EA6"/>
    <w:rsid w:val="1A047C44"/>
    <w:rsid w:val="1A0F7083"/>
    <w:rsid w:val="1A252E71"/>
    <w:rsid w:val="1A3962AB"/>
    <w:rsid w:val="1A3A2E16"/>
    <w:rsid w:val="1A6C3968"/>
    <w:rsid w:val="1A9B4AAD"/>
    <w:rsid w:val="1ABE2E86"/>
    <w:rsid w:val="1ABF306F"/>
    <w:rsid w:val="1AC83294"/>
    <w:rsid w:val="1AEF085A"/>
    <w:rsid w:val="1B0601E0"/>
    <w:rsid w:val="1B0D0831"/>
    <w:rsid w:val="1B0E2C78"/>
    <w:rsid w:val="1B140EBD"/>
    <w:rsid w:val="1B202253"/>
    <w:rsid w:val="1B2C5C22"/>
    <w:rsid w:val="1B3E70B3"/>
    <w:rsid w:val="1B44789C"/>
    <w:rsid w:val="1B463A0D"/>
    <w:rsid w:val="1B680005"/>
    <w:rsid w:val="1B6E2DD2"/>
    <w:rsid w:val="1B767AEF"/>
    <w:rsid w:val="1B904E9E"/>
    <w:rsid w:val="1BD154F3"/>
    <w:rsid w:val="1BE35C1B"/>
    <w:rsid w:val="1C1F2DCC"/>
    <w:rsid w:val="1C2215CF"/>
    <w:rsid w:val="1C4972F3"/>
    <w:rsid w:val="1C517CDD"/>
    <w:rsid w:val="1C57568C"/>
    <w:rsid w:val="1C8651B5"/>
    <w:rsid w:val="1C9D42AD"/>
    <w:rsid w:val="1CE41EA1"/>
    <w:rsid w:val="1CEB0181"/>
    <w:rsid w:val="1CF354CB"/>
    <w:rsid w:val="1D014681"/>
    <w:rsid w:val="1D0609AB"/>
    <w:rsid w:val="1D0E0D07"/>
    <w:rsid w:val="1D126A49"/>
    <w:rsid w:val="1D1E6052"/>
    <w:rsid w:val="1D2A5163"/>
    <w:rsid w:val="1D444093"/>
    <w:rsid w:val="1D4B27DB"/>
    <w:rsid w:val="1D6B310E"/>
    <w:rsid w:val="1D6B604E"/>
    <w:rsid w:val="1D7E18EE"/>
    <w:rsid w:val="1D954F84"/>
    <w:rsid w:val="1DAA5026"/>
    <w:rsid w:val="1DB4365C"/>
    <w:rsid w:val="1DDC5629"/>
    <w:rsid w:val="1DE74360"/>
    <w:rsid w:val="1DF50235"/>
    <w:rsid w:val="1E192DF2"/>
    <w:rsid w:val="1E3121C1"/>
    <w:rsid w:val="1E320A25"/>
    <w:rsid w:val="1E374053"/>
    <w:rsid w:val="1E85617A"/>
    <w:rsid w:val="1EF34E2E"/>
    <w:rsid w:val="1F0D587D"/>
    <w:rsid w:val="1F3A2287"/>
    <w:rsid w:val="1F484A43"/>
    <w:rsid w:val="1F680BA2"/>
    <w:rsid w:val="1F7F413E"/>
    <w:rsid w:val="1FA15E62"/>
    <w:rsid w:val="1FE10954"/>
    <w:rsid w:val="200843F5"/>
    <w:rsid w:val="20256A93"/>
    <w:rsid w:val="2026764F"/>
    <w:rsid w:val="20286583"/>
    <w:rsid w:val="202C71EE"/>
    <w:rsid w:val="203521F9"/>
    <w:rsid w:val="20B3409F"/>
    <w:rsid w:val="20E444D7"/>
    <w:rsid w:val="20EA3B7F"/>
    <w:rsid w:val="20EC337E"/>
    <w:rsid w:val="20F46465"/>
    <w:rsid w:val="20FE6CAD"/>
    <w:rsid w:val="21204FF0"/>
    <w:rsid w:val="212E10AB"/>
    <w:rsid w:val="217B030D"/>
    <w:rsid w:val="21805494"/>
    <w:rsid w:val="21821CC3"/>
    <w:rsid w:val="21A62FC3"/>
    <w:rsid w:val="21A97250"/>
    <w:rsid w:val="21AA3516"/>
    <w:rsid w:val="21C1030D"/>
    <w:rsid w:val="21DE15EF"/>
    <w:rsid w:val="21E45026"/>
    <w:rsid w:val="21EB619F"/>
    <w:rsid w:val="21F72D73"/>
    <w:rsid w:val="21F91F85"/>
    <w:rsid w:val="21FA2A4D"/>
    <w:rsid w:val="21FC09E6"/>
    <w:rsid w:val="22350AE4"/>
    <w:rsid w:val="223F38FC"/>
    <w:rsid w:val="22405491"/>
    <w:rsid w:val="224A27E1"/>
    <w:rsid w:val="22712A81"/>
    <w:rsid w:val="22916662"/>
    <w:rsid w:val="22971693"/>
    <w:rsid w:val="229816E8"/>
    <w:rsid w:val="22A23018"/>
    <w:rsid w:val="22B37249"/>
    <w:rsid w:val="22B42350"/>
    <w:rsid w:val="22FD3AD4"/>
    <w:rsid w:val="230328C4"/>
    <w:rsid w:val="230C030B"/>
    <w:rsid w:val="23147249"/>
    <w:rsid w:val="231D70CE"/>
    <w:rsid w:val="2322731E"/>
    <w:rsid w:val="233F124C"/>
    <w:rsid w:val="23417C75"/>
    <w:rsid w:val="23510E00"/>
    <w:rsid w:val="236667D0"/>
    <w:rsid w:val="236A521B"/>
    <w:rsid w:val="237D0994"/>
    <w:rsid w:val="238461D7"/>
    <w:rsid w:val="23897D5A"/>
    <w:rsid w:val="239A32F4"/>
    <w:rsid w:val="23A15A2A"/>
    <w:rsid w:val="23BA4FAC"/>
    <w:rsid w:val="23C01BF4"/>
    <w:rsid w:val="23F36242"/>
    <w:rsid w:val="241059BB"/>
    <w:rsid w:val="24111A48"/>
    <w:rsid w:val="2415200F"/>
    <w:rsid w:val="2418084D"/>
    <w:rsid w:val="2425685A"/>
    <w:rsid w:val="24257A47"/>
    <w:rsid w:val="24272D6D"/>
    <w:rsid w:val="243135F7"/>
    <w:rsid w:val="243179FF"/>
    <w:rsid w:val="245154CD"/>
    <w:rsid w:val="245C1A70"/>
    <w:rsid w:val="24771B3B"/>
    <w:rsid w:val="2483022C"/>
    <w:rsid w:val="249266C1"/>
    <w:rsid w:val="24A203BA"/>
    <w:rsid w:val="24AE34FB"/>
    <w:rsid w:val="24B2681F"/>
    <w:rsid w:val="2501742F"/>
    <w:rsid w:val="251F1268"/>
    <w:rsid w:val="252D481E"/>
    <w:rsid w:val="25554146"/>
    <w:rsid w:val="255A598A"/>
    <w:rsid w:val="256D7CE0"/>
    <w:rsid w:val="25783C88"/>
    <w:rsid w:val="259874E2"/>
    <w:rsid w:val="25A77F4A"/>
    <w:rsid w:val="25AA7CDA"/>
    <w:rsid w:val="25B11336"/>
    <w:rsid w:val="25BB59F6"/>
    <w:rsid w:val="25C94365"/>
    <w:rsid w:val="25D3781A"/>
    <w:rsid w:val="25E145B1"/>
    <w:rsid w:val="25E33AB0"/>
    <w:rsid w:val="25F07CA4"/>
    <w:rsid w:val="26070074"/>
    <w:rsid w:val="26174A8B"/>
    <w:rsid w:val="261A071C"/>
    <w:rsid w:val="26237E66"/>
    <w:rsid w:val="26324725"/>
    <w:rsid w:val="263537A8"/>
    <w:rsid w:val="265C0D35"/>
    <w:rsid w:val="267C2231"/>
    <w:rsid w:val="267E0EC7"/>
    <w:rsid w:val="26862B41"/>
    <w:rsid w:val="268A1E16"/>
    <w:rsid w:val="26A64341"/>
    <w:rsid w:val="26BB6504"/>
    <w:rsid w:val="26C223CD"/>
    <w:rsid w:val="26CE3B85"/>
    <w:rsid w:val="26D00219"/>
    <w:rsid w:val="26E61C61"/>
    <w:rsid w:val="27355340"/>
    <w:rsid w:val="27665A32"/>
    <w:rsid w:val="27767636"/>
    <w:rsid w:val="277F0B43"/>
    <w:rsid w:val="27AB0725"/>
    <w:rsid w:val="27F15616"/>
    <w:rsid w:val="28117CD7"/>
    <w:rsid w:val="28331903"/>
    <w:rsid w:val="28347384"/>
    <w:rsid w:val="287C5891"/>
    <w:rsid w:val="289017FF"/>
    <w:rsid w:val="289A78F2"/>
    <w:rsid w:val="28C3509B"/>
    <w:rsid w:val="28D01762"/>
    <w:rsid w:val="28DC21CB"/>
    <w:rsid w:val="28E0749D"/>
    <w:rsid w:val="29166BDD"/>
    <w:rsid w:val="292B643D"/>
    <w:rsid w:val="294F0DD5"/>
    <w:rsid w:val="296E4F42"/>
    <w:rsid w:val="29794148"/>
    <w:rsid w:val="2986315B"/>
    <w:rsid w:val="298B1AC7"/>
    <w:rsid w:val="29C009D8"/>
    <w:rsid w:val="29C27AA8"/>
    <w:rsid w:val="29C85D07"/>
    <w:rsid w:val="29D976B5"/>
    <w:rsid w:val="2A24682F"/>
    <w:rsid w:val="2A4E308A"/>
    <w:rsid w:val="2A5225F6"/>
    <w:rsid w:val="2A564494"/>
    <w:rsid w:val="2A652B1C"/>
    <w:rsid w:val="2A6B6F23"/>
    <w:rsid w:val="2A867B1E"/>
    <w:rsid w:val="2AA528A7"/>
    <w:rsid w:val="2AAB515F"/>
    <w:rsid w:val="2ABD2EC0"/>
    <w:rsid w:val="2ACF51B7"/>
    <w:rsid w:val="2AF43684"/>
    <w:rsid w:val="2AFD3680"/>
    <w:rsid w:val="2B094197"/>
    <w:rsid w:val="2B1B11BE"/>
    <w:rsid w:val="2B326AF2"/>
    <w:rsid w:val="2B327FAB"/>
    <w:rsid w:val="2B5C7F1B"/>
    <w:rsid w:val="2B764038"/>
    <w:rsid w:val="2B7D44BD"/>
    <w:rsid w:val="2B81456D"/>
    <w:rsid w:val="2B8D373E"/>
    <w:rsid w:val="2B9777BC"/>
    <w:rsid w:val="2B9D265D"/>
    <w:rsid w:val="2BA54F2C"/>
    <w:rsid w:val="2BB77B14"/>
    <w:rsid w:val="2BC8116D"/>
    <w:rsid w:val="2BD27A22"/>
    <w:rsid w:val="2BD467BF"/>
    <w:rsid w:val="2BD55811"/>
    <w:rsid w:val="2BD561F6"/>
    <w:rsid w:val="2BFE644D"/>
    <w:rsid w:val="2C3C6E9F"/>
    <w:rsid w:val="2C463755"/>
    <w:rsid w:val="2C493FB6"/>
    <w:rsid w:val="2CB20162"/>
    <w:rsid w:val="2CCE2260"/>
    <w:rsid w:val="2CCE47E0"/>
    <w:rsid w:val="2CF23FD2"/>
    <w:rsid w:val="2D0F07B8"/>
    <w:rsid w:val="2D297E19"/>
    <w:rsid w:val="2D3E6CDF"/>
    <w:rsid w:val="2D400CCB"/>
    <w:rsid w:val="2D4D255F"/>
    <w:rsid w:val="2D511AA2"/>
    <w:rsid w:val="2D5A73F9"/>
    <w:rsid w:val="2D6E3617"/>
    <w:rsid w:val="2D76477A"/>
    <w:rsid w:val="2D7F4033"/>
    <w:rsid w:val="2D87143F"/>
    <w:rsid w:val="2DA46226"/>
    <w:rsid w:val="2DA51328"/>
    <w:rsid w:val="2DC52865"/>
    <w:rsid w:val="2DD0534B"/>
    <w:rsid w:val="2DD057C3"/>
    <w:rsid w:val="2DEF06E0"/>
    <w:rsid w:val="2DF47953"/>
    <w:rsid w:val="2E016B8B"/>
    <w:rsid w:val="2E036741"/>
    <w:rsid w:val="2E057E65"/>
    <w:rsid w:val="2E3D58F0"/>
    <w:rsid w:val="2E4C334B"/>
    <w:rsid w:val="2EB8613D"/>
    <w:rsid w:val="2EC63D37"/>
    <w:rsid w:val="2EDA49B2"/>
    <w:rsid w:val="2EE363F4"/>
    <w:rsid w:val="2F0F10E8"/>
    <w:rsid w:val="2F0F6197"/>
    <w:rsid w:val="2F316F81"/>
    <w:rsid w:val="2F5D2106"/>
    <w:rsid w:val="2F681955"/>
    <w:rsid w:val="2F8B07DF"/>
    <w:rsid w:val="2FB461D1"/>
    <w:rsid w:val="2FC569A4"/>
    <w:rsid w:val="2FCC0CD9"/>
    <w:rsid w:val="2FD11994"/>
    <w:rsid w:val="2FD24261"/>
    <w:rsid w:val="2FF93442"/>
    <w:rsid w:val="2FFA3A98"/>
    <w:rsid w:val="30032221"/>
    <w:rsid w:val="30051E20"/>
    <w:rsid w:val="30325C5E"/>
    <w:rsid w:val="30393C76"/>
    <w:rsid w:val="30414686"/>
    <w:rsid w:val="305F47ED"/>
    <w:rsid w:val="30650573"/>
    <w:rsid w:val="306F2462"/>
    <w:rsid w:val="30756B3A"/>
    <w:rsid w:val="30A06F5B"/>
    <w:rsid w:val="30A431F7"/>
    <w:rsid w:val="30CB379B"/>
    <w:rsid w:val="30DF309C"/>
    <w:rsid w:val="30EE359E"/>
    <w:rsid w:val="30F143BD"/>
    <w:rsid w:val="30FC7C33"/>
    <w:rsid w:val="31197F4E"/>
    <w:rsid w:val="31327CC7"/>
    <w:rsid w:val="31392979"/>
    <w:rsid w:val="313C53F5"/>
    <w:rsid w:val="313D1CA2"/>
    <w:rsid w:val="3149243C"/>
    <w:rsid w:val="3152655A"/>
    <w:rsid w:val="315B7806"/>
    <w:rsid w:val="3166515D"/>
    <w:rsid w:val="319121DA"/>
    <w:rsid w:val="31915AE2"/>
    <w:rsid w:val="31AC796C"/>
    <w:rsid w:val="31C72739"/>
    <w:rsid w:val="31F51F83"/>
    <w:rsid w:val="321D581C"/>
    <w:rsid w:val="32211B4E"/>
    <w:rsid w:val="322425B2"/>
    <w:rsid w:val="323939EC"/>
    <w:rsid w:val="32543CE4"/>
    <w:rsid w:val="32566F80"/>
    <w:rsid w:val="32662F17"/>
    <w:rsid w:val="32B8700B"/>
    <w:rsid w:val="32CC3DA8"/>
    <w:rsid w:val="32E61AD8"/>
    <w:rsid w:val="32FD0450"/>
    <w:rsid w:val="330A275A"/>
    <w:rsid w:val="330B38C7"/>
    <w:rsid w:val="330E2B74"/>
    <w:rsid w:val="33114C55"/>
    <w:rsid w:val="332F0A06"/>
    <w:rsid w:val="332F5AAF"/>
    <w:rsid w:val="33396AB6"/>
    <w:rsid w:val="3341553A"/>
    <w:rsid w:val="336A2630"/>
    <w:rsid w:val="336C32D1"/>
    <w:rsid w:val="3379512B"/>
    <w:rsid w:val="338E7E7F"/>
    <w:rsid w:val="338F160E"/>
    <w:rsid w:val="33A930DF"/>
    <w:rsid w:val="33BC1065"/>
    <w:rsid w:val="33CA3A32"/>
    <w:rsid w:val="33CF62A2"/>
    <w:rsid w:val="34280C1E"/>
    <w:rsid w:val="343C56C0"/>
    <w:rsid w:val="343F09CC"/>
    <w:rsid w:val="345117AD"/>
    <w:rsid w:val="34572B3B"/>
    <w:rsid w:val="345D5731"/>
    <w:rsid w:val="34646507"/>
    <w:rsid w:val="34866A39"/>
    <w:rsid w:val="349124F1"/>
    <w:rsid w:val="34933E3F"/>
    <w:rsid w:val="349E7AB5"/>
    <w:rsid w:val="34B7500A"/>
    <w:rsid w:val="34CC6681"/>
    <w:rsid w:val="34E0133C"/>
    <w:rsid w:val="34FC6E5F"/>
    <w:rsid w:val="350E55A7"/>
    <w:rsid w:val="35216B3A"/>
    <w:rsid w:val="35230B3B"/>
    <w:rsid w:val="353F69C0"/>
    <w:rsid w:val="35424BEE"/>
    <w:rsid w:val="354475BF"/>
    <w:rsid w:val="354B10F6"/>
    <w:rsid w:val="355D10F4"/>
    <w:rsid w:val="355E6A9D"/>
    <w:rsid w:val="358C3E1D"/>
    <w:rsid w:val="359B1780"/>
    <w:rsid w:val="35B349F5"/>
    <w:rsid w:val="35C65F46"/>
    <w:rsid w:val="35D612E1"/>
    <w:rsid w:val="35D72EE3"/>
    <w:rsid w:val="35E51771"/>
    <w:rsid w:val="35EA0E10"/>
    <w:rsid w:val="35FD55FF"/>
    <w:rsid w:val="362178A5"/>
    <w:rsid w:val="36234943"/>
    <w:rsid w:val="36407D2B"/>
    <w:rsid w:val="36655B51"/>
    <w:rsid w:val="36782A6C"/>
    <w:rsid w:val="367B0D63"/>
    <w:rsid w:val="36B70FA8"/>
    <w:rsid w:val="36DB3EF8"/>
    <w:rsid w:val="36FF7BE6"/>
    <w:rsid w:val="37120C26"/>
    <w:rsid w:val="37405B09"/>
    <w:rsid w:val="376B54F8"/>
    <w:rsid w:val="37976191"/>
    <w:rsid w:val="379E73FF"/>
    <w:rsid w:val="37BE671B"/>
    <w:rsid w:val="37CD4298"/>
    <w:rsid w:val="37E566A0"/>
    <w:rsid w:val="38022573"/>
    <w:rsid w:val="382849B1"/>
    <w:rsid w:val="38290A28"/>
    <w:rsid w:val="3835046E"/>
    <w:rsid w:val="383A3324"/>
    <w:rsid w:val="384B03E9"/>
    <w:rsid w:val="385775AE"/>
    <w:rsid w:val="386D6DD1"/>
    <w:rsid w:val="38800088"/>
    <w:rsid w:val="38934A8A"/>
    <w:rsid w:val="389D185B"/>
    <w:rsid w:val="38A2791E"/>
    <w:rsid w:val="38A50019"/>
    <w:rsid w:val="38DA0D8B"/>
    <w:rsid w:val="38E1635E"/>
    <w:rsid w:val="390E707E"/>
    <w:rsid w:val="39167469"/>
    <w:rsid w:val="391C0D1A"/>
    <w:rsid w:val="391E54C3"/>
    <w:rsid w:val="392C192F"/>
    <w:rsid w:val="39367C43"/>
    <w:rsid w:val="393A2270"/>
    <w:rsid w:val="393C0C0E"/>
    <w:rsid w:val="39492473"/>
    <w:rsid w:val="39650573"/>
    <w:rsid w:val="39677CC5"/>
    <w:rsid w:val="397058EA"/>
    <w:rsid w:val="397A17A6"/>
    <w:rsid w:val="39B5543D"/>
    <w:rsid w:val="39DA4A4C"/>
    <w:rsid w:val="39E12318"/>
    <w:rsid w:val="39FC1D75"/>
    <w:rsid w:val="39FD1710"/>
    <w:rsid w:val="3A317E0C"/>
    <w:rsid w:val="3A585FE3"/>
    <w:rsid w:val="3A643182"/>
    <w:rsid w:val="3A6E3A0D"/>
    <w:rsid w:val="3A6E6DEA"/>
    <w:rsid w:val="3A8111B8"/>
    <w:rsid w:val="3A817517"/>
    <w:rsid w:val="3AAD7959"/>
    <w:rsid w:val="3AE5701F"/>
    <w:rsid w:val="3AEC456D"/>
    <w:rsid w:val="3AF24864"/>
    <w:rsid w:val="3AF24F7E"/>
    <w:rsid w:val="3AFA18B7"/>
    <w:rsid w:val="3B0E32DD"/>
    <w:rsid w:val="3B3760F2"/>
    <w:rsid w:val="3B582BD5"/>
    <w:rsid w:val="3B610C48"/>
    <w:rsid w:val="3B82017E"/>
    <w:rsid w:val="3B89083B"/>
    <w:rsid w:val="3B967331"/>
    <w:rsid w:val="3BA46A22"/>
    <w:rsid w:val="3BB02C79"/>
    <w:rsid w:val="3BBE3383"/>
    <w:rsid w:val="3BC93E03"/>
    <w:rsid w:val="3BE54C4E"/>
    <w:rsid w:val="3C071109"/>
    <w:rsid w:val="3C0E61B4"/>
    <w:rsid w:val="3C1C6B44"/>
    <w:rsid w:val="3C2052F0"/>
    <w:rsid w:val="3C411E1B"/>
    <w:rsid w:val="3C417FEA"/>
    <w:rsid w:val="3C5E19B0"/>
    <w:rsid w:val="3C705568"/>
    <w:rsid w:val="3C836BC3"/>
    <w:rsid w:val="3C853429"/>
    <w:rsid w:val="3C8A1256"/>
    <w:rsid w:val="3C971EAD"/>
    <w:rsid w:val="3CB07E23"/>
    <w:rsid w:val="3CBB7CB3"/>
    <w:rsid w:val="3CCB2319"/>
    <w:rsid w:val="3CF17FD1"/>
    <w:rsid w:val="3D113054"/>
    <w:rsid w:val="3D4F5C21"/>
    <w:rsid w:val="3D54332A"/>
    <w:rsid w:val="3D6D0CE3"/>
    <w:rsid w:val="3D8153C7"/>
    <w:rsid w:val="3D826E7B"/>
    <w:rsid w:val="3D9D1F07"/>
    <w:rsid w:val="3DA962B7"/>
    <w:rsid w:val="3DAD62F3"/>
    <w:rsid w:val="3DEC7A1E"/>
    <w:rsid w:val="3DF56736"/>
    <w:rsid w:val="3DFC0A87"/>
    <w:rsid w:val="3E1E2862"/>
    <w:rsid w:val="3E391FCF"/>
    <w:rsid w:val="3E3D4238"/>
    <w:rsid w:val="3E4E4846"/>
    <w:rsid w:val="3E5527E2"/>
    <w:rsid w:val="3E66679D"/>
    <w:rsid w:val="3E960DA0"/>
    <w:rsid w:val="3EAE0C67"/>
    <w:rsid w:val="3EB72E05"/>
    <w:rsid w:val="3EC7317F"/>
    <w:rsid w:val="3ECB7693"/>
    <w:rsid w:val="3EF427BF"/>
    <w:rsid w:val="3F043BAC"/>
    <w:rsid w:val="3F263BC7"/>
    <w:rsid w:val="3F2A5A1C"/>
    <w:rsid w:val="3F2D6433"/>
    <w:rsid w:val="3F2E0483"/>
    <w:rsid w:val="3F33033C"/>
    <w:rsid w:val="3F4924E0"/>
    <w:rsid w:val="3F651E10"/>
    <w:rsid w:val="3F6A7BC7"/>
    <w:rsid w:val="3F6F1831"/>
    <w:rsid w:val="3F9D4507"/>
    <w:rsid w:val="3F9F2231"/>
    <w:rsid w:val="3FB21F0F"/>
    <w:rsid w:val="3FB302C4"/>
    <w:rsid w:val="3FC037F9"/>
    <w:rsid w:val="3FC75019"/>
    <w:rsid w:val="3FE34229"/>
    <w:rsid w:val="3FF141DC"/>
    <w:rsid w:val="40074D19"/>
    <w:rsid w:val="40123659"/>
    <w:rsid w:val="401356D5"/>
    <w:rsid w:val="40185137"/>
    <w:rsid w:val="40290958"/>
    <w:rsid w:val="403A01A1"/>
    <w:rsid w:val="40543C97"/>
    <w:rsid w:val="4055002F"/>
    <w:rsid w:val="4057269D"/>
    <w:rsid w:val="40650B27"/>
    <w:rsid w:val="406A323D"/>
    <w:rsid w:val="40784565"/>
    <w:rsid w:val="40884DD4"/>
    <w:rsid w:val="40AD420F"/>
    <w:rsid w:val="40C71FE9"/>
    <w:rsid w:val="40E81A64"/>
    <w:rsid w:val="40F76323"/>
    <w:rsid w:val="41033C84"/>
    <w:rsid w:val="41067FA0"/>
    <w:rsid w:val="410F470C"/>
    <w:rsid w:val="41126768"/>
    <w:rsid w:val="412C397A"/>
    <w:rsid w:val="413110B5"/>
    <w:rsid w:val="417B56B5"/>
    <w:rsid w:val="4189371C"/>
    <w:rsid w:val="41AE2C4F"/>
    <w:rsid w:val="41B37831"/>
    <w:rsid w:val="41B613ED"/>
    <w:rsid w:val="41C310BB"/>
    <w:rsid w:val="41D11F0A"/>
    <w:rsid w:val="41E73751"/>
    <w:rsid w:val="42105272"/>
    <w:rsid w:val="42454A01"/>
    <w:rsid w:val="428B4D6E"/>
    <w:rsid w:val="428C40BE"/>
    <w:rsid w:val="429B267B"/>
    <w:rsid w:val="429F385C"/>
    <w:rsid w:val="42BF718B"/>
    <w:rsid w:val="42D02437"/>
    <w:rsid w:val="43183BF0"/>
    <w:rsid w:val="43194C5C"/>
    <w:rsid w:val="431A0331"/>
    <w:rsid w:val="432205B2"/>
    <w:rsid w:val="43301127"/>
    <w:rsid w:val="433B4DC7"/>
    <w:rsid w:val="43494F3D"/>
    <w:rsid w:val="434D6E78"/>
    <w:rsid w:val="43555678"/>
    <w:rsid w:val="436832A5"/>
    <w:rsid w:val="436D4129"/>
    <w:rsid w:val="4395506D"/>
    <w:rsid w:val="439E597D"/>
    <w:rsid w:val="43A7408E"/>
    <w:rsid w:val="43B71C33"/>
    <w:rsid w:val="43B85E8D"/>
    <w:rsid w:val="43BD1391"/>
    <w:rsid w:val="43C10B4E"/>
    <w:rsid w:val="43D249D4"/>
    <w:rsid w:val="43DE25B5"/>
    <w:rsid w:val="43E048FB"/>
    <w:rsid w:val="43ED7037"/>
    <w:rsid w:val="43EE7018"/>
    <w:rsid w:val="43FA02BC"/>
    <w:rsid w:val="43FC307D"/>
    <w:rsid w:val="44066626"/>
    <w:rsid w:val="4407632C"/>
    <w:rsid w:val="44236751"/>
    <w:rsid w:val="44314EEC"/>
    <w:rsid w:val="44562F2D"/>
    <w:rsid w:val="44784D7E"/>
    <w:rsid w:val="44817E8C"/>
    <w:rsid w:val="448A245E"/>
    <w:rsid w:val="448B2AB9"/>
    <w:rsid w:val="44911A8D"/>
    <w:rsid w:val="44957494"/>
    <w:rsid w:val="449D1FC8"/>
    <w:rsid w:val="44A1408B"/>
    <w:rsid w:val="44A52CAC"/>
    <w:rsid w:val="44AC00B9"/>
    <w:rsid w:val="44C35AE0"/>
    <w:rsid w:val="44D474EF"/>
    <w:rsid w:val="44D673DB"/>
    <w:rsid w:val="44E95A32"/>
    <w:rsid w:val="44F6395B"/>
    <w:rsid w:val="45062012"/>
    <w:rsid w:val="450D13D7"/>
    <w:rsid w:val="45316B94"/>
    <w:rsid w:val="45361F7B"/>
    <w:rsid w:val="45650DEA"/>
    <w:rsid w:val="457052B2"/>
    <w:rsid w:val="45717F01"/>
    <w:rsid w:val="457C66B9"/>
    <w:rsid w:val="457F57BE"/>
    <w:rsid w:val="45C93A73"/>
    <w:rsid w:val="45C93C12"/>
    <w:rsid w:val="45D04424"/>
    <w:rsid w:val="45D147FE"/>
    <w:rsid w:val="45E95393"/>
    <w:rsid w:val="45EA2D2E"/>
    <w:rsid w:val="45FE41E2"/>
    <w:rsid w:val="46042D2D"/>
    <w:rsid w:val="46051679"/>
    <w:rsid w:val="46064E72"/>
    <w:rsid w:val="460C7C2A"/>
    <w:rsid w:val="46113203"/>
    <w:rsid w:val="461B60BF"/>
    <w:rsid w:val="462A65A2"/>
    <w:rsid w:val="465E3302"/>
    <w:rsid w:val="466C2618"/>
    <w:rsid w:val="46726720"/>
    <w:rsid w:val="467609B6"/>
    <w:rsid w:val="46A1345F"/>
    <w:rsid w:val="46A86CED"/>
    <w:rsid w:val="46AC5AA6"/>
    <w:rsid w:val="46BC589A"/>
    <w:rsid w:val="46BD0F24"/>
    <w:rsid w:val="46CA3E32"/>
    <w:rsid w:val="46CD0C62"/>
    <w:rsid w:val="46D32EB7"/>
    <w:rsid w:val="471A0C96"/>
    <w:rsid w:val="471A5C34"/>
    <w:rsid w:val="47207E67"/>
    <w:rsid w:val="47240FA3"/>
    <w:rsid w:val="47245A85"/>
    <w:rsid w:val="4751794F"/>
    <w:rsid w:val="475A14FF"/>
    <w:rsid w:val="476535C0"/>
    <w:rsid w:val="47876268"/>
    <w:rsid w:val="478B4370"/>
    <w:rsid w:val="479A4981"/>
    <w:rsid w:val="479A628A"/>
    <w:rsid w:val="47BA4746"/>
    <w:rsid w:val="47C5278C"/>
    <w:rsid w:val="47C74658"/>
    <w:rsid w:val="47DE6C76"/>
    <w:rsid w:val="47EC180F"/>
    <w:rsid w:val="47F02414"/>
    <w:rsid w:val="47F6431D"/>
    <w:rsid w:val="48196167"/>
    <w:rsid w:val="48243B68"/>
    <w:rsid w:val="483B5EBE"/>
    <w:rsid w:val="48410171"/>
    <w:rsid w:val="48650C42"/>
    <w:rsid w:val="486B0925"/>
    <w:rsid w:val="4873716A"/>
    <w:rsid w:val="487B4BF3"/>
    <w:rsid w:val="48854E86"/>
    <w:rsid w:val="4893708A"/>
    <w:rsid w:val="48952AE2"/>
    <w:rsid w:val="489E3443"/>
    <w:rsid w:val="48C01715"/>
    <w:rsid w:val="48C71C96"/>
    <w:rsid w:val="48CF4000"/>
    <w:rsid w:val="48D228E2"/>
    <w:rsid w:val="48DC66B0"/>
    <w:rsid w:val="490911CB"/>
    <w:rsid w:val="492E435B"/>
    <w:rsid w:val="49465201"/>
    <w:rsid w:val="495030BF"/>
    <w:rsid w:val="495F5E6E"/>
    <w:rsid w:val="49742590"/>
    <w:rsid w:val="497F4DF8"/>
    <w:rsid w:val="49961AB2"/>
    <w:rsid w:val="499E07E8"/>
    <w:rsid w:val="49BD1E97"/>
    <w:rsid w:val="49CB3958"/>
    <w:rsid w:val="49F650E8"/>
    <w:rsid w:val="4A256B30"/>
    <w:rsid w:val="4A361F5B"/>
    <w:rsid w:val="4A6E71B0"/>
    <w:rsid w:val="4A6F554D"/>
    <w:rsid w:val="4A764019"/>
    <w:rsid w:val="4A80749C"/>
    <w:rsid w:val="4A831514"/>
    <w:rsid w:val="4A931B03"/>
    <w:rsid w:val="4A9B6273"/>
    <w:rsid w:val="4AD978D9"/>
    <w:rsid w:val="4AE43FD6"/>
    <w:rsid w:val="4AEC145A"/>
    <w:rsid w:val="4AF3130C"/>
    <w:rsid w:val="4B262808"/>
    <w:rsid w:val="4B76394A"/>
    <w:rsid w:val="4B7B5714"/>
    <w:rsid w:val="4BAF7A2E"/>
    <w:rsid w:val="4BC9738F"/>
    <w:rsid w:val="4BCA3184"/>
    <w:rsid w:val="4BCE6EB5"/>
    <w:rsid w:val="4BF165EF"/>
    <w:rsid w:val="4BF333B0"/>
    <w:rsid w:val="4C022C1F"/>
    <w:rsid w:val="4C0D4452"/>
    <w:rsid w:val="4C175CA1"/>
    <w:rsid w:val="4C297B4D"/>
    <w:rsid w:val="4C2B6930"/>
    <w:rsid w:val="4C5061C1"/>
    <w:rsid w:val="4C60482B"/>
    <w:rsid w:val="4C7D7940"/>
    <w:rsid w:val="4C804791"/>
    <w:rsid w:val="4C85734A"/>
    <w:rsid w:val="4C8B1551"/>
    <w:rsid w:val="4C902D5C"/>
    <w:rsid w:val="4C9359CC"/>
    <w:rsid w:val="4C96179F"/>
    <w:rsid w:val="4CB739FA"/>
    <w:rsid w:val="4CD62201"/>
    <w:rsid w:val="4CE7337C"/>
    <w:rsid w:val="4CF12BF9"/>
    <w:rsid w:val="4CF54E1D"/>
    <w:rsid w:val="4D0314E7"/>
    <w:rsid w:val="4D093AF4"/>
    <w:rsid w:val="4D175F8A"/>
    <w:rsid w:val="4D256B56"/>
    <w:rsid w:val="4D272479"/>
    <w:rsid w:val="4D3032B0"/>
    <w:rsid w:val="4D38180D"/>
    <w:rsid w:val="4D587BF8"/>
    <w:rsid w:val="4D5E5119"/>
    <w:rsid w:val="4D992CBB"/>
    <w:rsid w:val="4DDE1F2D"/>
    <w:rsid w:val="4DDE2DAE"/>
    <w:rsid w:val="4DE90EB2"/>
    <w:rsid w:val="4DED5753"/>
    <w:rsid w:val="4E146DA6"/>
    <w:rsid w:val="4E2138E7"/>
    <w:rsid w:val="4E4E3631"/>
    <w:rsid w:val="4E4E60C0"/>
    <w:rsid w:val="4E506F8B"/>
    <w:rsid w:val="4E607225"/>
    <w:rsid w:val="4E8925E8"/>
    <w:rsid w:val="4E936EFC"/>
    <w:rsid w:val="4EAF3848"/>
    <w:rsid w:val="4EBC7D13"/>
    <w:rsid w:val="4ECE1F10"/>
    <w:rsid w:val="4ED33CE1"/>
    <w:rsid w:val="4F0444B0"/>
    <w:rsid w:val="4F0931ED"/>
    <w:rsid w:val="4F29214E"/>
    <w:rsid w:val="4F2D0814"/>
    <w:rsid w:val="4F32420A"/>
    <w:rsid w:val="4F447BCB"/>
    <w:rsid w:val="4F5C3F8E"/>
    <w:rsid w:val="4F6F0016"/>
    <w:rsid w:val="4F8F130D"/>
    <w:rsid w:val="4FDA2B47"/>
    <w:rsid w:val="4FDD43E5"/>
    <w:rsid w:val="4FF410B2"/>
    <w:rsid w:val="4FF5172F"/>
    <w:rsid w:val="500362FC"/>
    <w:rsid w:val="501D717B"/>
    <w:rsid w:val="50583ADD"/>
    <w:rsid w:val="505F30B9"/>
    <w:rsid w:val="50603D64"/>
    <w:rsid w:val="50610B72"/>
    <w:rsid w:val="506640F7"/>
    <w:rsid w:val="506F1AB1"/>
    <w:rsid w:val="509B0E6C"/>
    <w:rsid w:val="50AE01E5"/>
    <w:rsid w:val="50B87CEA"/>
    <w:rsid w:val="50C00CB9"/>
    <w:rsid w:val="50C20C5E"/>
    <w:rsid w:val="50C2318C"/>
    <w:rsid w:val="50CE2822"/>
    <w:rsid w:val="50CE5B20"/>
    <w:rsid w:val="50CE6F9F"/>
    <w:rsid w:val="50E45A27"/>
    <w:rsid w:val="50F44079"/>
    <w:rsid w:val="513D3601"/>
    <w:rsid w:val="516A26A0"/>
    <w:rsid w:val="51A53DCD"/>
    <w:rsid w:val="51AD440F"/>
    <w:rsid w:val="51B42304"/>
    <w:rsid w:val="51BC69A8"/>
    <w:rsid w:val="51BD46A9"/>
    <w:rsid w:val="51D476A8"/>
    <w:rsid w:val="51DB3C59"/>
    <w:rsid w:val="51DD715C"/>
    <w:rsid w:val="51ED2C9F"/>
    <w:rsid w:val="520C2F50"/>
    <w:rsid w:val="521045FE"/>
    <w:rsid w:val="523B3E5E"/>
    <w:rsid w:val="523F4EE3"/>
    <w:rsid w:val="52455887"/>
    <w:rsid w:val="524D5B0F"/>
    <w:rsid w:val="526067FC"/>
    <w:rsid w:val="52642199"/>
    <w:rsid w:val="52865A20"/>
    <w:rsid w:val="52AD7835"/>
    <w:rsid w:val="52AE52B6"/>
    <w:rsid w:val="52D4387D"/>
    <w:rsid w:val="52F5446C"/>
    <w:rsid w:val="53110AB4"/>
    <w:rsid w:val="531759A7"/>
    <w:rsid w:val="5366640E"/>
    <w:rsid w:val="538968E9"/>
    <w:rsid w:val="53935667"/>
    <w:rsid w:val="53937AC2"/>
    <w:rsid w:val="53962412"/>
    <w:rsid w:val="53A257C3"/>
    <w:rsid w:val="53A56748"/>
    <w:rsid w:val="53AA2BCF"/>
    <w:rsid w:val="53AA4863"/>
    <w:rsid w:val="53DC46A3"/>
    <w:rsid w:val="53F24B8A"/>
    <w:rsid w:val="53FC12DE"/>
    <w:rsid w:val="54067A66"/>
    <w:rsid w:val="54221594"/>
    <w:rsid w:val="54271AC6"/>
    <w:rsid w:val="54374756"/>
    <w:rsid w:val="5445433A"/>
    <w:rsid w:val="545C1D7C"/>
    <w:rsid w:val="54646E83"/>
    <w:rsid w:val="546763D4"/>
    <w:rsid w:val="548F1F48"/>
    <w:rsid w:val="5492579E"/>
    <w:rsid w:val="549902D9"/>
    <w:rsid w:val="54A808F4"/>
    <w:rsid w:val="54AA58C1"/>
    <w:rsid w:val="54C833A7"/>
    <w:rsid w:val="54C93FA5"/>
    <w:rsid w:val="54DA4EB0"/>
    <w:rsid w:val="550C4D95"/>
    <w:rsid w:val="55104C09"/>
    <w:rsid w:val="55243F9E"/>
    <w:rsid w:val="553426D6"/>
    <w:rsid w:val="55465184"/>
    <w:rsid w:val="554E3280"/>
    <w:rsid w:val="55546EF7"/>
    <w:rsid w:val="555B0397"/>
    <w:rsid w:val="55634EA7"/>
    <w:rsid w:val="55913C7C"/>
    <w:rsid w:val="559B66BF"/>
    <w:rsid w:val="55C754C8"/>
    <w:rsid w:val="55DD6EED"/>
    <w:rsid w:val="55F63D2B"/>
    <w:rsid w:val="55FB249F"/>
    <w:rsid w:val="56162CC9"/>
    <w:rsid w:val="561F5963"/>
    <w:rsid w:val="562263C3"/>
    <w:rsid w:val="562A2A8B"/>
    <w:rsid w:val="563C00B7"/>
    <w:rsid w:val="56577F7F"/>
    <w:rsid w:val="56585802"/>
    <w:rsid w:val="565E0EBF"/>
    <w:rsid w:val="56705823"/>
    <w:rsid w:val="567726B1"/>
    <w:rsid w:val="568F6454"/>
    <w:rsid w:val="569157D9"/>
    <w:rsid w:val="569972B8"/>
    <w:rsid w:val="569C2904"/>
    <w:rsid w:val="56B7510F"/>
    <w:rsid w:val="56E079F0"/>
    <w:rsid w:val="56E322E1"/>
    <w:rsid w:val="56E46C41"/>
    <w:rsid w:val="570861EB"/>
    <w:rsid w:val="5727418B"/>
    <w:rsid w:val="572A1536"/>
    <w:rsid w:val="572D1FB8"/>
    <w:rsid w:val="57352C6C"/>
    <w:rsid w:val="574C306F"/>
    <w:rsid w:val="57885129"/>
    <w:rsid w:val="579955A1"/>
    <w:rsid w:val="57B317F1"/>
    <w:rsid w:val="57BF34B4"/>
    <w:rsid w:val="57C00B06"/>
    <w:rsid w:val="57C67FD2"/>
    <w:rsid w:val="57C90AD7"/>
    <w:rsid w:val="57D74751"/>
    <w:rsid w:val="57E809C6"/>
    <w:rsid w:val="57F04008"/>
    <w:rsid w:val="57F468F2"/>
    <w:rsid w:val="57FD36E3"/>
    <w:rsid w:val="58036411"/>
    <w:rsid w:val="58061A69"/>
    <w:rsid w:val="583C0450"/>
    <w:rsid w:val="586066B5"/>
    <w:rsid w:val="5877464C"/>
    <w:rsid w:val="587E225C"/>
    <w:rsid w:val="589949F0"/>
    <w:rsid w:val="58A613D8"/>
    <w:rsid w:val="58AA6296"/>
    <w:rsid w:val="58F42D29"/>
    <w:rsid w:val="58F62E40"/>
    <w:rsid w:val="5905303C"/>
    <w:rsid w:val="59192495"/>
    <w:rsid w:val="59204E95"/>
    <w:rsid w:val="59224A64"/>
    <w:rsid w:val="5922541F"/>
    <w:rsid w:val="59227449"/>
    <w:rsid w:val="593B2571"/>
    <w:rsid w:val="5955699E"/>
    <w:rsid w:val="596A0CD8"/>
    <w:rsid w:val="59ED5D2E"/>
    <w:rsid w:val="59F63357"/>
    <w:rsid w:val="5A24333C"/>
    <w:rsid w:val="5A256A49"/>
    <w:rsid w:val="5A2745EA"/>
    <w:rsid w:val="5A2761D9"/>
    <w:rsid w:val="5A3D797B"/>
    <w:rsid w:val="5A4178A0"/>
    <w:rsid w:val="5A4D7DC8"/>
    <w:rsid w:val="5A523F47"/>
    <w:rsid w:val="5A5E6BD8"/>
    <w:rsid w:val="5A6A2C63"/>
    <w:rsid w:val="5A772246"/>
    <w:rsid w:val="5A886E7C"/>
    <w:rsid w:val="5A9210C5"/>
    <w:rsid w:val="5A9435DB"/>
    <w:rsid w:val="5AA32692"/>
    <w:rsid w:val="5AC7613D"/>
    <w:rsid w:val="5AC90EFB"/>
    <w:rsid w:val="5AC95C92"/>
    <w:rsid w:val="5ACB7804"/>
    <w:rsid w:val="5AD77736"/>
    <w:rsid w:val="5AD90D18"/>
    <w:rsid w:val="5AE75AB0"/>
    <w:rsid w:val="5AEA2CC8"/>
    <w:rsid w:val="5B1E5FDD"/>
    <w:rsid w:val="5B2C65A4"/>
    <w:rsid w:val="5B4922C9"/>
    <w:rsid w:val="5B6553EB"/>
    <w:rsid w:val="5B6968DB"/>
    <w:rsid w:val="5B724716"/>
    <w:rsid w:val="5B811F75"/>
    <w:rsid w:val="5B8709FE"/>
    <w:rsid w:val="5B8D63AC"/>
    <w:rsid w:val="5B9339CA"/>
    <w:rsid w:val="5B9729ED"/>
    <w:rsid w:val="5B98227D"/>
    <w:rsid w:val="5BC06890"/>
    <w:rsid w:val="5BCA1926"/>
    <w:rsid w:val="5BCD4BCD"/>
    <w:rsid w:val="5BDB7642"/>
    <w:rsid w:val="5BE84759"/>
    <w:rsid w:val="5BEF7936"/>
    <w:rsid w:val="5C0416E6"/>
    <w:rsid w:val="5C0D0AA3"/>
    <w:rsid w:val="5C1C2629"/>
    <w:rsid w:val="5C274FC8"/>
    <w:rsid w:val="5C297741"/>
    <w:rsid w:val="5C36607E"/>
    <w:rsid w:val="5C567DFB"/>
    <w:rsid w:val="5C5C6178"/>
    <w:rsid w:val="5C6D5F77"/>
    <w:rsid w:val="5C7359FC"/>
    <w:rsid w:val="5C841E70"/>
    <w:rsid w:val="5C8567D6"/>
    <w:rsid w:val="5C910A31"/>
    <w:rsid w:val="5CB5184C"/>
    <w:rsid w:val="5CBA15F1"/>
    <w:rsid w:val="5CC11316"/>
    <w:rsid w:val="5CC606DB"/>
    <w:rsid w:val="5CC63B62"/>
    <w:rsid w:val="5CDC7EFE"/>
    <w:rsid w:val="5CF05758"/>
    <w:rsid w:val="5CF42C4B"/>
    <w:rsid w:val="5CFF3BED"/>
    <w:rsid w:val="5D217C29"/>
    <w:rsid w:val="5D245401"/>
    <w:rsid w:val="5D25565E"/>
    <w:rsid w:val="5D2B4EC5"/>
    <w:rsid w:val="5D5C68C4"/>
    <w:rsid w:val="5D747DE6"/>
    <w:rsid w:val="5D94092C"/>
    <w:rsid w:val="5DD0782C"/>
    <w:rsid w:val="5E0E313B"/>
    <w:rsid w:val="5E111E29"/>
    <w:rsid w:val="5E1D0CEC"/>
    <w:rsid w:val="5E310ABF"/>
    <w:rsid w:val="5E3A0425"/>
    <w:rsid w:val="5E530FC6"/>
    <w:rsid w:val="5E7652E8"/>
    <w:rsid w:val="5E765647"/>
    <w:rsid w:val="5E7E488E"/>
    <w:rsid w:val="5E850F99"/>
    <w:rsid w:val="5E90261B"/>
    <w:rsid w:val="5E916846"/>
    <w:rsid w:val="5EC41AE3"/>
    <w:rsid w:val="5ECF671B"/>
    <w:rsid w:val="5EDA583B"/>
    <w:rsid w:val="5EFA55EB"/>
    <w:rsid w:val="5F224268"/>
    <w:rsid w:val="5F2B1033"/>
    <w:rsid w:val="5F2D3E6A"/>
    <w:rsid w:val="5F3E7779"/>
    <w:rsid w:val="5F432F1F"/>
    <w:rsid w:val="5F5A7800"/>
    <w:rsid w:val="5F6D42D3"/>
    <w:rsid w:val="5F6F1993"/>
    <w:rsid w:val="5F803CFC"/>
    <w:rsid w:val="5F80653E"/>
    <w:rsid w:val="5F864151"/>
    <w:rsid w:val="5F8B1768"/>
    <w:rsid w:val="5FA840C8"/>
    <w:rsid w:val="5FAD7930"/>
    <w:rsid w:val="5FAF0594"/>
    <w:rsid w:val="5FB50E2A"/>
    <w:rsid w:val="5FC62BC3"/>
    <w:rsid w:val="5FD534B7"/>
    <w:rsid w:val="5FDD7256"/>
    <w:rsid w:val="5FF351F8"/>
    <w:rsid w:val="5FF53085"/>
    <w:rsid w:val="5FF71A00"/>
    <w:rsid w:val="5FF732A1"/>
    <w:rsid w:val="60323E3D"/>
    <w:rsid w:val="604430DA"/>
    <w:rsid w:val="60477A6E"/>
    <w:rsid w:val="604F397F"/>
    <w:rsid w:val="609C218E"/>
    <w:rsid w:val="60BB5C1C"/>
    <w:rsid w:val="60D31618"/>
    <w:rsid w:val="60E0759E"/>
    <w:rsid w:val="60ED40AE"/>
    <w:rsid w:val="60F50B54"/>
    <w:rsid w:val="611A43B1"/>
    <w:rsid w:val="61350C46"/>
    <w:rsid w:val="61497D28"/>
    <w:rsid w:val="6151511A"/>
    <w:rsid w:val="61670A38"/>
    <w:rsid w:val="619C7C5C"/>
    <w:rsid w:val="61AD5A41"/>
    <w:rsid w:val="61B54E59"/>
    <w:rsid w:val="61BD0199"/>
    <w:rsid w:val="61C32C01"/>
    <w:rsid w:val="61FA14C7"/>
    <w:rsid w:val="620D321D"/>
    <w:rsid w:val="62157A0E"/>
    <w:rsid w:val="621F461B"/>
    <w:rsid w:val="6223212B"/>
    <w:rsid w:val="623178AD"/>
    <w:rsid w:val="62467FCB"/>
    <w:rsid w:val="6247665C"/>
    <w:rsid w:val="624A085E"/>
    <w:rsid w:val="62600C6F"/>
    <w:rsid w:val="626A4ABD"/>
    <w:rsid w:val="629338CE"/>
    <w:rsid w:val="62BC7C0A"/>
    <w:rsid w:val="62DC1355"/>
    <w:rsid w:val="62ED7B55"/>
    <w:rsid w:val="62FE09CE"/>
    <w:rsid w:val="631249DE"/>
    <w:rsid w:val="631844E8"/>
    <w:rsid w:val="63244136"/>
    <w:rsid w:val="6329254D"/>
    <w:rsid w:val="632E6BAD"/>
    <w:rsid w:val="63536A40"/>
    <w:rsid w:val="635D233B"/>
    <w:rsid w:val="635D341B"/>
    <w:rsid w:val="636F36FE"/>
    <w:rsid w:val="63845454"/>
    <w:rsid w:val="63936E3D"/>
    <w:rsid w:val="63A0164C"/>
    <w:rsid w:val="63A77346"/>
    <w:rsid w:val="63DE6DE8"/>
    <w:rsid w:val="63F43164"/>
    <w:rsid w:val="63F7386F"/>
    <w:rsid w:val="63FD3658"/>
    <w:rsid w:val="640C6632"/>
    <w:rsid w:val="6414138E"/>
    <w:rsid w:val="64177A6E"/>
    <w:rsid w:val="642342DE"/>
    <w:rsid w:val="643A3DDB"/>
    <w:rsid w:val="645B04E3"/>
    <w:rsid w:val="649C04A0"/>
    <w:rsid w:val="649D59CC"/>
    <w:rsid w:val="64A22188"/>
    <w:rsid w:val="64C572FA"/>
    <w:rsid w:val="64EA769D"/>
    <w:rsid w:val="64FE478A"/>
    <w:rsid w:val="650023C2"/>
    <w:rsid w:val="65046BCA"/>
    <w:rsid w:val="65094498"/>
    <w:rsid w:val="653308D7"/>
    <w:rsid w:val="653B0B35"/>
    <w:rsid w:val="654B3E73"/>
    <w:rsid w:val="65580B0A"/>
    <w:rsid w:val="65613696"/>
    <w:rsid w:val="65622F6B"/>
    <w:rsid w:val="65744900"/>
    <w:rsid w:val="65763686"/>
    <w:rsid w:val="658642F0"/>
    <w:rsid w:val="659B15ED"/>
    <w:rsid w:val="65A36D1C"/>
    <w:rsid w:val="65AE7F5E"/>
    <w:rsid w:val="65C17874"/>
    <w:rsid w:val="65D47968"/>
    <w:rsid w:val="65E40D4D"/>
    <w:rsid w:val="662242CD"/>
    <w:rsid w:val="66263F98"/>
    <w:rsid w:val="663120C5"/>
    <w:rsid w:val="663E5786"/>
    <w:rsid w:val="664065D2"/>
    <w:rsid w:val="6646288C"/>
    <w:rsid w:val="6692787F"/>
    <w:rsid w:val="66B97195"/>
    <w:rsid w:val="66CD266D"/>
    <w:rsid w:val="66F43AF7"/>
    <w:rsid w:val="67140294"/>
    <w:rsid w:val="675C0650"/>
    <w:rsid w:val="675D12A8"/>
    <w:rsid w:val="676A66B3"/>
    <w:rsid w:val="677840DE"/>
    <w:rsid w:val="67A41618"/>
    <w:rsid w:val="67A5546D"/>
    <w:rsid w:val="67AB5E5D"/>
    <w:rsid w:val="67AC4971"/>
    <w:rsid w:val="67C4557B"/>
    <w:rsid w:val="67C9541F"/>
    <w:rsid w:val="67CE125C"/>
    <w:rsid w:val="67CF2561"/>
    <w:rsid w:val="67DF53C7"/>
    <w:rsid w:val="67F6499F"/>
    <w:rsid w:val="67F74E5D"/>
    <w:rsid w:val="67FA33A5"/>
    <w:rsid w:val="67FD51CC"/>
    <w:rsid w:val="68212B9D"/>
    <w:rsid w:val="683F6098"/>
    <w:rsid w:val="685E19CC"/>
    <w:rsid w:val="68760770"/>
    <w:rsid w:val="689234D5"/>
    <w:rsid w:val="68977769"/>
    <w:rsid w:val="689A76AB"/>
    <w:rsid w:val="68AF3DCD"/>
    <w:rsid w:val="68CC36FD"/>
    <w:rsid w:val="68DB6789"/>
    <w:rsid w:val="68E9477C"/>
    <w:rsid w:val="68EF0FB9"/>
    <w:rsid w:val="68FB64FC"/>
    <w:rsid w:val="69037F90"/>
    <w:rsid w:val="690A6A65"/>
    <w:rsid w:val="69313380"/>
    <w:rsid w:val="693904AE"/>
    <w:rsid w:val="694542C0"/>
    <w:rsid w:val="69457B44"/>
    <w:rsid w:val="695E2ABF"/>
    <w:rsid w:val="69696A7E"/>
    <w:rsid w:val="6978105A"/>
    <w:rsid w:val="69A006B2"/>
    <w:rsid w:val="69A433E0"/>
    <w:rsid w:val="69CA035C"/>
    <w:rsid w:val="69CB581E"/>
    <w:rsid w:val="69E76359"/>
    <w:rsid w:val="69EB1780"/>
    <w:rsid w:val="69FA389B"/>
    <w:rsid w:val="6A0240D7"/>
    <w:rsid w:val="6A0F41AD"/>
    <w:rsid w:val="6A0F6E53"/>
    <w:rsid w:val="6A145B4A"/>
    <w:rsid w:val="6A2829D5"/>
    <w:rsid w:val="6A32497F"/>
    <w:rsid w:val="6A457279"/>
    <w:rsid w:val="6A5B1CF6"/>
    <w:rsid w:val="6A5D1F52"/>
    <w:rsid w:val="6A7C2A9E"/>
    <w:rsid w:val="6A906F5C"/>
    <w:rsid w:val="6A9260A0"/>
    <w:rsid w:val="6AA140AA"/>
    <w:rsid w:val="6AA15BF3"/>
    <w:rsid w:val="6AD143F6"/>
    <w:rsid w:val="6AF47725"/>
    <w:rsid w:val="6AFE7F3E"/>
    <w:rsid w:val="6B0368BB"/>
    <w:rsid w:val="6B0476B7"/>
    <w:rsid w:val="6B0C16AE"/>
    <w:rsid w:val="6B142F59"/>
    <w:rsid w:val="6B245E5E"/>
    <w:rsid w:val="6B3F5380"/>
    <w:rsid w:val="6B4E60FF"/>
    <w:rsid w:val="6B864C27"/>
    <w:rsid w:val="6B885505"/>
    <w:rsid w:val="6BA9096B"/>
    <w:rsid w:val="6BA96FAE"/>
    <w:rsid w:val="6BC03755"/>
    <w:rsid w:val="6BCF718F"/>
    <w:rsid w:val="6BD004F2"/>
    <w:rsid w:val="6BDD7B0E"/>
    <w:rsid w:val="6BE1298B"/>
    <w:rsid w:val="6BF276EA"/>
    <w:rsid w:val="6BF7502A"/>
    <w:rsid w:val="6BFE44B9"/>
    <w:rsid w:val="6C2F456B"/>
    <w:rsid w:val="6C3E27AC"/>
    <w:rsid w:val="6C475BB2"/>
    <w:rsid w:val="6C4A3260"/>
    <w:rsid w:val="6C515AE7"/>
    <w:rsid w:val="6C5808B7"/>
    <w:rsid w:val="6C5816D0"/>
    <w:rsid w:val="6C661592"/>
    <w:rsid w:val="6C750263"/>
    <w:rsid w:val="6C9C2D92"/>
    <w:rsid w:val="6CAA0832"/>
    <w:rsid w:val="6CAA71E5"/>
    <w:rsid w:val="6CAF44AE"/>
    <w:rsid w:val="6CC14A1B"/>
    <w:rsid w:val="6CDB6E8A"/>
    <w:rsid w:val="6CE931C8"/>
    <w:rsid w:val="6D2426CB"/>
    <w:rsid w:val="6D33595D"/>
    <w:rsid w:val="6D3754BB"/>
    <w:rsid w:val="6D5B2169"/>
    <w:rsid w:val="6D5E2269"/>
    <w:rsid w:val="6D625A23"/>
    <w:rsid w:val="6D855A48"/>
    <w:rsid w:val="6DC077A5"/>
    <w:rsid w:val="6DD15756"/>
    <w:rsid w:val="6DDF2D8D"/>
    <w:rsid w:val="6DE13755"/>
    <w:rsid w:val="6DEE183F"/>
    <w:rsid w:val="6DEF4BFF"/>
    <w:rsid w:val="6DF610BE"/>
    <w:rsid w:val="6E000616"/>
    <w:rsid w:val="6E016208"/>
    <w:rsid w:val="6E03390A"/>
    <w:rsid w:val="6E144E55"/>
    <w:rsid w:val="6E22773B"/>
    <w:rsid w:val="6E335A77"/>
    <w:rsid w:val="6E3631E6"/>
    <w:rsid w:val="6E6E0BD2"/>
    <w:rsid w:val="6E7A30D3"/>
    <w:rsid w:val="6E87084E"/>
    <w:rsid w:val="6E911D0A"/>
    <w:rsid w:val="6EAE7626"/>
    <w:rsid w:val="6EAF183D"/>
    <w:rsid w:val="6EB611AF"/>
    <w:rsid w:val="6EC10D02"/>
    <w:rsid w:val="6EC66E4A"/>
    <w:rsid w:val="6ED36E39"/>
    <w:rsid w:val="6ED44ED9"/>
    <w:rsid w:val="6EE40F43"/>
    <w:rsid w:val="6EEF1D13"/>
    <w:rsid w:val="6EFF182A"/>
    <w:rsid w:val="6F02504A"/>
    <w:rsid w:val="6F026CD9"/>
    <w:rsid w:val="6F03595C"/>
    <w:rsid w:val="6F285FE2"/>
    <w:rsid w:val="6F3F10F7"/>
    <w:rsid w:val="6F410D93"/>
    <w:rsid w:val="6F5163A9"/>
    <w:rsid w:val="6F54601A"/>
    <w:rsid w:val="6F5D226D"/>
    <w:rsid w:val="6F833EB8"/>
    <w:rsid w:val="6FC32B1E"/>
    <w:rsid w:val="6FC95F25"/>
    <w:rsid w:val="6FCA62DC"/>
    <w:rsid w:val="6FDA1311"/>
    <w:rsid w:val="6FDC473B"/>
    <w:rsid w:val="6FFB4722"/>
    <w:rsid w:val="70047FFD"/>
    <w:rsid w:val="70294DB1"/>
    <w:rsid w:val="70337183"/>
    <w:rsid w:val="7072684B"/>
    <w:rsid w:val="70812EFC"/>
    <w:rsid w:val="70827584"/>
    <w:rsid w:val="708304A5"/>
    <w:rsid w:val="70911369"/>
    <w:rsid w:val="70920C92"/>
    <w:rsid w:val="70A50A55"/>
    <w:rsid w:val="70AB1EB8"/>
    <w:rsid w:val="70C2380D"/>
    <w:rsid w:val="70C5552E"/>
    <w:rsid w:val="70FA0B3F"/>
    <w:rsid w:val="70FE283F"/>
    <w:rsid w:val="710F4C54"/>
    <w:rsid w:val="7119270D"/>
    <w:rsid w:val="713D290B"/>
    <w:rsid w:val="713E2554"/>
    <w:rsid w:val="71557E27"/>
    <w:rsid w:val="7161057A"/>
    <w:rsid w:val="716A2D22"/>
    <w:rsid w:val="718D31B7"/>
    <w:rsid w:val="71934AC6"/>
    <w:rsid w:val="71974AEA"/>
    <w:rsid w:val="71CC633B"/>
    <w:rsid w:val="72181B00"/>
    <w:rsid w:val="722A4E10"/>
    <w:rsid w:val="72367C59"/>
    <w:rsid w:val="723F4D5F"/>
    <w:rsid w:val="724063E2"/>
    <w:rsid w:val="724070B7"/>
    <w:rsid w:val="724C24CE"/>
    <w:rsid w:val="724F7FCC"/>
    <w:rsid w:val="72534367"/>
    <w:rsid w:val="725E225C"/>
    <w:rsid w:val="725F0F5E"/>
    <w:rsid w:val="726E34C9"/>
    <w:rsid w:val="727B7256"/>
    <w:rsid w:val="72A41658"/>
    <w:rsid w:val="72F00647"/>
    <w:rsid w:val="72FA6930"/>
    <w:rsid w:val="730936C7"/>
    <w:rsid w:val="73166260"/>
    <w:rsid w:val="73293BFC"/>
    <w:rsid w:val="73395707"/>
    <w:rsid w:val="734E2372"/>
    <w:rsid w:val="73511251"/>
    <w:rsid w:val="735760D9"/>
    <w:rsid w:val="735D3ADA"/>
    <w:rsid w:val="737230F7"/>
    <w:rsid w:val="737308E6"/>
    <w:rsid w:val="73766DF9"/>
    <w:rsid w:val="738766E3"/>
    <w:rsid w:val="739E7864"/>
    <w:rsid w:val="73AA21C5"/>
    <w:rsid w:val="73ED22C2"/>
    <w:rsid w:val="73FE1225"/>
    <w:rsid w:val="74027162"/>
    <w:rsid w:val="74081181"/>
    <w:rsid w:val="74160F85"/>
    <w:rsid w:val="74171327"/>
    <w:rsid w:val="74460B51"/>
    <w:rsid w:val="74480D5C"/>
    <w:rsid w:val="74485D77"/>
    <w:rsid w:val="745558E8"/>
    <w:rsid w:val="745574FA"/>
    <w:rsid w:val="749A2DE8"/>
    <w:rsid w:val="749A44CF"/>
    <w:rsid w:val="74B10200"/>
    <w:rsid w:val="74B873D9"/>
    <w:rsid w:val="74E64F97"/>
    <w:rsid w:val="74ED25E3"/>
    <w:rsid w:val="750F6E0C"/>
    <w:rsid w:val="75212EA4"/>
    <w:rsid w:val="75353518"/>
    <w:rsid w:val="753624C1"/>
    <w:rsid w:val="753D12FE"/>
    <w:rsid w:val="75630023"/>
    <w:rsid w:val="756719B7"/>
    <w:rsid w:val="75792D9E"/>
    <w:rsid w:val="758053D5"/>
    <w:rsid w:val="758A4E8C"/>
    <w:rsid w:val="759F4605"/>
    <w:rsid w:val="75AF2C3C"/>
    <w:rsid w:val="75B46A60"/>
    <w:rsid w:val="75D250B0"/>
    <w:rsid w:val="75E02E70"/>
    <w:rsid w:val="75ED07D0"/>
    <w:rsid w:val="76636B42"/>
    <w:rsid w:val="766A1941"/>
    <w:rsid w:val="7680271B"/>
    <w:rsid w:val="768A2157"/>
    <w:rsid w:val="76B40495"/>
    <w:rsid w:val="76BE27BD"/>
    <w:rsid w:val="76C21ABB"/>
    <w:rsid w:val="76E51B4E"/>
    <w:rsid w:val="76FA2396"/>
    <w:rsid w:val="77020643"/>
    <w:rsid w:val="770B3462"/>
    <w:rsid w:val="771633FD"/>
    <w:rsid w:val="771D176E"/>
    <w:rsid w:val="77426B90"/>
    <w:rsid w:val="77591C5E"/>
    <w:rsid w:val="777D3B96"/>
    <w:rsid w:val="77827EF9"/>
    <w:rsid w:val="77892370"/>
    <w:rsid w:val="779934C6"/>
    <w:rsid w:val="77996730"/>
    <w:rsid w:val="77A74F9A"/>
    <w:rsid w:val="77AB254F"/>
    <w:rsid w:val="77D23F80"/>
    <w:rsid w:val="77D96652"/>
    <w:rsid w:val="77DF044B"/>
    <w:rsid w:val="77E757C4"/>
    <w:rsid w:val="77FD31EB"/>
    <w:rsid w:val="780507B8"/>
    <w:rsid w:val="78073AFA"/>
    <w:rsid w:val="781202C6"/>
    <w:rsid w:val="781A5F15"/>
    <w:rsid w:val="781C78A0"/>
    <w:rsid w:val="782749D3"/>
    <w:rsid w:val="783C589D"/>
    <w:rsid w:val="784B4F5A"/>
    <w:rsid w:val="78524A0B"/>
    <w:rsid w:val="785D3823"/>
    <w:rsid w:val="785E75C1"/>
    <w:rsid w:val="78686588"/>
    <w:rsid w:val="787B5401"/>
    <w:rsid w:val="788D5D25"/>
    <w:rsid w:val="789254BD"/>
    <w:rsid w:val="78C241E3"/>
    <w:rsid w:val="78DF4BA6"/>
    <w:rsid w:val="78F8252B"/>
    <w:rsid w:val="79063A1D"/>
    <w:rsid w:val="79113D4D"/>
    <w:rsid w:val="791757D6"/>
    <w:rsid w:val="79197383"/>
    <w:rsid w:val="795F15B4"/>
    <w:rsid w:val="798132EA"/>
    <w:rsid w:val="79817A0B"/>
    <w:rsid w:val="79A14200"/>
    <w:rsid w:val="79A90837"/>
    <w:rsid w:val="79B56078"/>
    <w:rsid w:val="79C76AF4"/>
    <w:rsid w:val="79CC0EA2"/>
    <w:rsid w:val="7A0032B4"/>
    <w:rsid w:val="7A00611B"/>
    <w:rsid w:val="7A101951"/>
    <w:rsid w:val="7A3C7DD6"/>
    <w:rsid w:val="7A3E5CDE"/>
    <w:rsid w:val="7A745684"/>
    <w:rsid w:val="7A7A56A0"/>
    <w:rsid w:val="7A92026D"/>
    <w:rsid w:val="7AE0603D"/>
    <w:rsid w:val="7AEE4C3C"/>
    <w:rsid w:val="7AF1296F"/>
    <w:rsid w:val="7B0F4373"/>
    <w:rsid w:val="7B1633FD"/>
    <w:rsid w:val="7B4C4690"/>
    <w:rsid w:val="7B6018A2"/>
    <w:rsid w:val="7B6475E5"/>
    <w:rsid w:val="7B716095"/>
    <w:rsid w:val="7B7859A3"/>
    <w:rsid w:val="7B8F5645"/>
    <w:rsid w:val="7B982725"/>
    <w:rsid w:val="7BA31E7C"/>
    <w:rsid w:val="7BAF216B"/>
    <w:rsid w:val="7BC72719"/>
    <w:rsid w:val="7BD36089"/>
    <w:rsid w:val="7BDD6595"/>
    <w:rsid w:val="7BDF2D5E"/>
    <w:rsid w:val="7BE77598"/>
    <w:rsid w:val="7C073C4C"/>
    <w:rsid w:val="7C60211A"/>
    <w:rsid w:val="7C8661BD"/>
    <w:rsid w:val="7CB10246"/>
    <w:rsid w:val="7CB650A7"/>
    <w:rsid w:val="7CB763AC"/>
    <w:rsid w:val="7CC443BD"/>
    <w:rsid w:val="7CD67C72"/>
    <w:rsid w:val="7D03104B"/>
    <w:rsid w:val="7D105F93"/>
    <w:rsid w:val="7D20753B"/>
    <w:rsid w:val="7D3C6605"/>
    <w:rsid w:val="7D4C0E1E"/>
    <w:rsid w:val="7D5B6EBA"/>
    <w:rsid w:val="7D69294D"/>
    <w:rsid w:val="7D6A6067"/>
    <w:rsid w:val="7D6E03F9"/>
    <w:rsid w:val="7D7A60C4"/>
    <w:rsid w:val="7D893333"/>
    <w:rsid w:val="7DA20560"/>
    <w:rsid w:val="7DA43CC8"/>
    <w:rsid w:val="7DA515B5"/>
    <w:rsid w:val="7DA95D47"/>
    <w:rsid w:val="7DB41591"/>
    <w:rsid w:val="7DC37D95"/>
    <w:rsid w:val="7DCA359D"/>
    <w:rsid w:val="7DCD7EA5"/>
    <w:rsid w:val="7DCE3976"/>
    <w:rsid w:val="7DE94569"/>
    <w:rsid w:val="7DF83532"/>
    <w:rsid w:val="7E0125BF"/>
    <w:rsid w:val="7E0D5742"/>
    <w:rsid w:val="7E115ED9"/>
    <w:rsid w:val="7E142678"/>
    <w:rsid w:val="7E2E4FF6"/>
    <w:rsid w:val="7E301A00"/>
    <w:rsid w:val="7E417769"/>
    <w:rsid w:val="7E74714C"/>
    <w:rsid w:val="7E8273B2"/>
    <w:rsid w:val="7E83198C"/>
    <w:rsid w:val="7E857F9E"/>
    <w:rsid w:val="7E886FEF"/>
    <w:rsid w:val="7E8F7AC1"/>
    <w:rsid w:val="7EAA7B28"/>
    <w:rsid w:val="7EBE547D"/>
    <w:rsid w:val="7EC3519B"/>
    <w:rsid w:val="7ED4616D"/>
    <w:rsid w:val="7EDC635D"/>
    <w:rsid w:val="7EDF6548"/>
    <w:rsid w:val="7EFB5780"/>
    <w:rsid w:val="7F0474A0"/>
    <w:rsid w:val="7F0823F9"/>
    <w:rsid w:val="7F0A4FC8"/>
    <w:rsid w:val="7F6F30A2"/>
    <w:rsid w:val="7F731AA8"/>
    <w:rsid w:val="7F9F0E2D"/>
    <w:rsid w:val="7F9F5F4E"/>
    <w:rsid w:val="7FD85EAB"/>
    <w:rsid w:val="7FF979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cs="宋体" w:eastAsiaTheme="minorEastAsia"/>
      <w:color w:val="000000" w:themeColor="text1"/>
      <w:kern w:val="2"/>
      <w:sz w:val="24"/>
      <w:szCs w:val="24"/>
      <w:lang w:val="en-US" w:eastAsia="zh-CN" w:bidi="ar-SA"/>
      <w14:textFill>
        <w14:solidFill>
          <w14:schemeClr w14:val="tx1"/>
        </w14:solidFill>
      </w14:textFill>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6">
    <w:name w:val="caption"/>
    <w:basedOn w:val="1"/>
    <w:next w:val="1"/>
    <w:semiHidden/>
    <w:unhideWhenUsed/>
    <w:qFormat/>
    <w:uiPriority w:val="0"/>
    <w:rPr>
      <w:rFonts w:ascii="Arial" w:hAnsi="Arial" w:eastAsia="黑体"/>
      <w:sz w:val="20"/>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Hyperlink"/>
    <w:basedOn w:val="9"/>
    <w:qFormat/>
    <w:uiPriority w:val="0"/>
    <w:rPr>
      <w:color w:val="0000FF"/>
      <w:u w:val="single"/>
    </w:rPr>
  </w:style>
  <w:style w:type="paragraph" w:customStyle="1" w:styleId="11">
    <w:name w:val="Bibliography"/>
    <w:basedOn w:val="1"/>
    <w:qFormat/>
    <w:uiPriority w:val="0"/>
    <w:pPr>
      <w:tabs>
        <w:tab w:val="left" w:pos="504"/>
      </w:tabs>
      <w:ind w:left="504" w:hanging="504"/>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6978</Words>
  <Characters>11733</Characters>
  <Lines>0</Lines>
  <Paragraphs>0</Paragraphs>
  <TotalTime>266</TotalTime>
  <ScaleCrop>false</ScaleCrop>
  <LinksUpToDate>false</LinksUpToDate>
  <CharactersWithSpaces>12150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2025-11-02T13:56:00Z</dcterms:created>
  <dc:creator>ERPAN</dc:creator>
  <cp:lastModifiedBy>ERPAN</cp:lastModifiedBy>
  <dcterms:modified xsi:type="dcterms:W3CDTF">2026-03-05T14:03:13Z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74E5EDA5BBD643CDA7859DC9BEAA612B_13</vt:lpwstr>
  </property>
  <property fmtid="{D5CDD505-2E9C-101B-9397-08002B2CF9AE}" pid="4" name="ZOTERO_PREF_1">
    <vt:lpwstr>&lt;data data-version="3" zotero-version="7.0.32"&gt;&lt;session id="ydCKAj2P"/&gt;&lt;style id="https://www.zotero-chinese.com/styles/GB-T-7714—2015（顺序编码，双语，无URL、DOI）" hasBibliography="1" bibliographyStyleHasBeenSet="1"/&gt;&lt;prefs&gt;&lt;pref name="fieldType" value="Field"/&gt;&lt;/p</vt:lpwstr>
  </property>
  <property fmtid="{D5CDD505-2E9C-101B-9397-08002B2CF9AE}" pid="5" name="ZOTERO_PREF_2">
    <vt:lpwstr>refs&gt;&lt;/data&gt;</vt:lpwstr>
  </property>
  <property fmtid="{D5CDD505-2E9C-101B-9397-08002B2CF9AE}" pid="6" name="KSOTemplateDocerSaveRecord">
    <vt:lpwstr>eyJoZGlkIjoiZTc5OTU5NTVjYjJlNWUyNjcyNDY0NTFhOTcxMmZjYWYiLCJ1c2VySWQiOiI2ODg1NjYwMzgifQ==</vt:lpwstr>
  </property>
</Properties>
</file>