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theme/themeOverride1.xml" ContentType="application/vnd.openxmlformats-officedocument.themeOverrid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0E91F7">
      <w:pPr>
        <w:spacing w:line="360" w:lineRule="exact"/>
        <w:jc w:val="center"/>
        <w:rPr>
          <w:rFonts w:hint="default" w:ascii="Times New Roman" w:hAnsi="Times New Roman" w:eastAsia="宋体" w:cs="Times New Roman"/>
          <w:b/>
          <w:bCs/>
          <w:kern w:val="0"/>
          <w:sz w:val="24"/>
          <w:szCs w:val="20"/>
          <w:lang w:val="en-US" w:eastAsia="zh-CN" w:bidi="ar-SA"/>
        </w:rPr>
      </w:pPr>
      <w:r>
        <w:rPr>
          <w:rFonts w:hint="eastAsia" w:ascii="Times New Roman" w:hAnsi="Times New Roman" w:eastAsia="宋体" w:cs="Times New Roman"/>
          <w:b/>
          <w:bCs/>
          <w:kern w:val="0"/>
          <w:sz w:val="28"/>
          <w:szCs w:val="21"/>
          <w:lang w:val="en-US" w:eastAsia="zh-CN" w:bidi="ar-SA"/>
        </w:rPr>
        <w:t>2018—2023年宿迁市结直肠癌发病与死亡趋势分析及预测研究</w:t>
      </w:r>
    </w:p>
    <w:p w14:paraId="33098B11">
      <w:pPr>
        <w:jc w:val="center"/>
        <w:rPr>
          <w:rFonts w:hint="default" w:ascii="Times New Roman" w:hAnsi="Times New Roman" w:eastAsia="宋体" w:cs="Times New Roman"/>
          <w:sz w:val="24"/>
          <w:szCs w:val="32"/>
        </w:rPr>
      </w:pPr>
    </w:p>
    <w:p w14:paraId="2C76CA1C">
      <w:pPr>
        <w:jc w:val="center"/>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邱玉保</w:t>
      </w:r>
      <w:r>
        <w:rPr>
          <w:rFonts w:hint="default" w:ascii="Times New Roman" w:hAnsi="Times New Roman" w:cs="Times New Roman"/>
          <w:i/>
          <w:iCs/>
          <w:color w:val="000000"/>
          <w:vertAlign w:val="superscript"/>
        </w:rPr>
        <w:t>1</w:t>
      </w:r>
      <w:r>
        <w:rPr>
          <w:rFonts w:hint="eastAsia" w:ascii="Times New Roman" w:hAnsi="Times New Roman" w:eastAsia="宋体" w:cs="Times New Roman"/>
          <w:sz w:val="24"/>
          <w:szCs w:val="32"/>
          <w:lang w:val="en-US" w:eastAsia="zh-CN"/>
        </w:rPr>
        <w:t>，张新楠</w:t>
      </w:r>
      <w:r>
        <w:rPr>
          <w:rFonts w:hint="default" w:ascii="Times New Roman" w:hAnsi="Times New Roman" w:cs="Times New Roman"/>
          <w:i/>
          <w:iCs/>
          <w:color w:val="000000"/>
          <w:vertAlign w:val="superscript"/>
        </w:rPr>
        <w:t>1</w:t>
      </w:r>
      <w:r>
        <w:rPr>
          <w:rFonts w:hint="eastAsia" w:ascii="Times New Roman" w:hAnsi="Times New Roman" w:eastAsia="宋体" w:cs="Times New Roman"/>
          <w:sz w:val="24"/>
          <w:szCs w:val="32"/>
          <w:lang w:val="en-US" w:eastAsia="zh-CN"/>
        </w:rPr>
        <w:t>，杨冰沫</w:t>
      </w:r>
      <w:r>
        <w:rPr>
          <w:rFonts w:hint="default" w:ascii="Times New Roman" w:hAnsi="Times New Roman" w:cs="Times New Roman"/>
          <w:i/>
          <w:iCs/>
          <w:color w:val="000000"/>
          <w:vertAlign w:val="superscript"/>
        </w:rPr>
        <w:t>1</w:t>
      </w:r>
      <w:r>
        <w:rPr>
          <w:rFonts w:hint="eastAsia" w:ascii="Times New Roman" w:hAnsi="Times New Roman" w:eastAsia="宋体" w:cs="Times New Roman"/>
          <w:sz w:val="24"/>
          <w:szCs w:val="32"/>
          <w:lang w:val="en-US" w:eastAsia="zh-CN"/>
        </w:rPr>
        <w:t>，陈蕾</w:t>
      </w:r>
      <w:r>
        <w:rPr>
          <w:rFonts w:hint="default" w:ascii="Times New Roman" w:hAnsi="Times New Roman" w:cs="Times New Roman"/>
          <w:i/>
          <w:iCs/>
          <w:color w:val="000000"/>
          <w:vertAlign w:val="superscript"/>
        </w:rPr>
        <w:t>1</w:t>
      </w:r>
      <w:r>
        <w:rPr>
          <w:rFonts w:hint="eastAsia" w:ascii="Times New Roman" w:hAnsi="Times New Roman" w:eastAsia="宋体" w:cs="Times New Roman"/>
          <w:sz w:val="24"/>
          <w:szCs w:val="32"/>
          <w:lang w:val="en-US" w:eastAsia="zh-CN"/>
        </w:rPr>
        <w:t>，于蕾</w:t>
      </w:r>
      <w:r>
        <w:rPr>
          <w:rFonts w:hint="default" w:ascii="Times New Roman" w:hAnsi="Times New Roman" w:cs="Times New Roman"/>
          <w:i/>
          <w:iCs/>
          <w:color w:val="000000"/>
          <w:vertAlign w:val="superscript"/>
        </w:rPr>
        <w:t>1</w:t>
      </w:r>
    </w:p>
    <w:p w14:paraId="3E93F928">
      <w:pPr>
        <w:keepNext w:val="0"/>
        <w:keepLines w:val="0"/>
        <w:pageBreakBefore w:val="0"/>
        <w:widowControl w:val="0"/>
        <w:numPr>
          <w:ilvl w:val="0"/>
          <w:numId w:val="0"/>
        </w:numPr>
        <w:kinsoku/>
        <w:wordWrap/>
        <w:overflowPunct/>
        <w:topLinePunct w:val="0"/>
        <w:autoSpaceDE/>
        <w:autoSpaceDN/>
        <w:bidi w:val="0"/>
        <w:adjustRightInd/>
        <w:snapToGrid/>
        <w:ind w:firstLine="0" w:firstLineChars="0"/>
        <w:jc w:val="center"/>
        <w:textAlignment w:val="auto"/>
        <w:rPr>
          <w:rFonts w:hint="default" w:ascii="Times New Roman" w:hAnsi="Times New Roman" w:eastAsia="楷体" w:cs="楷体"/>
          <w:sz w:val="24"/>
          <w:szCs w:val="24"/>
          <w:lang w:val="en-US" w:eastAsia="zh-CN"/>
        </w:rPr>
      </w:pPr>
      <w:r>
        <w:rPr>
          <w:rFonts w:hint="default" w:ascii="Times New Roman" w:hAnsi="Times New Roman" w:eastAsia="楷体" w:cs="楷体"/>
          <w:kern w:val="0"/>
          <w:sz w:val="24"/>
          <w:szCs w:val="24"/>
          <w:lang w:val="en-US" w:eastAsia="zh-CN" w:bidi="ar"/>
        </w:rPr>
        <w:t>1.</w:t>
      </w:r>
      <w:r>
        <w:rPr>
          <w:rFonts w:hint="default" w:ascii="Times New Roman" w:hAnsi="Times New Roman" w:cs="Times New Roman" w:eastAsiaTheme="minorEastAsia"/>
          <w:sz w:val="24"/>
          <w:szCs w:val="24"/>
          <w:lang w:val="en-US" w:eastAsia="zh-CN"/>
        </w:rPr>
        <w:t>宿迁市疾病预防控制中心</w:t>
      </w:r>
      <w:r>
        <w:rPr>
          <w:rFonts w:hint="eastAsia" w:ascii="Times New Roman" w:hAnsi="Times New Roman" w:cs="Times New Roman"/>
          <w:sz w:val="24"/>
          <w:szCs w:val="24"/>
          <w:lang w:val="en-US" w:eastAsia="zh-CN"/>
        </w:rPr>
        <w:t>（市卫生监督所）</w:t>
      </w:r>
      <w:r>
        <w:rPr>
          <w:rFonts w:hint="default" w:ascii="Times New Roman" w:hAnsi="Times New Roman" w:cs="Times New Roman" w:eastAsiaTheme="minorEastAsia"/>
          <w:sz w:val="24"/>
          <w:szCs w:val="24"/>
          <w:lang w:val="en-US" w:eastAsia="zh-CN"/>
        </w:rPr>
        <w:t>，江苏 宿迁 223800</w:t>
      </w:r>
    </w:p>
    <w:p w14:paraId="5164E1BC">
      <w:pPr>
        <w:keepNext w:val="0"/>
        <w:keepLines w:val="0"/>
        <w:pageBreakBefore w:val="0"/>
        <w:widowControl w:val="0"/>
        <w:numPr>
          <w:ilvl w:val="0"/>
          <w:numId w:val="0"/>
        </w:numPr>
        <w:kinsoku/>
        <w:wordWrap/>
        <w:overflowPunct/>
        <w:topLinePunct w:val="0"/>
        <w:autoSpaceDE/>
        <w:autoSpaceDN/>
        <w:bidi w:val="0"/>
        <w:adjustRightInd/>
        <w:snapToGrid/>
        <w:jc w:val="center"/>
        <w:textAlignment w:val="auto"/>
        <w:rPr>
          <w:rFonts w:hint="default" w:ascii="Times New Roman" w:hAnsi="Times New Roman" w:eastAsia="楷体" w:cs="楷体"/>
          <w:sz w:val="24"/>
          <w:szCs w:val="24"/>
          <w:lang w:val="en-US" w:eastAsia="zh-CN"/>
        </w:rPr>
      </w:pPr>
      <w:r>
        <w:rPr>
          <w:rFonts w:hint="default" w:ascii="Times New Roman" w:hAnsi="Times New Roman" w:eastAsia="楷体" w:cs="楷体"/>
          <w:sz w:val="24"/>
          <w:szCs w:val="24"/>
          <w:lang w:val="en-US" w:eastAsia="zh-CN"/>
        </w:rPr>
        <w:t>通信作者：</w:t>
      </w:r>
      <w:r>
        <w:rPr>
          <w:rFonts w:hint="eastAsia" w:ascii="Times New Roman" w:hAnsi="Times New Roman" w:eastAsia="楷体" w:cs="楷体"/>
          <w:sz w:val="24"/>
          <w:szCs w:val="24"/>
          <w:lang w:val="en-US" w:eastAsia="zh-CN"/>
        </w:rPr>
        <w:t>于蕾</w:t>
      </w:r>
      <w:r>
        <w:rPr>
          <w:rFonts w:hint="default" w:ascii="Times New Roman" w:hAnsi="Times New Roman" w:eastAsia="楷体" w:cs="楷体"/>
          <w:sz w:val="24"/>
          <w:szCs w:val="24"/>
          <w:lang w:val="en-US" w:eastAsia="zh-CN"/>
        </w:rPr>
        <w:t>，E-mail：</w:t>
      </w:r>
      <w:r>
        <w:rPr>
          <w:rFonts w:hint="eastAsia" w:ascii="Times New Roman" w:hAnsi="Times New Roman" w:eastAsia="宋体" w:cs="Times New Roman"/>
          <w:kern w:val="0"/>
          <w:sz w:val="24"/>
          <w:szCs w:val="20"/>
          <w:lang w:val="en-US" w:eastAsia="zh-CN" w:bidi="ar-SA"/>
        </w:rPr>
        <w:t>351120146@qq.com</w:t>
      </w:r>
    </w:p>
    <w:p w14:paraId="2515859C">
      <w:pPr>
        <w:jc w:val="both"/>
        <w:rPr>
          <w:rFonts w:hint="default" w:ascii="Times New Roman" w:hAnsi="Times New Roman" w:cs="Times New Roman"/>
          <w:i w:val="0"/>
          <w:iCs w:val="0"/>
          <w:color w:val="000000"/>
          <w:sz w:val="21"/>
          <w:szCs w:val="21"/>
          <w:lang w:val="en-US" w:eastAsia="zh-CN"/>
        </w:rPr>
      </w:pPr>
    </w:p>
    <w:p w14:paraId="6FC8B634">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kern w:val="0"/>
          <w:sz w:val="24"/>
          <w:szCs w:val="20"/>
          <w:lang w:val="en-US" w:eastAsia="zh-CN" w:bidi="ar-SA"/>
        </w:rPr>
      </w:pPr>
      <w:r>
        <w:rPr>
          <w:rFonts w:hint="default" w:ascii="Times New Roman" w:hAnsi="Times New Roman" w:eastAsia="宋体" w:cs="Times New Roman"/>
          <w:b/>
          <w:bCs/>
          <w:kern w:val="0"/>
          <w:sz w:val="24"/>
          <w:szCs w:val="20"/>
          <w:lang w:val="en-US" w:eastAsia="zh-CN" w:bidi="ar-SA"/>
        </w:rPr>
        <w:t>摘要：目的</w:t>
      </w:r>
      <w:r>
        <w:rPr>
          <w:rFonts w:hint="default" w:ascii="Times New Roman" w:hAnsi="Times New Roman" w:eastAsia="宋体" w:cs="Times New Roman"/>
          <w:kern w:val="0"/>
          <w:sz w:val="24"/>
          <w:szCs w:val="20"/>
          <w:lang w:val="en-US" w:eastAsia="zh-CN" w:bidi="ar-SA"/>
        </w:rPr>
        <w:t xml:space="preserve"> 分析2018—2023年江苏省宿迁市结直肠癌发病和死亡趋势并预测2024—2026年结直肠癌发病和死亡变化情况。</w:t>
      </w:r>
      <w:r>
        <w:rPr>
          <w:rFonts w:hint="default" w:ascii="Times New Roman" w:hAnsi="Times New Roman" w:eastAsia="宋体" w:cs="Times New Roman"/>
          <w:b/>
          <w:bCs/>
          <w:kern w:val="0"/>
          <w:sz w:val="24"/>
          <w:szCs w:val="20"/>
          <w:lang w:val="en-US" w:eastAsia="zh-CN" w:bidi="ar-SA"/>
        </w:rPr>
        <w:t>方法</w:t>
      </w:r>
      <w:r>
        <w:rPr>
          <w:rFonts w:hint="default" w:ascii="Times New Roman" w:hAnsi="Times New Roman" w:eastAsia="宋体" w:cs="Times New Roman"/>
          <w:kern w:val="0"/>
          <w:sz w:val="24"/>
          <w:szCs w:val="20"/>
          <w:lang w:val="en-US" w:eastAsia="zh-CN" w:bidi="ar-SA"/>
        </w:rPr>
        <w:t xml:space="preserve"> 通过江苏省慢性病管理信息平台收集2018—2023年宿迁市恶性肿瘤发病和死亡</w:t>
      </w:r>
      <w:r>
        <w:rPr>
          <w:rFonts w:hint="eastAsia" w:ascii="Times New Roman" w:hAnsi="Times New Roman" w:eastAsia="宋体" w:cs="Times New Roman"/>
          <w:kern w:val="0"/>
          <w:sz w:val="24"/>
          <w:szCs w:val="20"/>
          <w:lang w:val="en-US" w:eastAsia="zh-CN" w:bidi="ar-SA"/>
        </w:rPr>
        <w:t>资料</w:t>
      </w:r>
      <w:r>
        <w:rPr>
          <w:rFonts w:hint="default" w:ascii="Times New Roman" w:hAnsi="Times New Roman" w:eastAsia="宋体" w:cs="Times New Roman"/>
          <w:kern w:val="0"/>
          <w:sz w:val="24"/>
          <w:szCs w:val="20"/>
          <w:lang w:val="en-US" w:eastAsia="zh-CN" w:bidi="ar-SA"/>
        </w:rPr>
        <w:t>，利用Excel和R 4.5计算结直肠癌发病（死亡）率、中标发病（死亡）率、世标发病（死亡）率、累积率</w:t>
      </w:r>
      <w:r>
        <w:rPr>
          <w:rFonts w:hint="eastAsia" w:ascii="Times New Roman" w:hAnsi="Times New Roman" w:eastAsia="宋体" w:cs="Times New Roman"/>
          <w:kern w:val="0"/>
          <w:sz w:val="24"/>
          <w:szCs w:val="20"/>
          <w:lang w:val="en-US" w:eastAsia="zh-CN" w:bidi="ar-SA"/>
        </w:rPr>
        <w:t>（</w:t>
      </w:r>
      <w:r>
        <w:rPr>
          <w:rFonts w:hint="default" w:ascii="Times New Roman" w:hAnsi="Times New Roman" w:eastAsia="宋体" w:cs="Times New Roman"/>
          <w:kern w:val="0"/>
          <w:sz w:val="24"/>
          <w:szCs w:val="20"/>
          <w:lang w:val="en-US" w:eastAsia="zh-CN" w:bidi="ar-SA"/>
        </w:rPr>
        <w:t>0~74岁</w:t>
      </w:r>
      <w:r>
        <w:rPr>
          <w:rFonts w:hint="eastAsia" w:ascii="Times New Roman" w:hAnsi="Times New Roman" w:eastAsia="宋体" w:cs="Times New Roman"/>
          <w:kern w:val="0"/>
          <w:sz w:val="24"/>
          <w:szCs w:val="20"/>
          <w:lang w:val="en-US" w:eastAsia="zh-CN" w:bidi="ar-SA"/>
        </w:rPr>
        <w:t>）</w:t>
      </w:r>
      <w:r>
        <w:rPr>
          <w:rFonts w:hint="default" w:ascii="Times New Roman" w:hAnsi="Times New Roman" w:eastAsia="宋体" w:cs="Times New Roman"/>
          <w:kern w:val="0"/>
          <w:sz w:val="24"/>
          <w:szCs w:val="20"/>
          <w:lang w:val="en-US" w:eastAsia="zh-CN" w:bidi="ar-SA"/>
        </w:rPr>
        <w:t>，采用JoinPoint 4.8软件计算平均年度变化百分比（AAPC），利用R4.5构建灰色模型GM（1,1）预测2024—2026年宿迁市结直肠癌发病率和死亡率。</w:t>
      </w:r>
      <w:r>
        <w:rPr>
          <w:rFonts w:hint="default" w:ascii="Times New Roman" w:hAnsi="Times New Roman" w:eastAsia="宋体" w:cs="Times New Roman"/>
          <w:b/>
          <w:bCs/>
          <w:kern w:val="0"/>
          <w:sz w:val="24"/>
          <w:szCs w:val="20"/>
          <w:lang w:val="en-US" w:eastAsia="zh-CN" w:bidi="ar-SA"/>
        </w:rPr>
        <w:t>结果</w:t>
      </w:r>
      <w:r>
        <w:rPr>
          <w:rFonts w:hint="default" w:ascii="Times New Roman" w:hAnsi="Times New Roman" w:eastAsia="宋体" w:cs="Times New Roman"/>
          <w:kern w:val="0"/>
          <w:sz w:val="24"/>
          <w:szCs w:val="20"/>
          <w:lang w:val="en-US" w:eastAsia="zh-CN" w:bidi="ar-SA"/>
        </w:rPr>
        <w:t xml:space="preserve"> 2018—2023年宿迁市结直肠癌</w:t>
      </w:r>
      <w:r>
        <w:rPr>
          <w:rFonts w:hint="eastAsia" w:ascii="Times New Roman" w:hAnsi="Times New Roman" w:eastAsia="宋体" w:cs="Times New Roman"/>
          <w:kern w:val="0"/>
          <w:sz w:val="24"/>
          <w:szCs w:val="20"/>
          <w:lang w:val="en-US" w:eastAsia="zh-CN" w:bidi="ar-SA"/>
        </w:rPr>
        <w:t>发病率为</w:t>
      </w:r>
      <w:r>
        <w:rPr>
          <w:rFonts w:hint="default" w:ascii="Times New Roman" w:hAnsi="Times New Roman" w:eastAsia="宋体" w:cs="Times New Roman"/>
          <w:kern w:val="0"/>
          <w:sz w:val="24"/>
          <w:szCs w:val="20"/>
          <w:lang w:val="en-US" w:eastAsia="zh-CN" w:bidi="ar-SA"/>
        </w:rPr>
        <w:t>19.06/10万，中标</w:t>
      </w:r>
      <w:r>
        <w:rPr>
          <w:rFonts w:hint="eastAsia" w:ascii="Times New Roman" w:hAnsi="Times New Roman" w:eastAsia="宋体" w:cs="Times New Roman"/>
          <w:kern w:val="0"/>
          <w:sz w:val="24"/>
          <w:szCs w:val="20"/>
          <w:lang w:val="en-US" w:eastAsia="zh-CN" w:bidi="ar-SA"/>
        </w:rPr>
        <w:t>发病</w:t>
      </w:r>
      <w:r>
        <w:rPr>
          <w:rFonts w:hint="default" w:ascii="Times New Roman" w:hAnsi="Times New Roman" w:eastAsia="宋体" w:cs="Times New Roman"/>
          <w:kern w:val="0"/>
          <w:sz w:val="24"/>
          <w:szCs w:val="20"/>
          <w:lang w:val="en-US" w:eastAsia="zh-CN" w:bidi="ar-SA"/>
        </w:rPr>
        <w:t>率</w:t>
      </w:r>
      <w:r>
        <w:rPr>
          <w:rFonts w:hint="eastAsia" w:ascii="Times New Roman" w:hAnsi="Times New Roman" w:eastAsia="宋体" w:cs="Times New Roman"/>
          <w:kern w:val="0"/>
          <w:sz w:val="24"/>
          <w:szCs w:val="20"/>
          <w:lang w:val="en-US" w:eastAsia="zh-CN" w:bidi="ar-SA"/>
        </w:rPr>
        <w:t>为</w:t>
      </w:r>
      <w:r>
        <w:rPr>
          <w:rFonts w:hint="default" w:ascii="Times New Roman" w:hAnsi="Times New Roman" w:eastAsia="宋体" w:cs="Times New Roman"/>
          <w:kern w:val="0"/>
          <w:sz w:val="24"/>
          <w:szCs w:val="20"/>
          <w:lang w:val="en-US" w:eastAsia="zh-CN" w:bidi="ar-SA"/>
        </w:rPr>
        <w:t>12.00/10万</w:t>
      </w:r>
      <w:r>
        <w:rPr>
          <w:rFonts w:hint="eastAsia" w:ascii="Times New Roman" w:hAnsi="Times New Roman" w:eastAsia="宋体" w:cs="Times New Roman"/>
          <w:kern w:val="0"/>
          <w:sz w:val="24"/>
          <w:szCs w:val="20"/>
          <w:lang w:val="en-US" w:eastAsia="zh-CN" w:bidi="ar-SA"/>
        </w:rPr>
        <w:t>，死亡率为8.73/10万，中标死亡率为4.94/10万。发病率和死亡率在45岁之前都保持较低水平，45岁之后则随着年龄增加迅速上升。2018至2023年间，宿迁市全人群、男性和女性的结直肠癌发病率年均百分比变化（AAPC）分别为7.52</w:t>
      </w:r>
      <w:r>
        <w:rPr>
          <w:rFonts w:hint="default" w:ascii="Times New Roman" w:hAnsi="Times New Roman" w:eastAsia="宋体" w:cs="Times New Roman"/>
          <w:kern w:val="0"/>
          <w:sz w:val="24"/>
          <w:szCs w:val="20"/>
          <w:lang w:val="en-US" w:eastAsia="zh-CN" w:bidi="ar-SA"/>
        </w:rPr>
        <w:t>%、</w:t>
      </w:r>
      <w:r>
        <w:rPr>
          <w:rFonts w:hint="eastAsia" w:ascii="Times New Roman" w:hAnsi="Times New Roman" w:eastAsia="宋体" w:cs="Times New Roman"/>
          <w:kern w:val="0"/>
          <w:sz w:val="24"/>
          <w:szCs w:val="20"/>
          <w:lang w:val="en-US" w:eastAsia="zh-CN" w:bidi="ar-SA"/>
        </w:rPr>
        <w:t>7.83</w:t>
      </w:r>
      <w:r>
        <w:rPr>
          <w:rFonts w:hint="default" w:ascii="Times New Roman" w:hAnsi="Times New Roman" w:eastAsia="宋体" w:cs="Times New Roman"/>
          <w:kern w:val="0"/>
          <w:sz w:val="24"/>
          <w:szCs w:val="20"/>
          <w:lang w:val="en-US" w:eastAsia="zh-CN" w:bidi="ar-SA"/>
        </w:rPr>
        <w:t>%和7.07%，均呈</w:t>
      </w:r>
      <w:r>
        <w:rPr>
          <w:rFonts w:hint="eastAsia" w:ascii="Times New Roman" w:hAnsi="Times New Roman" w:eastAsia="宋体" w:cs="Times New Roman"/>
          <w:kern w:val="0"/>
          <w:sz w:val="24"/>
          <w:szCs w:val="20"/>
          <w:lang w:val="en-US" w:eastAsia="zh-CN" w:bidi="ar-SA"/>
        </w:rPr>
        <w:t>现</w:t>
      </w:r>
      <w:r>
        <w:rPr>
          <w:rFonts w:hint="default" w:ascii="Times New Roman" w:hAnsi="Times New Roman" w:eastAsia="宋体" w:cs="Times New Roman"/>
          <w:kern w:val="0"/>
          <w:sz w:val="24"/>
          <w:szCs w:val="20"/>
          <w:lang w:val="en-US" w:eastAsia="zh-CN" w:bidi="ar-SA"/>
        </w:rPr>
        <w:t>上升趋势（</w:t>
      </w:r>
      <w:r>
        <w:rPr>
          <w:rFonts w:hint="default" w:ascii="Times New Roman" w:hAnsi="Times New Roman" w:eastAsia="宋体" w:cs="Times New Roman"/>
          <w:i/>
          <w:iCs/>
          <w:kern w:val="0"/>
          <w:sz w:val="24"/>
          <w:szCs w:val="20"/>
          <w:lang w:val="en-US" w:eastAsia="zh-CN" w:bidi="ar-SA"/>
        </w:rPr>
        <w:t>P</w:t>
      </w:r>
      <w:r>
        <w:rPr>
          <w:rFonts w:hint="default" w:ascii="Times New Roman" w:hAnsi="Times New Roman" w:eastAsia="宋体" w:cs="Times New Roman"/>
          <w:kern w:val="0"/>
          <w:sz w:val="24"/>
          <w:szCs w:val="20"/>
          <w:lang w:val="en-US" w:eastAsia="zh-CN" w:bidi="ar-SA"/>
        </w:rPr>
        <w:t>&lt;0.05）。</w:t>
      </w:r>
      <w:r>
        <w:rPr>
          <w:rFonts w:hint="eastAsia" w:ascii="Times New Roman" w:hAnsi="Times New Roman" w:eastAsia="宋体" w:cs="Times New Roman"/>
          <w:kern w:val="0"/>
          <w:sz w:val="24"/>
          <w:szCs w:val="20"/>
          <w:lang w:val="en-US" w:eastAsia="zh-CN" w:bidi="ar-SA"/>
        </w:rPr>
        <w:t>同期，宿迁市全人群、男性和女性的结直肠癌死亡率AAPC分别为9.</w:t>
      </w:r>
      <w:r>
        <w:rPr>
          <w:rFonts w:hint="default" w:ascii="Times New Roman" w:hAnsi="Times New Roman" w:eastAsia="宋体" w:cs="Times New Roman"/>
          <w:kern w:val="0"/>
          <w:sz w:val="24"/>
          <w:szCs w:val="20"/>
          <w:lang w:val="en-US" w:eastAsia="zh-CN" w:bidi="ar-SA"/>
        </w:rPr>
        <w:t>36%、9.97%和8.43%，</w:t>
      </w:r>
      <w:r>
        <w:rPr>
          <w:rFonts w:hint="eastAsia" w:ascii="Times New Roman" w:hAnsi="Times New Roman" w:eastAsia="宋体" w:cs="Times New Roman"/>
          <w:kern w:val="0"/>
          <w:sz w:val="24"/>
          <w:szCs w:val="20"/>
          <w:lang w:val="en-US" w:eastAsia="zh-CN" w:bidi="ar-SA"/>
        </w:rPr>
        <w:t>也</w:t>
      </w:r>
      <w:r>
        <w:rPr>
          <w:rFonts w:hint="default" w:ascii="Times New Roman" w:hAnsi="Times New Roman" w:eastAsia="宋体" w:cs="Times New Roman"/>
          <w:kern w:val="0"/>
          <w:sz w:val="24"/>
          <w:szCs w:val="20"/>
          <w:lang w:val="en-US" w:eastAsia="zh-CN" w:bidi="ar-SA"/>
        </w:rPr>
        <w:t>均</w:t>
      </w:r>
      <w:r>
        <w:rPr>
          <w:rFonts w:hint="eastAsia" w:ascii="Times New Roman" w:hAnsi="Times New Roman" w:eastAsia="宋体" w:cs="Times New Roman"/>
          <w:kern w:val="0"/>
          <w:sz w:val="24"/>
          <w:szCs w:val="20"/>
          <w:lang w:val="en-US" w:eastAsia="zh-CN" w:bidi="ar-SA"/>
        </w:rPr>
        <w:t>呈</w:t>
      </w:r>
      <w:r>
        <w:rPr>
          <w:rFonts w:hint="default" w:ascii="Times New Roman" w:hAnsi="Times New Roman" w:eastAsia="宋体" w:cs="Times New Roman"/>
          <w:kern w:val="0"/>
          <w:sz w:val="24"/>
          <w:szCs w:val="20"/>
          <w:lang w:val="en-US" w:eastAsia="zh-CN" w:bidi="ar-SA"/>
        </w:rPr>
        <w:t>上升趋势（</w:t>
      </w:r>
      <w:r>
        <w:rPr>
          <w:rFonts w:hint="default" w:ascii="Times New Roman" w:hAnsi="Times New Roman" w:eastAsia="宋体" w:cs="Times New Roman"/>
          <w:i/>
          <w:iCs/>
          <w:kern w:val="0"/>
          <w:sz w:val="24"/>
          <w:szCs w:val="20"/>
          <w:lang w:val="en-US" w:eastAsia="zh-CN" w:bidi="ar-SA"/>
        </w:rPr>
        <w:t>P</w:t>
      </w:r>
      <w:r>
        <w:rPr>
          <w:rFonts w:hint="default" w:ascii="Times New Roman" w:hAnsi="Times New Roman" w:eastAsia="宋体" w:cs="Times New Roman"/>
          <w:kern w:val="0"/>
          <w:sz w:val="24"/>
          <w:szCs w:val="20"/>
          <w:lang w:val="en-US" w:eastAsia="zh-CN" w:bidi="ar-SA"/>
        </w:rPr>
        <w:t>&lt;0.05）。GM（1,1）预测结果显示，2024—2026年宿迁市结直肠癌发病率和死亡率均呈上升趋势。</w:t>
      </w:r>
      <w:r>
        <w:rPr>
          <w:rFonts w:hint="default" w:ascii="Times New Roman" w:hAnsi="Times New Roman" w:eastAsia="宋体" w:cs="Times New Roman"/>
          <w:b/>
          <w:bCs/>
          <w:kern w:val="0"/>
          <w:sz w:val="24"/>
          <w:szCs w:val="20"/>
          <w:lang w:val="en-US" w:eastAsia="zh-CN" w:bidi="ar-SA"/>
        </w:rPr>
        <w:t>结论</w:t>
      </w:r>
      <w:r>
        <w:rPr>
          <w:rFonts w:hint="default" w:ascii="Times New Roman" w:hAnsi="Times New Roman" w:eastAsia="宋体" w:cs="Times New Roman"/>
          <w:kern w:val="0"/>
          <w:sz w:val="24"/>
          <w:szCs w:val="20"/>
          <w:lang w:val="en-US" w:eastAsia="zh-CN" w:bidi="ar-SA"/>
        </w:rPr>
        <w:t xml:space="preserve"> </w:t>
      </w:r>
      <w:r>
        <w:rPr>
          <w:rFonts w:hint="eastAsia" w:ascii="Times New Roman" w:hAnsi="Times New Roman" w:eastAsia="宋体" w:cs="Times New Roman"/>
          <w:kern w:val="0"/>
          <w:sz w:val="24"/>
          <w:szCs w:val="20"/>
          <w:lang w:val="en-US" w:eastAsia="zh-CN" w:bidi="ar-SA"/>
        </w:rPr>
        <w:t>宿迁市结直肠癌的发病率和死亡率均呈现上升趋势，应重视并加强结直肠癌的防治工作。</w:t>
      </w:r>
    </w:p>
    <w:p w14:paraId="35D9F747">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kern w:val="0"/>
          <w:sz w:val="24"/>
          <w:szCs w:val="20"/>
          <w:lang w:val="en-US" w:eastAsia="zh-CN" w:bidi="ar-SA"/>
        </w:rPr>
      </w:pPr>
      <w:r>
        <w:rPr>
          <w:rFonts w:hint="default" w:ascii="Times New Roman" w:hAnsi="Times New Roman" w:eastAsia="宋体" w:cs="Times New Roman"/>
          <w:b/>
          <w:bCs/>
          <w:kern w:val="0"/>
          <w:sz w:val="24"/>
          <w:szCs w:val="20"/>
          <w:lang w:val="en-US" w:eastAsia="zh-CN" w:bidi="ar-SA"/>
        </w:rPr>
        <w:t>关键词：</w:t>
      </w:r>
      <w:r>
        <w:rPr>
          <w:rFonts w:hint="default" w:ascii="Times New Roman" w:hAnsi="Times New Roman" w:eastAsia="宋体" w:cs="Times New Roman"/>
          <w:kern w:val="0"/>
          <w:sz w:val="24"/>
          <w:szCs w:val="20"/>
          <w:lang w:val="en-US" w:eastAsia="zh-CN" w:bidi="ar-SA"/>
        </w:rPr>
        <w:t>结直肠癌；发病率；死亡率；趋势分析</w:t>
      </w:r>
    </w:p>
    <w:p w14:paraId="34B7AED1">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kern w:val="0"/>
          <w:sz w:val="24"/>
          <w:szCs w:val="20"/>
          <w:lang w:val="en-US" w:eastAsia="zh-CN" w:bidi="ar-SA"/>
        </w:rPr>
      </w:pPr>
      <w:r>
        <w:rPr>
          <w:rFonts w:hint="default" w:ascii="Times New Roman" w:hAnsi="Times New Roman" w:eastAsia="宋体" w:cs="Times New Roman"/>
          <w:b/>
          <w:bCs/>
          <w:kern w:val="0"/>
          <w:sz w:val="24"/>
          <w:szCs w:val="20"/>
          <w:lang w:val="en-US" w:eastAsia="zh-CN" w:bidi="ar-SA"/>
        </w:rPr>
        <w:t>中图分类号：</w:t>
      </w:r>
      <w:r>
        <w:rPr>
          <w:rFonts w:hint="default" w:ascii="Times New Roman" w:hAnsi="Times New Roman" w:eastAsia="宋体" w:cs="Times New Roman"/>
          <w:kern w:val="0"/>
          <w:sz w:val="24"/>
          <w:szCs w:val="20"/>
          <w:lang w:val="en-US" w:eastAsia="zh-CN" w:bidi="ar-SA"/>
        </w:rPr>
        <w:t>R73-31；R735.3</w:t>
      </w:r>
    </w:p>
    <w:p w14:paraId="26A6D046">
      <w:pPr>
        <w:keepNext w:val="0"/>
        <w:keepLines w:val="0"/>
        <w:pageBreakBefore w:val="0"/>
        <w:widowControl w:val="0"/>
        <w:numPr>
          <w:ilvl w:val="0"/>
          <w:numId w:val="0"/>
        </w:numPr>
        <w:kinsoku/>
        <w:wordWrap/>
        <w:overflowPunct/>
        <w:topLinePunct w:val="0"/>
        <w:autoSpaceDE/>
        <w:autoSpaceDN/>
        <w:bidi w:val="0"/>
        <w:adjustRightInd/>
        <w:snapToGrid/>
        <w:jc w:val="both"/>
        <w:textAlignment w:val="auto"/>
        <w:rPr>
          <w:rFonts w:hint="default" w:ascii="Times New Roman" w:hAnsi="Times New Roman" w:eastAsia="楷体" w:cs="楷体"/>
          <w:sz w:val="24"/>
          <w:szCs w:val="24"/>
          <w:lang w:val="en-US" w:eastAsia="zh-CN"/>
        </w:rPr>
      </w:pPr>
      <w:r>
        <w:rPr>
          <w:rFonts w:hint="eastAsia" w:ascii="Times New Roman" w:hAnsi="Times New Roman" w:eastAsia="楷体" w:cs="楷体"/>
          <w:sz w:val="24"/>
          <w:szCs w:val="24"/>
          <w:lang w:val="en-US" w:eastAsia="zh-CN"/>
        </w:rPr>
        <w:t>基金项目：宿迁市指导性科</w:t>
      </w:r>
      <w:bookmarkStart w:id="0" w:name="_GoBack"/>
      <w:bookmarkEnd w:id="0"/>
      <w:r>
        <w:rPr>
          <w:rFonts w:hint="eastAsia" w:ascii="Times New Roman" w:hAnsi="Times New Roman" w:eastAsia="楷体" w:cs="楷体"/>
          <w:sz w:val="24"/>
          <w:szCs w:val="24"/>
          <w:lang w:val="en-US" w:eastAsia="zh-CN"/>
        </w:rPr>
        <w:t>技计划项目（Z2022083，Z202382)</w:t>
      </w:r>
    </w:p>
    <w:p w14:paraId="12605207">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宋体" w:cs="Times New Roman"/>
          <w:sz w:val="24"/>
          <w:szCs w:val="32"/>
        </w:rPr>
      </w:pPr>
    </w:p>
    <w:p w14:paraId="18E7FDB2">
      <w:pPr>
        <w:keepNext w:val="0"/>
        <w:keepLines w:val="0"/>
        <w:pageBreakBefore w:val="0"/>
        <w:widowControl/>
        <w:kinsoku/>
        <w:wordWrap/>
        <w:overflowPunct/>
        <w:topLinePunct w:val="0"/>
        <w:autoSpaceDE/>
        <w:autoSpaceDN/>
        <w:bidi w:val="0"/>
        <w:adjustRightInd w:val="0"/>
        <w:snapToGrid w:val="0"/>
        <w:spacing w:line="360" w:lineRule="auto"/>
        <w:ind w:firstLine="480"/>
        <w:jc w:val="center"/>
        <w:textAlignment w:val="auto"/>
        <w:rPr>
          <w:rFonts w:hint="default" w:ascii="Times New Roman" w:hAnsi="Times New Roman" w:eastAsia="黑体" w:cs="Times New Roman"/>
          <w:color w:val="000000"/>
          <w:sz w:val="28"/>
          <w:szCs w:val="28"/>
          <w:lang w:val="en-US" w:eastAsia="zh-CN"/>
        </w:rPr>
      </w:pPr>
      <w:r>
        <w:rPr>
          <w:rFonts w:hint="default" w:ascii="Times New Roman" w:hAnsi="Times New Roman" w:eastAsia="黑体" w:cs="Times New Roman"/>
          <w:color w:val="000000"/>
          <w:sz w:val="28"/>
          <w:szCs w:val="28"/>
          <w:lang w:val="en-US" w:eastAsia="zh-CN"/>
        </w:rPr>
        <w:t>Analysis and Prediction Study on the Incidence and Mortality Trends of Colorectal Cancer in Suqian City from 2018 to 2023</w:t>
      </w:r>
    </w:p>
    <w:p w14:paraId="709BC280">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default" w:ascii="Times New Roman" w:hAnsi="Times New Roman" w:cs="Times New Roman" w:eastAsiaTheme="minorEastAsia"/>
          <w:i w:val="0"/>
          <w:iCs w:val="0"/>
          <w:color w:val="000000"/>
          <w:lang w:val="en-US" w:eastAsia="zh-CN"/>
        </w:rPr>
      </w:pPr>
      <w:r>
        <w:rPr>
          <w:rFonts w:hint="eastAsia" w:ascii="Times New Roman" w:hAnsi="Times New Roman" w:cs="Times New Roman"/>
          <w:i w:val="0"/>
          <w:iCs w:val="0"/>
          <w:color w:val="000000"/>
          <w:lang w:val="en-US" w:eastAsia="zh-CN"/>
        </w:rPr>
        <w:t>QIU</w:t>
      </w:r>
      <w:r>
        <w:rPr>
          <w:rFonts w:hint="default" w:ascii="Times New Roman" w:hAnsi="Times New Roman" w:cs="Times New Roman"/>
          <w:i w:val="0"/>
          <w:iCs w:val="0"/>
          <w:color w:val="000000"/>
        </w:rPr>
        <w:t xml:space="preserve"> </w:t>
      </w:r>
      <w:r>
        <w:rPr>
          <w:rFonts w:hint="eastAsia" w:ascii="Times New Roman" w:hAnsi="Times New Roman" w:cs="Times New Roman"/>
          <w:i w:val="0"/>
          <w:iCs w:val="0"/>
          <w:color w:val="000000"/>
          <w:lang w:val="en-US" w:eastAsia="zh-CN"/>
        </w:rPr>
        <w:t>Yubao</w:t>
      </w:r>
      <w:r>
        <w:rPr>
          <w:rFonts w:hint="default" w:ascii="Times New Roman" w:hAnsi="Times New Roman" w:cs="Times New Roman"/>
          <w:i w:val="0"/>
          <w:iCs w:val="0"/>
          <w:color w:val="000000"/>
          <w:vertAlign w:val="superscript"/>
        </w:rPr>
        <w:t>1</w:t>
      </w:r>
      <w:r>
        <w:rPr>
          <w:rFonts w:hint="default" w:ascii="Times New Roman" w:hAnsi="Times New Roman" w:cs="Times New Roman"/>
          <w:i w:val="0"/>
          <w:iCs w:val="0"/>
          <w:color w:val="000000"/>
        </w:rPr>
        <w:t>,</w:t>
      </w:r>
      <w:r>
        <w:rPr>
          <w:rFonts w:hint="eastAsia" w:ascii="Times New Roman" w:hAnsi="Times New Roman" w:cs="Times New Roman"/>
          <w:i w:val="0"/>
          <w:iCs w:val="0"/>
          <w:color w:val="000000"/>
          <w:lang w:val="en-US" w:eastAsia="zh-CN"/>
        </w:rPr>
        <w:t xml:space="preserve"> Zhang Xinnan</w:t>
      </w:r>
      <w:r>
        <w:rPr>
          <w:rFonts w:hint="default" w:ascii="Times New Roman" w:hAnsi="Times New Roman" w:cs="Times New Roman"/>
          <w:i w:val="0"/>
          <w:iCs w:val="0"/>
          <w:color w:val="000000"/>
          <w:highlight w:val="yellow"/>
          <w:vertAlign w:val="superscript"/>
        </w:rPr>
        <w:t>1</w:t>
      </w:r>
      <w:r>
        <w:rPr>
          <w:rFonts w:hint="eastAsia" w:ascii="Times New Roman" w:hAnsi="Times New Roman" w:cs="Times New Roman"/>
          <w:i w:val="0"/>
          <w:iCs w:val="0"/>
          <w:color w:val="000000"/>
          <w:lang w:val="en-US" w:eastAsia="zh-CN"/>
        </w:rPr>
        <w:t>, Yang Bingmo</w:t>
      </w:r>
      <w:r>
        <w:rPr>
          <w:rFonts w:hint="default" w:ascii="Times New Roman" w:hAnsi="Times New Roman" w:cs="Times New Roman"/>
          <w:i w:val="0"/>
          <w:iCs w:val="0"/>
          <w:color w:val="000000"/>
          <w:highlight w:val="yellow"/>
          <w:vertAlign w:val="superscript"/>
        </w:rPr>
        <w:t>1</w:t>
      </w:r>
      <w:r>
        <w:rPr>
          <w:rFonts w:hint="eastAsia" w:ascii="Times New Roman" w:hAnsi="Times New Roman" w:cs="Times New Roman"/>
          <w:i w:val="0"/>
          <w:iCs w:val="0"/>
          <w:color w:val="000000"/>
          <w:lang w:val="en-US" w:eastAsia="zh-CN"/>
        </w:rPr>
        <w:t>, Chen Lei</w:t>
      </w:r>
      <w:r>
        <w:rPr>
          <w:rFonts w:hint="default" w:ascii="Times New Roman" w:hAnsi="Times New Roman" w:cs="Times New Roman"/>
          <w:i w:val="0"/>
          <w:iCs w:val="0"/>
          <w:color w:val="000000"/>
          <w:highlight w:val="yellow"/>
          <w:vertAlign w:val="superscript"/>
        </w:rPr>
        <w:t>1</w:t>
      </w:r>
      <w:r>
        <w:rPr>
          <w:rFonts w:hint="eastAsia" w:ascii="Times New Roman" w:hAnsi="Times New Roman" w:cs="Times New Roman"/>
          <w:i w:val="0"/>
          <w:iCs w:val="0"/>
          <w:color w:val="000000"/>
          <w:lang w:val="en-US" w:eastAsia="zh-CN"/>
        </w:rPr>
        <w:t>, YU Lei</w:t>
      </w:r>
      <w:r>
        <w:rPr>
          <w:rFonts w:hint="default" w:ascii="Times New Roman" w:hAnsi="Times New Roman" w:cs="Times New Roman"/>
          <w:i w:val="0"/>
          <w:iCs w:val="0"/>
          <w:color w:val="000000"/>
          <w:vertAlign w:val="superscript"/>
        </w:rPr>
        <w:t>1</w:t>
      </w:r>
    </w:p>
    <w:p w14:paraId="3C08930E">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default" w:ascii="Times New Roman" w:hAnsi="Times New Roman" w:cs="Times New Roman"/>
          <w:i/>
          <w:iCs/>
          <w:color w:val="000000"/>
        </w:rPr>
      </w:pPr>
      <w:r>
        <w:rPr>
          <w:rFonts w:hint="default" w:ascii="Times New Roman" w:hAnsi="Times New Roman" w:cs="Times New Roman" w:eastAsiaTheme="minorEastAsia"/>
          <w:i w:val="0"/>
          <w:iCs w:val="0"/>
          <w:color w:val="000000"/>
          <w:kern w:val="0"/>
          <w:sz w:val="24"/>
          <w:szCs w:val="24"/>
          <w:lang w:val="en-US" w:eastAsia="zh-CN" w:bidi="ar"/>
        </w:rPr>
        <w:t>1.</w:t>
      </w:r>
      <w:r>
        <w:rPr>
          <w:rFonts w:hint="default" w:ascii="Times New Roman" w:hAnsi="Times New Roman" w:cs="Times New Roman"/>
          <w:i/>
          <w:iCs/>
          <w:color w:val="000000"/>
        </w:rPr>
        <w:t xml:space="preserve"> </w:t>
      </w:r>
      <w:r>
        <w:rPr>
          <w:rFonts w:hint="eastAsia" w:ascii="Times New Roman" w:hAnsi="Times New Roman" w:eastAsia="方正黑体_GBK" w:cs="Times New Roman"/>
          <w:i/>
          <w:iCs/>
          <w:sz w:val="24"/>
          <w:szCs w:val="32"/>
          <w:rtl w:val="0"/>
          <w:cs w:val="0"/>
          <w:lang w:val="en-US" w:eastAsia="zh-CN"/>
        </w:rPr>
        <w:t>Suqian Center for Disease Control and Prevention (Municipal Health Supervision Institute), Suqian, Jiangsu 223800</w:t>
      </w:r>
    </w:p>
    <w:p w14:paraId="70F4CBE2">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default" w:ascii="Times New Roman" w:hAnsi="Times New Roman" w:eastAsia="宋体" w:cs="Times New Roman"/>
          <w:sz w:val="24"/>
          <w:szCs w:val="32"/>
        </w:rPr>
      </w:pPr>
      <w:r>
        <w:rPr>
          <w:rFonts w:hint="default" w:ascii="Times New Roman" w:hAnsi="Times New Roman" w:cs="Times New Roman"/>
          <w:i/>
          <w:iCs/>
          <w:color w:val="000000"/>
          <w:sz w:val="21"/>
          <w:szCs w:val="21"/>
          <w:lang w:val="en-US" w:eastAsia="zh-CN"/>
        </w:rPr>
        <w:t>Corresponding author:</w:t>
      </w:r>
      <w:r>
        <w:rPr>
          <w:rFonts w:hint="eastAsia" w:ascii="Times New Roman" w:hAnsi="Times New Roman" w:cs="Times New Roman"/>
          <w:i/>
          <w:iCs/>
          <w:color w:val="000000"/>
          <w:lang w:val="en-US" w:eastAsia="zh-CN"/>
        </w:rPr>
        <w:t>YU Lei</w:t>
      </w:r>
      <w:r>
        <w:rPr>
          <w:rFonts w:hint="eastAsia" w:cs="Times New Roman"/>
          <w:i w:val="0"/>
          <w:iCs w:val="0"/>
          <w:color w:val="000000"/>
          <w:sz w:val="21"/>
          <w:szCs w:val="21"/>
          <w:lang w:val="en-US" w:eastAsia="zh-CN"/>
        </w:rPr>
        <w:t xml:space="preserve">, </w:t>
      </w:r>
      <w:r>
        <w:rPr>
          <w:rFonts w:hint="default" w:ascii="Times New Roman" w:hAnsi="Times New Roman" w:cs="Times New Roman"/>
          <w:i/>
          <w:iCs/>
          <w:color w:val="000000"/>
          <w:sz w:val="21"/>
          <w:szCs w:val="21"/>
          <w:lang w:val="en-US" w:eastAsia="zh-CN"/>
        </w:rPr>
        <w:t>E-mail:</w:t>
      </w:r>
      <w:r>
        <w:rPr>
          <w:rFonts w:hint="eastAsia" w:ascii="Times New Roman" w:hAnsi="Times New Roman" w:cs="Times New Roman"/>
          <w:i/>
          <w:iCs/>
          <w:color w:val="000000"/>
          <w:sz w:val="21"/>
          <w:szCs w:val="21"/>
          <w:lang w:val="en-US" w:eastAsia="zh-CN"/>
        </w:rPr>
        <w:t xml:space="preserve"> 351120146@qq.com</w:t>
      </w:r>
    </w:p>
    <w:p w14:paraId="589D62C3">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sz w:val="24"/>
          <w:szCs w:val="32"/>
        </w:rPr>
      </w:pPr>
      <w:r>
        <w:rPr>
          <w:rFonts w:hint="default" w:ascii="Times New Roman" w:hAnsi="Times New Roman" w:eastAsia="宋体" w:cs="Times New Roman"/>
          <w:b/>
          <w:bCs/>
          <w:sz w:val="24"/>
          <w:szCs w:val="32"/>
        </w:rPr>
        <w:t>Abstract</w:t>
      </w:r>
      <w:r>
        <w:rPr>
          <w:rFonts w:hint="eastAsia" w:ascii="Times New Roman" w:hAnsi="Times New Roman" w:eastAsia="宋体" w:cs="Times New Roman"/>
          <w:b/>
          <w:bCs/>
          <w:sz w:val="24"/>
          <w:szCs w:val="32"/>
          <w:lang w:val="en-US" w:eastAsia="zh-CN"/>
        </w:rPr>
        <w:t xml:space="preserve">: </w:t>
      </w:r>
      <w:r>
        <w:rPr>
          <w:rFonts w:hint="default" w:ascii="Times New Roman" w:hAnsi="Times New Roman" w:eastAsia="宋体" w:cs="Times New Roman"/>
          <w:b/>
          <w:bCs/>
          <w:sz w:val="24"/>
          <w:szCs w:val="32"/>
        </w:rPr>
        <w:t>Objective</w:t>
      </w:r>
      <w:r>
        <w:rPr>
          <w:rFonts w:hint="default" w:ascii="Times New Roman" w:hAnsi="Times New Roman" w:eastAsia="宋体" w:cs="Times New Roman"/>
          <w:sz w:val="24"/>
          <w:szCs w:val="32"/>
        </w:rPr>
        <w:t xml:space="preserve"> To analyze the incidence and mortality trends of colorectal cancer in Suqian City, Jiangsu Province from 2018 to 2023, and predict the changes in the incidence and mortality of colorectal cancer from 2024 to 2026.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b/>
          <w:bCs/>
          <w:sz w:val="24"/>
          <w:szCs w:val="32"/>
        </w:rPr>
        <w:t xml:space="preserve">Methods </w:t>
      </w:r>
      <w:r>
        <w:rPr>
          <w:rFonts w:hint="default" w:ascii="Times New Roman" w:hAnsi="Times New Roman" w:eastAsia="宋体" w:cs="Times New Roman"/>
          <w:sz w:val="24"/>
          <w:szCs w:val="32"/>
        </w:rPr>
        <w:t>Data on the incidence and mortality of malignant tumors in Suqian City from 2018 to 2023 were collected through the Jiangsu Provincial Chronic Disease Management Information Platform. Excel and R 4.5 were used to calculate the crude incidence (mortality) rate, age-standardized incidence (mortality) rate by Chinese standard population, age-standardized incidence (mortality) rate by world standard population, and cumulative rate for ages 0-74 years of colorectal cancer. JoinPoint 4.8 software was employed to calculate the average annual percentage change (AAPC). R 4.5 was used to construct the grey model GM(1,1) for predicting the incidence and mortality rates of colorectal cancer in Suqian City from 2024 to 2026.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b/>
          <w:bCs/>
          <w:sz w:val="24"/>
          <w:szCs w:val="32"/>
        </w:rPr>
        <w:t>Results</w:t>
      </w:r>
      <w:r>
        <w:rPr>
          <w:rFonts w:hint="default" w:ascii="Times New Roman" w:hAnsi="Times New Roman" w:eastAsia="宋体" w:cs="Times New Roman"/>
          <w:sz w:val="24"/>
          <w:szCs w:val="32"/>
        </w:rPr>
        <w:t xml:space="preserve"> From 2018 to 2023, the incidence rate of colorectal cancer in Suqian City was 19.06</w:t>
      </w:r>
      <w:r>
        <w:rPr>
          <w:rFonts w:hint="eastAsia" w:ascii="Times New Roman" w:hAnsi="Times New Roman" w:eastAsia="宋体" w:cs="Times New Roman"/>
          <w:sz w:val="24"/>
          <w:szCs w:val="32"/>
          <w:lang w:val="en-US" w:eastAsia="zh-CN"/>
        </w:rPr>
        <w:t>/10</w:t>
      </w:r>
      <w:r>
        <w:rPr>
          <w:rFonts w:hint="eastAsia" w:ascii="Times New Roman" w:hAnsi="Times New Roman" w:eastAsia="宋体" w:cs="Times New Roman"/>
          <w:sz w:val="24"/>
          <w:szCs w:val="32"/>
          <w:vertAlign w:val="superscript"/>
          <w:lang w:val="en-US" w:eastAsia="zh-CN"/>
        </w:rPr>
        <w:t>5</w:t>
      </w:r>
      <w:r>
        <w:rPr>
          <w:rFonts w:hint="default" w:ascii="Times New Roman" w:hAnsi="Times New Roman" w:eastAsia="宋体" w:cs="Times New Roman"/>
          <w:sz w:val="24"/>
          <w:szCs w:val="32"/>
        </w:rPr>
        <w:t>, the age-standardized incidence rate by Chinese standard population was 12.00</w:t>
      </w:r>
      <w:r>
        <w:rPr>
          <w:rFonts w:hint="eastAsia" w:ascii="Times New Roman" w:hAnsi="Times New Roman" w:eastAsia="宋体" w:cs="Times New Roman"/>
          <w:sz w:val="24"/>
          <w:szCs w:val="32"/>
          <w:lang w:val="en-US" w:eastAsia="zh-CN"/>
        </w:rPr>
        <w:t>/10</w:t>
      </w:r>
      <w:r>
        <w:rPr>
          <w:rFonts w:hint="eastAsia" w:ascii="Times New Roman" w:hAnsi="Times New Roman" w:eastAsia="宋体" w:cs="Times New Roman"/>
          <w:sz w:val="24"/>
          <w:szCs w:val="32"/>
          <w:vertAlign w:val="superscript"/>
          <w:lang w:val="en-US" w:eastAsia="zh-CN"/>
        </w:rPr>
        <w:t>5</w:t>
      </w:r>
      <w:r>
        <w:rPr>
          <w:rFonts w:hint="default" w:ascii="Times New Roman" w:hAnsi="Times New Roman" w:eastAsia="宋体" w:cs="Times New Roman"/>
          <w:sz w:val="24"/>
          <w:szCs w:val="32"/>
        </w:rPr>
        <w:t>, the mortality rate was 8.73</w:t>
      </w:r>
      <w:r>
        <w:rPr>
          <w:rFonts w:hint="eastAsia" w:ascii="Times New Roman" w:hAnsi="Times New Roman" w:eastAsia="宋体" w:cs="Times New Roman"/>
          <w:sz w:val="24"/>
          <w:szCs w:val="32"/>
          <w:lang w:val="en-US" w:eastAsia="zh-CN"/>
        </w:rPr>
        <w:t>/10</w:t>
      </w:r>
      <w:r>
        <w:rPr>
          <w:rFonts w:hint="eastAsia" w:ascii="Times New Roman" w:hAnsi="Times New Roman" w:eastAsia="宋体" w:cs="Times New Roman"/>
          <w:sz w:val="24"/>
          <w:szCs w:val="32"/>
          <w:vertAlign w:val="superscript"/>
          <w:lang w:val="en-US" w:eastAsia="zh-CN"/>
        </w:rPr>
        <w:t>5</w:t>
      </w:r>
      <w:r>
        <w:rPr>
          <w:rFonts w:hint="default" w:ascii="Times New Roman" w:hAnsi="Times New Roman" w:eastAsia="宋体" w:cs="Times New Roman"/>
          <w:sz w:val="24"/>
          <w:szCs w:val="32"/>
        </w:rPr>
        <w:t>, and the age-standardized mortality rate by Chinese standard population was 4.94</w:t>
      </w:r>
      <w:r>
        <w:rPr>
          <w:rFonts w:hint="eastAsia" w:ascii="Times New Roman" w:hAnsi="Times New Roman" w:eastAsia="宋体" w:cs="Times New Roman"/>
          <w:sz w:val="24"/>
          <w:szCs w:val="32"/>
          <w:lang w:val="en-US" w:eastAsia="zh-CN"/>
        </w:rPr>
        <w:t>/10</w:t>
      </w:r>
      <w:r>
        <w:rPr>
          <w:rFonts w:hint="eastAsia" w:ascii="Times New Roman" w:hAnsi="Times New Roman" w:eastAsia="宋体" w:cs="Times New Roman"/>
          <w:sz w:val="24"/>
          <w:szCs w:val="32"/>
          <w:vertAlign w:val="superscript"/>
          <w:lang w:val="en-US" w:eastAsia="zh-CN"/>
        </w:rPr>
        <w:t>5</w:t>
      </w:r>
      <w:r>
        <w:rPr>
          <w:rFonts w:hint="default" w:ascii="Times New Roman" w:hAnsi="Times New Roman" w:eastAsia="宋体" w:cs="Times New Roman"/>
          <w:sz w:val="24"/>
          <w:szCs w:val="32"/>
        </w:rPr>
        <w:t>. Both incidence and mortality rates remained low before the age of 45, but increased rapidly with age after 45 years old. From 2018 to 2023, the AAPCs of colorectal cancer incidence in the total population, males, and females in Suqian City were 7.52%, 7.83%, and 7.07% respectively, all showing an upward trend (</w:t>
      </w:r>
      <w:r>
        <w:rPr>
          <w:rFonts w:hint="default" w:ascii="Times New Roman" w:hAnsi="Times New Roman" w:eastAsia="宋体" w:cs="Times New Roman"/>
          <w:i/>
          <w:iCs/>
          <w:sz w:val="24"/>
          <w:szCs w:val="32"/>
        </w:rPr>
        <w:t>P</w:t>
      </w:r>
      <w:r>
        <w:rPr>
          <w:rFonts w:hint="default" w:ascii="Times New Roman" w:hAnsi="Times New Roman" w:eastAsia="宋体" w:cs="Times New Roman"/>
          <w:sz w:val="24"/>
          <w:szCs w:val="32"/>
        </w:rPr>
        <w:t>&lt;0.05). During the same period, the AAPCs of colorectal cancer mortality in the total population, males, and females in Suqian City were 9.36%, 9.97%, and 8.43% respectively, also showing an upward trend (</w:t>
      </w:r>
      <w:r>
        <w:rPr>
          <w:rFonts w:hint="default" w:ascii="Times New Roman" w:hAnsi="Times New Roman" w:eastAsia="宋体" w:cs="Times New Roman"/>
          <w:i/>
          <w:iCs/>
          <w:sz w:val="24"/>
          <w:szCs w:val="32"/>
        </w:rPr>
        <w:t>P</w:t>
      </w:r>
      <w:r>
        <w:rPr>
          <w:rFonts w:hint="default" w:ascii="Times New Roman" w:hAnsi="Times New Roman" w:eastAsia="宋体" w:cs="Times New Roman"/>
          <w:sz w:val="24"/>
          <w:szCs w:val="32"/>
        </w:rPr>
        <w:t>&lt;0.05). The prediction results of the GM(1,1) model indicated that the incidence and mortality rates of colorectal cancer in Suqian City would continue to rise from 2024 to 2026.</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b/>
          <w:bCs/>
          <w:sz w:val="24"/>
          <w:szCs w:val="32"/>
        </w:rPr>
        <w:t>Conclusion</w:t>
      </w:r>
      <w:r>
        <w:rPr>
          <w:rFonts w:hint="default" w:ascii="Times New Roman" w:hAnsi="Times New Roman" w:eastAsia="宋体" w:cs="Times New Roman"/>
          <w:sz w:val="24"/>
          <w:szCs w:val="32"/>
        </w:rPr>
        <w:t xml:space="preserve"> The incidence and mortality rates of colorectal cancer in Suqian City are on the rise. Attention should be paid to and the prevention and control of colorectal cancer should be strengthened.</w:t>
      </w:r>
    </w:p>
    <w:p w14:paraId="7F957DE7">
      <w:pPr>
        <w:keepNext w:val="0"/>
        <w:keepLines w:val="0"/>
        <w:pageBreakBefore w:val="0"/>
        <w:widowControl/>
        <w:kinsoku/>
        <w:wordWrap/>
        <w:overflowPunct/>
        <w:topLinePunct w:val="0"/>
        <w:autoSpaceDE/>
        <w:autoSpaceDN/>
        <w:bidi w:val="0"/>
        <w:adjustRightInd w:val="0"/>
        <w:snapToGrid w:val="0"/>
        <w:spacing w:line="360" w:lineRule="auto"/>
        <w:jc w:val="both"/>
        <w:textAlignment w:val="auto"/>
        <w:rPr>
          <w:rFonts w:hint="default" w:ascii="Times New Roman" w:hAnsi="Times New Roman" w:eastAsia="宋体" w:cs="Times New Roman"/>
          <w:sz w:val="24"/>
          <w:szCs w:val="32"/>
        </w:rPr>
      </w:pPr>
      <w:r>
        <w:rPr>
          <w:rFonts w:hint="default" w:ascii="Times New Roman" w:hAnsi="Times New Roman" w:eastAsia="宋体" w:cs="Times New Roman"/>
          <w:b/>
          <w:bCs/>
          <w:sz w:val="24"/>
          <w:szCs w:val="32"/>
        </w:rPr>
        <w:t>Keywords</w:t>
      </w:r>
      <w:r>
        <w:rPr>
          <w:rFonts w:hint="eastAsia" w:ascii="Times New Roman" w:hAnsi="Times New Roman" w:eastAsia="宋体" w:cs="Times New Roman"/>
          <w:sz w:val="24"/>
          <w:szCs w:val="32"/>
          <w:lang w:val="en-US" w:eastAsia="zh-CN"/>
        </w:rPr>
        <w:t>:</w:t>
      </w:r>
      <w:r>
        <w:rPr>
          <w:rFonts w:hint="default" w:ascii="Times New Roman" w:hAnsi="Times New Roman" w:eastAsia="宋体" w:cs="Times New Roman"/>
          <w:sz w:val="24"/>
          <w:szCs w:val="32"/>
        </w:rPr>
        <w:t>colorectal cancer; incidence rate; mortality rate; trend analysis</w:t>
      </w:r>
    </w:p>
    <w:p w14:paraId="15393671">
      <w:pPr>
        <w:spacing w:line="360" w:lineRule="exact"/>
        <w:ind w:firstLine="480" w:firstLineChars="200"/>
        <w:jc w:val="both"/>
        <w:rPr>
          <w:rFonts w:hint="default" w:ascii="Times New Roman" w:hAnsi="Times New Roman" w:eastAsia="宋体" w:cs="Times New Roman"/>
          <w:kern w:val="0"/>
          <w:sz w:val="24"/>
          <w:szCs w:val="20"/>
          <w:lang w:bidi="ar-SA"/>
        </w:rPr>
      </w:pPr>
    </w:p>
    <w:p w14:paraId="01C3898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kern w:val="0"/>
          <w:sz w:val="24"/>
          <w:szCs w:val="20"/>
          <w:lang w:bidi="ar-SA"/>
        </w:rPr>
      </w:pPr>
      <w:r>
        <w:rPr>
          <w:rFonts w:hint="default" w:ascii="Times New Roman" w:hAnsi="Times New Roman" w:eastAsia="宋体" w:cs="Times New Roman"/>
          <w:kern w:val="0"/>
          <w:sz w:val="24"/>
          <w:szCs w:val="20"/>
          <w:lang w:bidi="ar-SA"/>
        </w:rPr>
        <w:t>结直肠癌作为常见恶性肿瘤，其疾病负担与社会经济发展及居民生活方式的转变密切相关。近年来，受人口老龄化加剧、人群肥胖率上升及饮食结构西方化等因素影响，该疾病的发病率和死亡率呈现明显上升趋势</w:t>
      </w:r>
      <w:r>
        <w:rPr>
          <w:rFonts w:hint="default" w:ascii="Times New Roman" w:hAnsi="Times New Roman" w:eastAsia="宋体" w:cs="Times New Roman"/>
          <w:kern w:val="0"/>
          <w:sz w:val="24"/>
          <w:szCs w:val="20"/>
          <w:vertAlign w:val="superscript"/>
          <w:lang w:val="en-US" w:eastAsia="zh-CN" w:bidi="ar-SA"/>
        </w:rPr>
        <w:t>[1][2]</w:t>
      </w:r>
      <w:r>
        <w:rPr>
          <w:rFonts w:hint="default" w:ascii="Times New Roman" w:hAnsi="Times New Roman" w:eastAsia="宋体" w:cs="Times New Roman"/>
          <w:kern w:val="0"/>
          <w:sz w:val="24"/>
          <w:szCs w:val="20"/>
          <w:lang w:bidi="ar-SA"/>
        </w:rPr>
        <w:t>。</w:t>
      </w:r>
      <w:r>
        <w:rPr>
          <w:rFonts w:hint="eastAsia" w:ascii="Times New Roman" w:hAnsi="Times New Roman" w:eastAsia="宋体" w:cs="Times New Roman"/>
          <w:kern w:val="0"/>
          <w:sz w:val="24"/>
          <w:szCs w:val="20"/>
          <w:lang w:val="en-US" w:eastAsia="zh-CN" w:bidi="ar-SA"/>
        </w:rPr>
        <w:t>2022年，中国结直肠癌新发病例达51.71万例，死亡病例为20.00万例，分别在恶性肿瘤发病顺位中位居第2位，在死亡顺位中位居第4位</w:t>
      </w:r>
      <w:r>
        <w:rPr>
          <w:rFonts w:hint="eastAsia" w:ascii="Times New Roman" w:hAnsi="Times New Roman" w:eastAsia="宋体" w:cs="Times New Roman"/>
          <w:kern w:val="0"/>
          <w:sz w:val="24"/>
          <w:szCs w:val="20"/>
          <w:vertAlign w:val="superscript"/>
          <w:lang w:val="en-US" w:eastAsia="zh-CN" w:bidi="ar-SA"/>
        </w:rPr>
        <w:t>[3]</w:t>
      </w:r>
      <w:r>
        <w:rPr>
          <w:rFonts w:hint="eastAsia" w:ascii="Times New Roman" w:hAnsi="Times New Roman" w:eastAsia="宋体" w:cs="Times New Roman"/>
          <w:kern w:val="0"/>
          <w:sz w:val="24"/>
          <w:szCs w:val="20"/>
          <w:lang w:val="en-US" w:eastAsia="zh-CN" w:bidi="ar-SA"/>
        </w:rPr>
        <w:t>。1990~2021年期间，中国结直肠癌年龄标准化发病率呈现出显著的增长态势</w:t>
      </w:r>
      <w:r>
        <w:rPr>
          <w:rFonts w:hint="default" w:ascii="Times New Roman" w:hAnsi="Times New Roman" w:eastAsia="宋体" w:cs="Times New Roman"/>
          <w:kern w:val="0"/>
          <w:sz w:val="24"/>
          <w:szCs w:val="20"/>
          <w:vertAlign w:val="superscript"/>
          <w:lang w:val="en-US" w:eastAsia="zh-CN" w:bidi="ar-SA"/>
        </w:rPr>
        <w:t>[2]</w:t>
      </w:r>
      <w:r>
        <w:rPr>
          <w:rFonts w:hint="eastAsia" w:ascii="Times New Roman" w:hAnsi="Times New Roman" w:eastAsia="宋体" w:cs="Times New Roman"/>
          <w:kern w:val="0"/>
          <w:sz w:val="24"/>
          <w:szCs w:val="20"/>
          <w:lang w:val="en-US" w:eastAsia="zh-CN" w:bidi="ar-SA"/>
        </w:rPr>
        <w:t>。在江苏省，1990~2019年结直肠癌的发病率与死亡率也均呈现显著上升趋势</w:t>
      </w:r>
      <w:r>
        <w:rPr>
          <w:rFonts w:hint="default" w:ascii="Times New Roman" w:hAnsi="Times New Roman" w:eastAsia="宋体" w:cs="Times New Roman"/>
          <w:kern w:val="0"/>
          <w:sz w:val="24"/>
          <w:szCs w:val="20"/>
          <w:vertAlign w:val="superscript"/>
          <w:lang w:val="en-US" w:eastAsia="zh-CN" w:bidi="ar-SA"/>
        </w:rPr>
        <w:t>[</w:t>
      </w:r>
      <w:r>
        <w:rPr>
          <w:rFonts w:hint="eastAsia" w:ascii="Times New Roman" w:hAnsi="Times New Roman" w:eastAsia="宋体" w:cs="Times New Roman"/>
          <w:kern w:val="0"/>
          <w:sz w:val="24"/>
          <w:szCs w:val="20"/>
          <w:vertAlign w:val="superscript"/>
          <w:lang w:val="en-US" w:eastAsia="zh-CN" w:bidi="ar-SA"/>
        </w:rPr>
        <w:t>4</w:t>
      </w:r>
      <w:r>
        <w:rPr>
          <w:rFonts w:hint="default" w:ascii="Times New Roman" w:hAnsi="Times New Roman" w:eastAsia="宋体" w:cs="Times New Roman"/>
          <w:kern w:val="0"/>
          <w:sz w:val="24"/>
          <w:szCs w:val="20"/>
          <w:vertAlign w:val="superscript"/>
          <w:lang w:val="en-US" w:eastAsia="zh-CN" w:bidi="ar-SA"/>
        </w:rPr>
        <w:t>]</w:t>
      </w:r>
      <w:r>
        <w:rPr>
          <w:rFonts w:hint="default" w:ascii="Times New Roman" w:hAnsi="Times New Roman" w:eastAsia="宋体" w:cs="Times New Roman"/>
          <w:kern w:val="0"/>
          <w:sz w:val="24"/>
          <w:szCs w:val="20"/>
          <w:lang w:val="en-US" w:eastAsia="zh-CN" w:bidi="ar-SA"/>
        </w:rPr>
        <w:t>。为了解</w:t>
      </w:r>
      <w:r>
        <w:rPr>
          <w:rFonts w:hint="eastAsia" w:ascii="Times New Roman" w:hAnsi="Times New Roman" w:eastAsia="宋体" w:cs="Times New Roman"/>
          <w:kern w:val="0"/>
          <w:sz w:val="24"/>
          <w:szCs w:val="20"/>
          <w:lang w:val="en-US" w:eastAsia="zh-CN" w:bidi="ar-SA"/>
        </w:rPr>
        <w:t>宿迁</w:t>
      </w:r>
      <w:r>
        <w:rPr>
          <w:rFonts w:hint="default" w:ascii="Times New Roman" w:hAnsi="Times New Roman" w:eastAsia="宋体" w:cs="Times New Roman"/>
          <w:kern w:val="0"/>
          <w:sz w:val="24"/>
          <w:szCs w:val="20"/>
          <w:lang w:val="en-US" w:eastAsia="zh-CN" w:bidi="ar-SA"/>
        </w:rPr>
        <w:t>市结直肠癌</w:t>
      </w:r>
      <w:r>
        <w:rPr>
          <w:rFonts w:hint="eastAsia" w:ascii="Times New Roman" w:hAnsi="Times New Roman" w:eastAsia="宋体" w:cs="Times New Roman"/>
          <w:kern w:val="0"/>
          <w:sz w:val="24"/>
          <w:szCs w:val="20"/>
          <w:lang w:val="en-US" w:eastAsia="zh-CN" w:bidi="ar-SA"/>
        </w:rPr>
        <w:t>流行</w:t>
      </w:r>
      <w:r>
        <w:rPr>
          <w:rFonts w:hint="default" w:ascii="Times New Roman" w:hAnsi="Times New Roman" w:eastAsia="宋体" w:cs="Times New Roman"/>
          <w:kern w:val="0"/>
          <w:sz w:val="24"/>
          <w:szCs w:val="20"/>
          <w:lang w:val="en-US" w:eastAsia="zh-CN" w:bidi="ar-SA"/>
        </w:rPr>
        <w:t>现状</w:t>
      </w:r>
      <w:r>
        <w:rPr>
          <w:rFonts w:hint="eastAsia" w:ascii="Times New Roman" w:hAnsi="Times New Roman" w:eastAsia="宋体" w:cs="Times New Roman"/>
          <w:kern w:val="0"/>
          <w:sz w:val="24"/>
          <w:szCs w:val="20"/>
          <w:lang w:val="en-US" w:eastAsia="zh-CN" w:bidi="ar-SA"/>
        </w:rPr>
        <w:t>，</w:t>
      </w:r>
      <w:r>
        <w:rPr>
          <w:rFonts w:hint="default" w:ascii="Times New Roman" w:hAnsi="Times New Roman" w:eastAsia="宋体" w:cs="Times New Roman"/>
          <w:kern w:val="0"/>
          <w:sz w:val="24"/>
          <w:szCs w:val="20"/>
          <w:lang w:val="en-US" w:eastAsia="zh-CN" w:bidi="ar-SA"/>
        </w:rPr>
        <w:t>本研究分析2018-2023年宿迁市结直肠癌的发病和死亡趋势变化情况，并构建灰色模型</w:t>
      </w:r>
      <w:r>
        <w:rPr>
          <w:rFonts w:hint="eastAsia" w:ascii="Times New Roman" w:hAnsi="Times New Roman" w:eastAsia="宋体" w:cs="Times New Roman"/>
          <w:kern w:val="0"/>
          <w:sz w:val="24"/>
          <w:szCs w:val="20"/>
          <w:lang w:val="en-US" w:eastAsia="zh-CN" w:bidi="ar-SA"/>
        </w:rPr>
        <w:t>GM（1,1）</w:t>
      </w:r>
      <w:r>
        <w:rPr>
          <w:rFonts w:hint="default" w:ascii="Times New Roman" w:hAnsi="Times New Roman" w:eastAsia="宋体" w:cs="Times New Roman"/>
          <w:kern w:val="0"/>
          <w:sz w:val="24"/>
          <w:szCs w:val="20"/>
          <w:lang w:val="en-US" w:eastAsia="zh-CN" w:bidi="ar-SA"/>
        </w:rPr>
        <w:t>对2024—2026年宿迁市结直肠癌发病率和死亡率进行预测，</w:t>
      </w:r>
      <w:r>
        <w:rPr>
          <w:rFonts w:hint="eastAsia" w:ascii="Times New Roman" w:hAnsi="Times New Roman" w:eastAsia="宋体" w:cs="Times New Roman"/>
          <w:kern w:val="0"/>
          <w:sz w:val="24"/>
          <w:szCs w:val="20"/>
          <w:lang w:val="en-US" w:eastAsia="zh-CN" w:bidi="ar-SA"/>
        </w:rPr>
        <w:t>以期</w:t>
      </w:r>
      <w:r>
        <w:rPr>
          <w:rFonts w:hint="default" w:ascii="Times New Roman" w:hAnsi="Times New Roman" w:eastAsia="宋体" w:cs="Times New Roman"/>
          <w:kern w:val="0"/>
          <w:sz w:val="24"/>
          <w:szCs w:val="20"/>
          <w:lang w:bidi="ar-SA"/>
        </w:rPr>
        <w:t>为制定结直肠癌科学防控政策提供流行病学参考依据。</w:t>
      </w:r>
    </w:p>
    <w:p w14:paraId="71CCD5FC">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both"/>
        <w:textAlignment w:val="auto"/>
        <w:rPr>
          <w:rFonts w:hint="default" w:ascii="Times New Roman" w:hAnsi="Times New Roman" w:eastAsia="宋体" w:cs="Times New Roman"/>
          <w:b/>
          <w:color w:val="000000"/>
          <w:kern w:val="2"/>
          <w:sz w:val="24"/>
          <w:szCs w:val="20"/>
          <w:lang w:val="en-US" w:eastAsia="zh-CN" w:bidi="ar-SA"/>
        </w:rPr>
      </w:pPr>
      <w:r>
        <w:rPr>
          <w:rFonts w:hint="default" w:ascii="Times New Roman" w:hAnsi="Times New Roman" w:eastAsia="宋体" w:cs="Times New Roman"/>
          <w:b/>
          <w:color w:val="000000"/>
          <w:kern w:val="2"/>
          <w:sz w:val="24"/>
          <w:szCs w:val="20"/>
          <w:lang w:val="en-US" w:eastAsia="zh-CN" w:bidi="ar-SA"/>
        </w:rPr>
        <w:t>1 资料与方法</w:t>
      </w:r>
    </w:p>
    <w:p w14:paraId="7EAA905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kern w:val="0"/>
          <w:sz w:val="24"/>
          <w:szCs w:val="20"/>
          <w:lang w:val="en-US" w:eastAsia="zh-CN" w:bidi="ar-SA"/>
        </w:rPr>
      </w:pPr>
      <w:r>
        <w:rPr>
          <w:rFonts w:hint="default" w:ascii="Times New Roman" w:hAnsi="Times New Roman" w:eastAsia="宋体" w:cs="Times New Roman"/>
          <w:kern w:val="0"/>
          <w:sz w:val="24"/>
          <w:szCs w:val="20"/>
          <w:lang w:val="en-US" w:eastAsia="zh-CN" w:bidi="ar-SA"/>
        </w:rPr>
        <w:t>1.1 资料来源</w:t>
      </w:r>
    </w:p>
    <w:p w14:paraId="474DB84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default" w:ascii="Times New Roman" w:hAnsi="Times New Roman" w:eastAsia="宋体" w:cs="Times New Roman"/>
          <w:kern w:val="0"/>
          <w:sz w:val="24"/>
          <w:szCs w:val="20"/>
          <w:lang w:val="en-US" w:eastAsia="zh-CN" w:bidi="ar-SA"/>
        </w:rPr>
        <w:t>本研究数据来源于江苏省慢性病管理信息平台，收集了2018—2023年宿迁市结直肠癌发病和死亡病例。肿瘤编码采用《国际疾病分类》第10版（ICD-10）</w:t>
      </w:r>
      <w:r>
        <w:rPr>
          <w:rFonts w:hint="eastAsia" w:ascii="Times New Roman" w:hAnsi="Times New Roman" w:eastAsia="宋体" w:cs="Times New Roman"/>
          <w:kern w:val="0"/>
          <w:sz w:val="24"/>
          <w:szCs w:val="20"/>
          <w:lang w:val="en-US" w:eastAsia="zh-CN" w:bidi="ar-SA"/>
        </w:rPr>
        <w:t>，</w:t>
      </w:r>
      <w:r>
        <w:rPr>
          <w:rFonts w:hint="default" w:ascii="Times New Roman" w:hAnsi="Times New Roman" w:eastAsia="宋体" w:cs="Times New Roman"/>
          <w:kern w:val="0"/>
          <w:sz w:val="24"/>
          <w:szCs w:val="20"/>
          <w:lang w:val="en-US" w:eastAsia="zh-CN" w:bidi="ar-SA"/>
        </w:rPr>
        <w:t>结直肠癌</w:t>
      </w:r>
      <w:r>
        <w:rPr>
          <w:rFonts w:hint="eastAsia" w:ascii="Times New Roman" w:hAnsi="Times New Roman" w:eastAsia="宋体" w:cs="Times New Roman"/>
          <w:kern w:val="0"/>
          <w:sz w:val="24"/>
          <w:szCs w:val="20"/>
          <w:lang w:val="en-US" w:eastAsia="zh-CN" w:bidi="ar-SA"/>
        </w:rPr>
        <w:t>编码范围为</w:t>
      </w:r>
      <w:r>
        <w:rPr>
          <w:rFonts w:hint="default" w:ascii="Times New Roman" w:hAnsi="Times New Roman" w:eastAsia="宋体" w:cs="Times New Roman"/>
          <w:kern w:val="0"/>
          <w:sz w:val="24"/>
          <w:szCs w:val="20"/>
          <w:lang w:val="en-US" w:eastAsia="zh-CN" w:bidi="ar-SA"/>
        </w:rPr>
        <w:t>C18~C2</w:t>
      </w:r>
      <w:r>
        <w:rPr>
          <w:rFonts w:hint="eastAsia" w:ascii="Times New Roman" w:hAnsi="Times New Roman" w:eastAsia="宋体" w:cs="Times New Roman"/>
          <w:kern w:val="0"/>
          <w:sz w:val="24"/>
          <w:szCs w:val="20"/>
          <w:lang w:val="en-US" w:eastAsia="zh-CN" w:bidi="ar-SA"/>
        </w:rPr>
        <w:t>2</w:t>
      </w:r>
      <w:r>
        <w:rPr>
          <w:rFonts w:hint="default" w:ascii="Times New Roman" w:hAnsi="Times New Roman" w:eastAsia="宋体" w:cs="Times New Roman"/>
          <w:kern w:val="0"/>
          <w:sz w:val="24"/>
          <w:szCs w:val="20"/>
          <w:lang w:val="en-US" w:eastAsia="zh-CN" w:bidi="ar-SA"/>
        </w:rPr>
        <w:t>。20</w:t>
      </w:r>
      <w:r>
        <w:rPr>
          <w:rFonts w:hint="eastAsia" w:ascii="Times New Roman" w:hAnsi="Times New Roman" w:eastAsia="宋体" w:cs="Times New Roman"/>
          <w:kern w:val="0"/>
          <w:sz w:val="24"/>
          <w:szCs w:val="20"/>
          <w:lang w:val="en-US" w:eastAsia="zh-CN" w:bidi="ar-SA"/>
        </w:rPr>
        <w:t>18</w:t>
      </w:r>
      <w:r>
        <w:rPr>
          <w:rFonts w:hint="default" w:ascii="Times New Roman" w:hAnsi="Times New Roman" w:eastAsia="宋体" w:cs="Times New Roman"/>
          <w:kern w:val="0"/>
          <w:sz w:val="24"/>
          <w:szCs w:val="20"/>
          <w:lang w:val="en-US" w:eastAsia="zh-CN" w:bidi="ar-SA"/>
        </w:rPr>
        <w:t>—202</w:t>
      </w:r>
      <w:r>
        <w:rPr>
          <w:rFonts w:hint="eastAsia" w:ascii="Times New Roman" w:hAnsi="Times New Roman" w:eastAsia="宋体" w:cs="Times New Roman"/>
          <w:kern w:val="0"/>
          <w:sz w:val="24"/>
          <w:szCs w:val="20"/>
          <w:lang w:val="en-US" w:eastAsia="zh-CN" w:bidi="ar-SA"/>
        </w:rPr>
        <w:t>3</w:t>
      </w:r>
      <w:r>
        <w:rPr>
          <w:rFonts w:hint="default" w:ascii="Times New Roman" w:hAnsi="Times New Roman" w:eastAsia="宋体" w:cs="Times New Roman"/>
          <w:kern w:val="0"/>
          <w:sz w:val="24"/>
          <w:szCs w:val="20"/>
          <w:lang w:val="en-US" w:eastAsia="zh-CN" w:bidi="ar-SA"/>
        </w:rPr>
        <w:t>年宿迁市肿瘤</w:t>
      </w:r>
      <w:r>
        <w:rPr>
          <w:rFonts w:hint="eastAsia" w:ascii="Times New Roman" w:hAnsi="Times New Roman" w:eastAsia="宋体" w:cs="Times New Roman"/>
          <w:kern w:val="0"/>
          <w:sz w:val="24"/>
          <w:szCs w:val="20"/>
          <w:lang w:val="en-US" w:eastAsia="zh-CN" w:bidi="ar-SA"/>
        </w:rPr>
        <w:t>登记</w:t>
      </w:r>
      <w:r>
        <w:rPr>
          <w:rFonts w:hint="default" w:ascii="Times New Roman" w:hAnsi="Times New Roman" w:eastAsia="宋体" w:cs="Times New Roman"/>
          <w:kern w:val="0"/>
          <w:sz w:val="24"/>
          <w:szCs w:val="20"/>
          <w:lang w:val="en-US" w:eastAsia="zh-CN" w:bidi="ar-SA"/>
        </w:rPr>
        <w:t>数据覆盖全市所有县区，2023年全市覆盖人口数为5851156人</w:t>
      </w:r>
      <w:r>
        <w:rPr>
          <w:rFonts w:hint="eastAsia" w:ascii="Times New Roman" w:hAnsi="Times New Roman" w:eastAsia="宋体" w:cs="Times New Roman"/>
          <w:kern w:val="0"/>
          <w:sz w:val="24"/>
          <w:szCs w:val="20"/>
          <w:lang w:val="en-US" w:eastAsia="zh-CN" w:bidi="ar-SA"/>
        </w:rPr>
        <w:t>，其中</w:t>
      </w:r>
      <w:r>
        <w:rPr>
          <w:rFonts w:hint="default" w:ascii="Times New Roman" w:hAnsi="Times New Roman" w:eastAsia="宋体" w:cs="Times New Roman"/>
          <w:kern w:val="0"/>
          <w:sz w:val="24"/>
          <w:szCs w:val="20"/>
          <w:lang w:val="en-US" w:eastAsia="zh-CN" w:bidi="ar-SA"/>
        </w:rPr>
        <w:t>男性3036564人，女性2814592人</w:t>
      </w:r>
      <w:r>
        <w:rPr>
          <w:rFonts w:hint="eastAsia" w:ascii="Times New Roman" w:hAnsi="Times New Roman" w:eastAsia="宋体" w:cs="Times New Roman"/>
          <w:kern w:val="0"/>
          <w:sz w:val="24"/>
          <w:szCs w:val="20"/>
          <w:lang w:val="en-US" w:eastAsia="zh-CN" w:bidi="ar-SA"/>
        </w:rPr>
        <w:t>，</w:t>
      </w:r>
      <w:r>
        <w:rPr>
          <w:rFonts w:hint="default" w:ascii="Times New Roman" w:hAnsi="Times New Roman" w:eastAsia="宋体" w:cs="Times New Roman"/>
          <w:kern w:val="0"/>
          <w:sz w:val="24"/>
          <w:szCs w:val="20"/>
          <w:lang w:val="en-US" w:eastAsia="zh-CN" w:bidi="ar-SA"/>
        </w:rPr>
        <w:t>人口资料来源于公安局户籍资料。</w:t>
      </w:r>
      <w:r>
        <w:rPr>
          <w:rFonts w:hint="eastAsia" w:ascii="Times New Roman" w:hAnsi="Times New Roman" w:eastAsia="宋体" w:cs="Times New Roman"/>
          <w:kern w:val="0"/>
          <w:sz w:val="24"/>
          <w:szCs w:val="20"/>
          <w:lang w:val="en-US" w:eastAsia="zh-CN" w:bidi="ar-SA"/>
        </w:rPr>
        <w:t>鉴于本研究的数据资料不包含任何人员敏感信息和隐私，且未涉及人体、动物实验及生物样本操作，不存在新增风险，故无需进行伦理审批。</w:t>
      </w:r>
    </w:p>
    <w:p w14:paraId="09AD5C3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1.2 数据质量控制</w:t>
      </w:r>
    </w:p>
    <w:p w14:paraId="4EA4DC2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default" w:ascii="Times New Roman" w:hAnsi="Times New Roman" w:eastAsia="宋体" w:cs="Times New Roman"/>
          <w:kern w:val="0"/>
          <w:sz w:val="24"/>
          <w:szCs w:val="20"/>
          <w:lang w:val="en-US" w:eastAsia="zh-CN" w:bidi="ar-SA"/>
        </w:rPr>
        <w:t>根据《中国肿瘤登记工作指导手册（2016）》</w:t>
      </w:r>
      <w:r>
        <w:rPr>
          <w:rFonts w:hint="eastAsia" w:ascii="Times New Roman" w:hAnsi="Times New Roman" w:eastAsia="宋体" w:cs="Times New Roman"/>
          <w:kern w:val="0"/>
          <w:sz w:val="24"/>
          <w:szCs w:val="20"/>
          <w:vertAlign w:val="superscript"/>
          <w:lang w:val="en-US" w:eastAsia="zh-CN" w:bidi="ar-SA"/>
        </w:rPr>
        <w:t>[5]</w:t>
      </w:r>
      <w:r>
        <w:rPr>
          <w:rFonts w:hint="eastAsia" w:ascii="Times New Roman" w:hAnsi="Times New Roman" w:eastAsia="宋体" w:cs="Times New Roman"/>
          <w:kern w:val="0"/>
          <w:sz w:val="24"/>
          <w:szCs w:val="20"/>
          <w:lang w:val="en-US" w:eastAsia="zh-CN" w:bidi="ar-SA"/>
        </w:rPr>
        <w:t>关于</w:t>
      </w:r>
      <w:r>
        <w:rPr>
          <w:rFonts w:hint="default" w:ascii="Times New Roman" w:hAnsi="Times New Roman" w:eastAsia="宋体" w:cs="Times New Roman"/>
          <w:kern w:val="0"/>
          <w:sz w:val="24"/>
          <w:szCs w:val="20"/>
          <w:lang w:val="en-US" w:eastAsia="zh-CN" w:bidi="ar-SA"/>
        </w:rPr>
        <w:t>登记质量的</w:t>
      </w:r>
      <w:r>
        <w:rPr>
          <w:rFonts w:hint="eastAsia" w:ascii="Times New Roman" w:hAnsi="Times New Roman" w:eastAsia="宋体" w:cs="Times New Roman"/>
          <w:kern w:val="0"/>
          <w:sz w:val="24"/>
          <w:szCs w:val="20"/>
          <w:lang w:val="en-US" w:eastAsia="zh-CN" w:bidi="ar-SA"/>
        </w:rPr>
        <w:t>相关</w:t>
      </w:r>
      <w:r>
        <w:rPr>
          <w:rFonts w:hint="default" w:ascii="Times New Roman" w:hAnsi="Times New Roman" w:eastAsia="宋体" w:cs="Times New Roman"/>
          <w:kern w:val="0"/>
          <w:sz w:val="24"/>
          <w:szCs w:val="20"/>
          <w:lang w:val="en-US" w:eastAsia="zh-CN" w:bidi="ar-SA"/>
        </w:rPr>
        <w:t>要求，对全市</w:t>
      </w:r>
      <w:r>
        <w:rPr>
          <w:rFonts w:hint="eastAsia" w:ascii="Times New Roman" w:hAnsi="Times New Roman" w:eastAsia="宋体" w:cs="Times New Roman"/>
          <w:kern w:val="0"/>
          <w:sz w:val="24"/>
          <w:szCs w:val="20"/>
          <w:lang w:val="en-US" w:eastAsia="zh-CN" w:bidi="ar-SA"/>
        </w:rPr>
        <w:t>结直肠癌的</w:t>
      </w:r>
      <w:r>
        <w:rPr>
          <w:rFonts w:hint="default" w:ascii="Times New Roman" w:hAnsi="Times New Roman" w:eastAsia="宋体" w:cs="Times New Roman"/>
          <w:kern w:val="0"/>
          <w:sz w:val="24"/>
          <w:szCs w:val="20"/>
          <w:lang w:val="en-US" w:eastAsia="zh-CN" w:bidi="ar-SA"/>
        </w:rPr>
        <w:t>死亡发病比（</w:t>
      </w:r>
      <w:r>
        <w:rPr>
          <w:rFonts w:hint="eastAsia" w:ascii="Times New Roman" w:hAnsi="Times New Roman" w:eastAsia="宋体" w:cs="Times New Roman"/>
          <w:kern w:val="0"/>
          <w:sz w:val="24"/>
          <w:szCs w:val="20"/>
          <w:lang w:val="en-US" w:eastAsia="zh-CN" w:bidi="ar-SA"/>
        </w:rPr>
        <w:t>M</w:t>
      </w:r>
      <w:r>
        <w:rPr>
          <w:rFonts w:hint="default" w:ascii="Times New Roman" w:hAnsi="Times New Roman" w:eastAsia="宋体" w:cs="Times New Roman"/>
          <w:kern w:val="0"/>
          <w:sz w:val="24"/>
          <w:szCs w:val="20"/>
          <w:lang w:val="en-US" w:eastAsia="zh-CN" w:bidi="ar-SA"/>
        </w:rPr>
        <w:t xml:space="preserve">ortality to </w:t>
      </w:r>
      <w:r>
        <w:rPr>
          <w:rFonts w:hint="eastAsia" w:ascii="Times New Roman" w:hAnsi="Times New Roman" w:eastAsia="宋体" w:cs="Times New Roman"/>
          <w:kern w:val="0"/>
          <w:sz w:val="24"/>
          <w:szCs w:val="20"/>
          <w:lang w:val="en-US" w:eastAsia="zh-CN" w:bidi="ar-SA"/>
        </w:rPr>
        <w:t>I</w:t>
      </w:r>
      <w:r>
        <w:rPr>
          <w:rFonts w:hint="default" w:ascii="Times New Roman" w:hAnsi="Times New Roman" w:eastAsia="宋体" w:cs="Times New Roman"/>
          <w:kern w:val="0"/>
          <w:sz w:val="24"/>
          <w:szCs w:val="20"/>
          <w:lang w:val="en-US" w:eastAsia="zh-CN" w:bidi="ar-SA"/>
        </w:rPr>
        <w:t xml:space="preserve">ncidence </w:t>
      </w:r>
      <w:r>
        <w:rPr>
          <w:rFonts w:hint="eastAsia" w:ascii="Times New Roman" w:hAnsi="Times New Roman" w:eastAsia="宋体" w:cs="Times New Roman"/>
          <w:kern w:val="0"/>
          <w:sz w:val="24"/>
          <w:szCs w:val="20"/>
          <w:lang w:val="en-US" w:eastAsia="zh-CN" w:bidi="ar-SA"/>
        </w:rPr>
        <w:t>R</w:t>
      </w:r>
      <w:r>
        <w:rPr>
          <w:rFonts w:hint="default" w:ascii="Times New Roman" w:hAnsi="Times New Roman" w:eastAsia="宋体" w:cs="Times New Roman"/>
          <w:kern w:val="0"/>
          <w:sz w:val="24"/>
          <w:szCs w:val="20"/>
          <w:lang w:val="en-US" w:eastAsia="zh-CN" w:bidi="ar-SA"/>
        </w:rPr>
        <w:t>atio，M/I）、组织病理学诊断比例（</w:t>
      </w:r>
      <w:r>
        <w:rPr>
          <w:rFonts w:hint="eastAsia" w:ascii="Times New Roman" w:hAnsi="Times New Roman" w:eastAsia="宋体" w:cs="Times New Roman"/>
          <w:kern w:val="0"/>
          <w:sz w:val="24"/>
          <w:szCs w:val="20"/>
          <w:lang w:val="en-US" w:eastAsia="zh-CN" w:bidi="ar-SA"/>
        </w:rPr>
        <w:t>P</w:t>
      </w:r>
      <w:r>
        <w:rPr>
          <w:rFonts w:hint="default" w:ascii="Times New Roman" w:hAnsi="Times New Roman" w:eastAsia="宋体" w:cs="Times New Roman"/>
          <w:kern w:val="0"/>
          <w:sz w:val="24"/>
          <w:szCs w:val="20"/>
          <w:lang w:val="en-US" w:eastAsia="zh-CN" w:bidi="ar-SA"/>
        </w:rPr>
        <w:t xml:space="preserve">ercentage of </w:t>
      </w:r>
      <w:r>
        <w:rPr>
          <w:rFonts w:hint="eastAsia" w:ascii="Times New Roman" w:hAnsi="Times New Roman" w:eastAsia="宋体" w:cs="Times New Roman"/>
          <w:kern w:val="0"/>
          <w:sz w:val="24"/>
          <w:szCs w:val="20"/>
          <w:lang w:val="en-US" w:eastAsia="zh-CN" w:bidi="ar-SA"/>
        </w:rPr>
        <w:t>M</w:t>
      </w:r>
      <w:r>
        <w:rPr>
          <w:rFonts w:hint="default" w:ascii="Times New Roman" w:hAnsi="Times New Roman" w:eastAsia="宋体" w:cs="Times New Roman"/>
          <w:kern w:val="0"/>
          <w:sz w:val="24"/>
          <w:szCs w:val="20"/>
          <w:lang w:val="en-US" w:eastAsia="zh-CN" w:bidi="ar-SA"/>
        </w:rPr>
        <w:t xml:space="preserve">orphological </w:t>
      </w:r>
      <w:r>
        <w:rPr>
          <w:rFonts w:hint="eastAsia" w:ascii="Times New Roman" w:hAnsi="Times New Roman" w:eastAsia="宋体" w:cs="Times New Roman"/>
          <w:kern w:val="0"/>
          <w:sz w:val="24"/>
          <w:szCs w:val="20"/>
          <w:lang w:val="en-US" w:eastAsia="zh-CN" w:bidi="ar-SA"/>
        </w:rPr>
        <w:t>V</w:t>
      </w:r>
      <w:r>
        <w:rPr>
          <w:rFonts w:hint="default" w:ascii="Times New Roman" w:hAnsi="Times New Roman" w:eastAsia="宋体" w:cs="Times New Roman"/>
          <w:kern w:val="0"/>
          <w:sz w:val="24"/>
          <w:szCs w:val="20"/>
          <w:lang w:val="en-US" w:eastAsia="zh-CN" w:bidi="ar-SA"/>
        </w:rPr>
        <w:t>erification，MV%）、仅有死亡医学证明书比例（</w:t>
      </w:r>
      <w:r>
        <w:rPr>
          <w:rFonts w:hint="eastAsia" w:ascii="Times New Roman" w:hAnsi="Times New Roman" w:eastAsia="宋体" w:cs="Times New Roman"/>
          <w:kern w:val="0"/>
          <w:sz w:val="24"/>
          <w:szCs w:val="20"/>
          <w:lang w:val="en-US" w:eastAsia="zh-CN" w:bidi="ar-SA"/>
        </w:rPr>
        <w:t>P</w:t>
      </w:r>
      <w:r>
        <w:rPr>
          <w:rFonts w:hint="default" w:ascii="Times New Roman" w:hAnsi="Times New Roman" w:eastAsia="宋体" w:cs="Times New Roman"/>
          <w:kern w:val="0"/>
          <w:sz w:val="24"/>
          <w:szCs w:val="20"/>
          <w:lang w:val="en-US" w:eastAsia="zh-CN" w:bidi="ar-SA"/>
        </w:rPr>
        <w:t xml:space="preserve">ercentage of </w:t>
      </w:r>
      <w:r>
        <w:rPr>
          <w:rFonts w:hint="eastAsia" w:ascii="Times New Roman" w:hAnsi="Times New Roman" w:eastAsia="宋体" w:cs="Times New Roman"/>
          <w:kern w:val="0"/>
          <w:sz w:val="24"/>
          <w:szCs w:val="20"/>
          <w:lang w:val="en-US" w:eastAsia="zh-CN" w:bidi="ar-SA"/>
        </w:rPr>
        <w:t>D</w:t>
      </w:r>
      <w:r>
        <w:rPr>
          <w:rFonts w:hint="default" w:ascii="Times New Roman" w:hAnsi="Times New Roman" w:eastAsia="宋体" w:cs="Times New Roman"/>
          <w:kern w:val="0"/>
          <w:sz w:val="24"/>
          <w:szCs w:val="20"/>
          <w:lang w:val="en-US" w:eastAsia="zh-CN" w:bidi="ar-SA"/>
        </w:rPr>
        <w:t xml:space="preserve">eath </w:t>
      </w:r>
      <w:r>
        <w:rPr>
          <w:rFonts w:hint="eastAsia" w:ascii="Times New Roman" w:hAnsi="Times New Roman" w:eastAsia="宋体" w:cs="Times New Roman"/>
          <w:kern w:val="0"/>
          <w:sz w:val="24"/>
          <w:szCs w:val="20"/>
          <w:lang w:val="en-US" w:eastAsia="zh-CN" w:bidi="ar-SA"/>
        </w:rPr>
        <w:t>C</w:t>
      </w:r>
      <w:r>
        <w:rPr>
          <w:rFonts w:hint="default" w:ascii="Times New Roman" w:hAnsi="Times New Roman" w:eastAsia="宋体" w:cs="Times New Roman"/>
          <w:kern w:val="0"/>
          <w:sz w:val="24"/>
          <w:szCs w:val="20"/>
          <w:lang w:val="en-US" w:eastAsia="zh-CN" w:bidi="ar-SA"/>
        </w:rPr>
        <w:t xml:space="preserve">ertification </w:t>
      </w:r>
      <w:r>
        <w:rPr>
          <w:rFonts w:hint="eastAsia" w:ascii="Times New Roman" w:hAnsi="Times New Roman" w:eastAsia="宋体" w:cs="Times New Roman"/>
          <w:kern w:val="0"/>
          <w:sz w:val="24"/>
          <w:szCs w:val="20"/>
          <w:lang w:val="en-US" w:eastAsia="zh-CN" w:bidi="ar-SA"/>
        </w:rPr>
        <w:t>O</w:t>
      </w:r>
      <w:r>
        <w:rPr>
          <w:rFonts w:hint="default" w:ascii="Times New Roman" w:hAnsi="Times New Roman" w:eastAsia="宋体" w:cs="Times New Roman"/>
          <w:kern w:val="0"/>
          <w:sz w:val="24"/>
          <w:szCs w:val="20"/>
          <w:lang w:val="en-US" w:eastAsia="zh-CN" w:bidi="ar-SA"/>
        </w:rPr>
        <w:t>nly，DCO%）</w:t>
      </w:r>
      <w:r>
        <w:rPr>
          <w:rFonts w:hint="eastAsia" w:ascii="Times New Roman" w:hAnsi="Times New Roman" w:eastAsia="宋体" w:cs="Times New Roman"/>
          <w:kern w:val="0"/>
          <w:sz w:val="24"/>
          <w:szCs w:val="20"/>
          <w:lang w:val="en-US" w:eastAsia="zh-CN" w:bidi="ar-SA"/>
        </w:rPr>
        <w:t>等指标进行质量控制，以评估数据的真实性、可靠性和稳定性。2018至2023年，宿迁市结直肠癌登记数据显示，M/I为0.46，DCO%为0.52%，MV%为75.03%，均符合质控标准（Table1）。</w:t>
      </w:r>
    </w:p>
    <w:p w14:paraId="2BE554A1">
      <w:pPr>
        <w:jc w:val="center"/>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 xml:space="preserve">Table 1 </w:t>
      </w:r>
      <w:r>
        <w:rPr>
          <w:rFonts w:hint="default" w:ascii="Times New Roman" w:hAnsi="Times New Roman" w:eastAsia="宋体" w:cs="Times New Roman"/>
          <w:sz w:val="24"/>
          <w:szCs w:val="32"/>
        </w:rPr>
        <w:t>The quality control index of colorectal cancer in</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lang w:val="en-US" w:eastAsia="zh-CN"/>
        </w:rPr>
        <w:t>Suqian</w:t>
      </w:r>
      <w:r>
        <w:rPr>
          <w:rFonts w:hint="default" w:ascii="Times New Roman" w:hAnsi="Times New Roman" w:eastAsia="宋体" w:cs="Times New Roman"/>
          <w:sz w:val="24"/>
          <w:szCs w:val="32"/>
        </w:rPr>
        <w:t xml:space="preserve"> </w:t>
      </w:r>
      <w:r>
        <w:rPr>
          <w:rFonts w:hint="eastAsia" w:ascii="Times New Roman" w:hAnsi="Times New Roman" w:eastAsia="宋体" w:cs="Times New Roman"/>
          <w:sz w:val="24"/>
          <w:szCs w:val="32"/>
        </w:rPr>
        <w:t>City</w:t>
      </w:r>
      <w:r>
        <w:rPr>
          <w:rFonts w:hint="eastAsia" w:ascii="Times New Roman" w:hAnsi="Times New Roman" w:eastAsia="宋体" w:cs="Times New Roman"/>
          <w:sz w:val="24"/>
          <w:szCs w:val="32"/>
          <w:lang w:val="en-US" w:eastAsia="zh-CN"/>
        </w:rPr>
        <w:t xml:space="preserve"> </w:t>
      </w:r>
      <w:r>
        <w:rPr>
          <w:rFonts w:hint="default" w:ascii="Times New Roman" w:hAnsi="Times New Roman" w:eastAsia="宋体" w:cs="Times New Roman"/>
          <w:sz w:val="24"/>
          <w:szCs w:val="32"/>
        </w:rPr>
        <w:t>from 20</w:t>
      </w:r>
      <w:r>
        <w:rPr>
          <w:rFonts w:hint="default" w:ascii="Times New Roman" w:hAnsi="Times New Roman" w:eastAsia="宋体" w:cs="Times New Roman"/>
          <w:sz w:val="24"/>
          <w:szCs w:val="32"/>
          <w:lang w:val="en-US" w:eastAsia="zh-CN"/>
        </w:rPr>
        <w:t>1</w:t>
      </w:r>
      <w:r>
        <w:rPr>
          <w:rFonts w:hint="default" w:ascii="Times New Roman" w:hAnsi="Times New Roman" w:eastAsia="宋体" w:cs="Times New Roman"/>
          <w:sz w:val="24"/>
          <w:szCs w:val="32"/>
        </w:rPr>
        <w:t>8 to 202</w:t>
      </w:r>
      <w:r>
        <w:rPr>
          <w:rFonts w:hint="default" w:ascii="Times New Roman" w:hAnsi="Times New Roman" w:eastAsia="宋体" w:cs="Times New Roman"/>
          <w:sz w:val="24"/>
          <w:szCs w:val="32"/>
          <w:lang w:val="en-US" w:eastAsia="zh-CN"/>
        </w:rPr>
        <w:t>3</w:t>
      </w:r>
    </w:p>
    <w:tbl>
      <w:tblPr>
        <w:tblStyle w:val="2"/>
        <w:tblW w:w="763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946"/>
        <w:gridCol w:w="1658"/>
        <w:gridCol w:w="1511"/>
        <w:gridCol w:w="2523"/>
      </w:tblGrid>
      <w:tr w14:paraId="05790E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946" w:type="dxa"/>
            <w:tcBorders>
              <w:top w:val="single" w:color="auto" w:sz="4" w:space="0"/>
              <w:left w:val="nil"/>
              <w:bottom w:val="single" w:color="auto" w:sz="4" w:space="0"/>
              <w:right w:val="nil"/>
            </w:tcBorders>
            <w:shd w:val="clear" w:color="auto" w:fill="auto"/>
            <w:noWrap/>
            <w:vAlign w:val="center"/>
          </w:tcPr>
          <w:p w14:paraId="3FFB329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年度</w:t>
            </w:r>
          </w:p>
        </w:tc>
        <w:tc>
          <w:tcPr>
            <w:tcW w:w="1658" w:type="dxa"/>
            <w:tcBorders>
              <w:top w:val="single" w:color="auto" w:sz="4" w:space="0"/>
              <w:left w:val="nil"/>
              <w:bottom w:val="single" w:color="auto" w:sz="4" w:space="0"/>
              <w:right w:val="nil"/>
            </w:tcBorders>
            <w:shd w:val="clear" w:color="auto" w:fill="auto"/>
            <w:noWrap/>
            <w:vAlign w:val="center"/>
          </w:tcPr>
          <w:p w14:paraId="699873F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M/I</w:t>
            </w:r>
          </w:p>
        </w:tc>
        <w:tc>
          <w:tcPr>
            <w:tcW w:w="1511" w:type="dxa"/>
            <w:tcBorders>
              <w:top w:val="single" w:color="auto" w:sz="4" w:space="0"/>
              <w:left w:val="nil"/>
              <w:bottom w:val="single" w:color="auto" w:sz="4" w:space="0"/>
              <w:right w:val="nil"/>
            </w:tcBorders>
            <w:shd w:val="clear" w:color="auto" w:fill="auto"/>
            <w:noWrap/>
            <w:vAlign w:val="center"/>
          </w:tcPr>
          <w:p w14:paraId="4860171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DCO%</w:t>
            </w:r>
          </w:p>
        </w:tc>
        <w:tc>
          <w:tcPr>
            <w:tcW w:w="2523" w:type="dxa"/>
            <w:tcBorders>
              <w:top w:val="single" w:color="auto" w:sz="4" w:space="0"/>
              <w:left w:val="nil"/>
              <w:bottom w:val="single" w:color="auto" w:sz="4" w:space="0"/>
              <w:right w:val="nil"/>
            </w:tcBorders>
            <w:shd w:val="clear" w:color="auto" w:fill="auto"/>
            <w:noWrap/>
            <w:vAlign w:val="center"/>
          </w:tcPr>
          <w:p w14:paraId="2E1C6F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MV%</w:t>
            </w:r>
          </w:p>
        </w:tc>
      </w:tr>
      <w:tr w14:paraId="5537E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946" w:type="dxa"/>
            <w:tcBorders>
              <w:top w:val="single" w:color="auto" w:sz="4" w:space="0"/>
              <w:left w:val="nil"/>
              <w:bottom w:val="nil"/>
              <w:right w:val="nil"/>
            </w:tcBorders>
            <w:shd w:val="clear" w:color="auto" w:fill="auto"/>
            <w:noWrap/>
            <w:vAlign w:val="center"/>
          </w:tcPr>
          <w:p w14:paraId="33B9C59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2018</w:t>
            </w:r>
          </w:p>
        </w:tc>
        <w:tc>
          <w:tcPr>
            <w:tcW w:w="1658" w:type="dxa"/>
            <w:tcBorders>
              <w:top w:val="single" w:color="auto" w:sz="4" w:space="0"/>
              <w:left w:val="nil"/>
              <w:bottom w:val="nil"/>
              <w:right w:val="nil"/>
            </w:tcBorders>
            <w:shd w:val="clear" w:color="auto" w:fill="auto"/>
            <w:noWrap/>
            <w:vAlign w:val="center"/>
          </w:tcPr>
          <w:p w14:paraId="6FFF26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0.47</w:t>
            </w:r>
          </w:p>
        </w:tc>
        <w:tc>
          <w:tcPr>
            <w:tcW w:w="1511" w:type="dxa"/>
            <w:tcBorders>
              <w:top w:val="single" w:color="auto" w:sz="4" w:space="0"/>
              <w:left w:val="nil"/>
              <w:bottom w:val="nil"/>
              <w:right w:val="nil"/>
            </w:tcBorders>
            <w:shd w:val="clear" w:color="auto" w:fill="auto"/>
            <w:noWrap/>
            <w:vAlign w:val="center"/>
          </w:tcPr>
          <w:p w14:paraId="250167F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5.09%</w:t>
            </w:r>
          </w:p>
        </w:tc>
        <w:tc>
          <w:tcPr>
            <w:tcW w:w="2523" w:type="dxa"/>
            <w:tcBorders>
              <w:top w:val="single" w:color="auto" w:sz="4" w:space="0"/>
              <w:left w:val="nil"/>
              <w:bottom w:val="nil"/>
              <w:right w:val="nil"/>
            </w:tcBorders>
            <w:shd w:val="clear" w:color="auto" w:fill="auto"/>
            <w:noWrap/>
            <w:vAlign w:val="center"/>
          </w:tcPr>
          <w:p w14:paraId="478E9BF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67.15%</w:t>
            </w:r>
          </w:p>
        </w:tc>
      </w:tr>
      <w:tr w14:paraId="7A44B4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946" w:type="dxa"/>
            <w:tcBorders>
              <w:top w:val="nil"/>
              <w:left w:val="nil"/>
              <w:bottom w:val="nil"/>
              <w:right w:val="nil"/>
            </w:tcBorders>
            <w:shd w:val="clear" w:color="auto" w:fill="auto"/>
            <w:noWrap/>
            <w:vAlign w:val="center"/>
          </w:tcPr>
          <w:p w14:paraId="28C70D0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2019</w:t>
            </w:r>
          </w:p>
        </w:tc>
        <w:tc>
          <w:tcPr>
            <w:tcW w:w="1658" w:type="dxa"/>
            <w:tcBorders>
              <w:top w:val="nil"/>
              <w:left w:val="nil"/>
              <w:bottom w:val="nil"/>
              <w:right w:val="nil"/>
            </w:tcBorders>
            <w:shd w:val="clear" w:color="auto" w:fill="auto"/>
            <w:noWrap/>
            <w:vAlign w:val="center"/>
          </w:tcPr>
          <w:p w14:paraId="788C610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0.39</w:t>
            </w:r>
          </w:p>
        </w:tc>
        <w:tc>
          <w:tcPr>
            <w:tcW w:w="1511" w:type="dxa"/>
            <w:tcBorders>
              <w:top w:val="nil"/>
              <w:left w:val="nil"/>
              <w:bottom w:val="nil"/>
              <w:right w:val="nil"/>
            </w:tcBorders>
            <w:shd w:val="clear" w:color="auto" w:fill="auto"/>
            <w:noWrap/>
            <w:vAlign w:val="center"/>
          </w:tcPr>
          <w:p w14:paraId="64A88B2F">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2.64%</w:t>
            </w:r>
          </w:p>
        </w:tc>
        <w:tc>
          <w:tcPr>
            <w:tcW w:w="2523" w:type="dxa"/>
            <w:tcBorders>
              <w:top w:val="nil"/>
              <w:left w:val="nil"/>
              <w:bottom w:val="nil"/>
              <w:right w:val="nil"/>
            </w:tcBorders>
            <w:shd w:val="clear" w:color="auto" w:fill="auto"/>
            <w:noWrap/>
            <w:vAlign w:val="center"/>
          </w:tcPr>
          <w:p w14:paraId="04AEDC3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74.55%</w:t>
            </w:r>
          </w:p>
        </w:tc>
      </w:tr>
      <w:tr w14:paraId="6D370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0" w:hRule="atLeast"/>
          <w:jc w:val="center"/>
        </w:trPr>
        <w:tc>
          <w:tcPr>
            <w:tcW w:w="1946" w:type="dxa"/>
            <w:tcBorders>
              <w:top w:val="nil"/>
              <w:left w:val="nil"/>
              <w:bottom w:val="nil"/>
              <w:right w:val="nil"/>
            </w:tcBorders>
            <w:shd w:val="clear" w:color="auto" w:fill="auto"/>
            <w:noWrap/>
            <w:vAlign w:val="center"/>
          </w:tcPr>
          <w:p w14:paraId="2DB8F913">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2020</w:t>
            </w:r>
          </w:p>
        </w:tc>
        <w:tc>
          <w:tcPr>
            <w:tcW w:w="1658" w:type="dxa"/>
            <w:tcBorders>
              <w:top w:val="nil"/>
              <w:left w:val="nil"/>
              <w:bottom w:val="nil"/>
              <w:right w:val="nil"/>
            </w:tcBorders>
            <w:shd w:val="clear" w:color="auto" w:fill="auto"/>
            <w:noWrap/>
            <w:vAlign w:val="center"/>
          </w:tcPr>
          <w:p w14:paraId="307DA9E2">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0.46</w:t>
            </w:r>
          </w:p>
        </w:tc>
        <w:tc>
          <w:tcPr>
            <w:tcW w:w="1511" w:type="dxa"/>
            <w:tcBorders>
              <w:top w:val="nil"/>
              <w:left w:val="nil"/>
              <w:bottom w:val="nil"/>
              <w:right w:val="nil"/>
            </w:tcBorders>
            <w:shd w:val="clear" w:color="auto" w:fill="auto"/>
            <w:noWrap/>
            <w:vAlign w:val="center"/>
          </w:tcPr>
          <w:p w14:paraId="61B291C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2.46%</w:t>
            </w:r>
          </w:p>
        </w:tc>
        <w:tc>
          <w:tcPr>
            <w:tcW w:w="2523" w:type="dxa"/>
            <w:tcBorders>
              <w:top w:val="nil"/>
              <w:left w:val="nil"/>
              <w:bottom w:val="nil"/>
              <w:right w:val="nil"/>
            </w:tcBorders>
            <w:shd w:val="clear" w:color="auto" w:fill="auto"/>
            <w:noWrap/>
            <w:vAlign w:val="center"/>
          </w:tcPr>
          <w:p w14:paraId="38004637">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75.45%</w:t>
            </w:r>
          </w:p>
        </w:tc>
      </w:tr>
      <w:tr w14:paraId="7BB9E3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946" w:type="dxa"/>
            <w:tcBorders>
              <w:top w:val="nil"/>
              <w:left w:val="nil"/>
              <w:bottom w:val="nil"/>
              <w:right w:val="nil"/>
            </w:tcBorders>
            <w:shd w:val="clear" w:color="auto" w:fill="auto"/>
            <w:noWrap/>
            <w:vAlign w:val="center"/>
          </w:tcPr>
          <w:p w14:paraId="25A75E1C">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2021</w:t>
            </w:r>
          </w:p>
        </w:tc>
        <w:tc>
          <w:tcPr>
            <w:tcW w:w="1658" w:type="dxa"/>
            <w:tcBorders>
              <w:top w:val="nil"/>
              <w:left w:val="nil"/>
              <w:bottom w:val="nil"/>
              <w:right w:val="nil"/>
            </w:tcBorders>
            <w:shd w:val="clear" w:color="auto" w:fill="auto"/>
            <w:noWrap/>
            <w:vAlign w:val="center"/>
          </w:tcPr>
          <w:p w14:paraId="7951296E">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0.48</w:t>
            </w:r>
          </w:p>
        </w:tc>
        <w:tc>
          <w:tcPr>
            <w:tcW w:w="1511" w:type="dxa"/>
            <w:tcBorders>
              <w:top w:val="nil"/>
              <w:left w:val="nil"/>
              <w:bottom w:val="nil"/>
              <w:right w:val="nil"/>
            </w:tcBorders>
            <w:shd w:val="clear" w:color="auto" w:fill="auto"/>
            <w:noWrap/>
            <w:vAlign w:val="center"/>
          </w:tcPr>
          <w:p w14:paraId="7A85901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0.42%</w:t>
            </w:r>
          </w:p>
        </w:tc>
        <w:tc>
          <w:tcPr>
            <w:tcW w:w="2523" w:type="dxa"/>
            <w:tcBorders>
              <w:top w:val="nil"/>
              <w:left w:val="nil"/>
              <w:bottom w:val="nil"/>
              <w:right w:val="nil"/>
            </w:tcBorders>
            <w:shd w:val="clear" w:color="auto" w:fill="auto"/>
            <w:noWrap/>
            <w:vAlign w:val="center"/>
          </w:tcPr>
          <w:p w14:paraId="3CF1E67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76.94%</w:t>
            </w:r>
          </w:p>
        </w:tc>
      </w:tr>
      <w:tr w14:paraId="14ADF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946" w:type="dxa"/>
            <w:tcBorders>
              <w:top w:val="nil"/>
              <w:left w:val="nil"/>
              <w:bottom w:val="nil"/>
              <w:right w:val="nil"/>
            </w:tcBorders>
            <w:shd w:val="clear" w:color="auto" w:fill="auto"/>
            <w:noWrap/>
            <w:vAlign w:val="center"/>
          </w:tcPr>
          <w:p w14:paraId="13936F85">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2022</w:t>
            </w:r>
          </w:p>
        </w:tc>
        <w:tc>
          <w:tcPr>
            <w:tcW w:w="1658" w:type="dxa"/>
            <w:tcBorders>
              <w:top w:val="nil"/>
              <w:left w:val="nil"/>
              <w:bottom w:val="nil"/>
              <w:right w:val="nil"/>
            </w:tcBorders>
            <w:shd w:val="clear" w:color="auto" w:fill="auto"/>
            <w:noWrap/>
            <w:vAlign w:val="center"/>
          </w:tcPr>
          <w:p w14:paraId="480B0B11">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0.49</w:t>
            </w:r>
          </w:p>
        </w:tc>
        <w:tc>
          <w:tcPr>
            <w:tcW w:w="1511" w:type="dxa"/>
            <w:tcBorders>
              <w:top w:val="nil"/>
              <w:left w:val="nil"/>
              <w:bottom w:val="nil"/>
              <w:right w:val="nil"/>
            </w:tcBorders>
            <w:shd w:val="clear" w:color="auto" w:fill="auto"/>
            <w:noWrap/>
            <w:vAlign w:val="center"/>
          </w:tcPr>
          <w:p w14:paraId="02942BC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2.09%</w:t>
            </w:r>
          </w:p>
        </w:tc>
        <w:tc>
          <w:tcPr>
            <w:tcW w:w="2523" w:type="dxa"/>
            <w:tcBorders>
              <w:top w:val="nil"/>
              <w:left w:val="nil"/>
              <w:bottom w:val="nil"/>
              <w:right w:val="nil"/>
            </w:tcBorders>
            <w:shd w:val="clear" w:color="auto" w:fill="auto"/>
            <w:noWrap/>
            <w:vAlign w:val="center"/>
          </w:tcPr>
          <w:p w14:paraId="777F5099">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75.96%</w:t>
            </w:r>
          </w:p>
        </w:tc>
      </w:tr>
      <w:tr w14:paraId="5B2FF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jc w:val="center"/>
        </w:trPr>
        <w:tc>
          <w:tcPr>
            <w:tcW w:w="1946" w:type="dxa"/>
            <w:tcBorders>
              <w:top w:val="nil"/>
              <w:left w:val="nil"/>
              <w:bottom w:val="nil"/>
              <w:right w:val="nil"/>
            </w:tcBorders>
            <w:shd w:val="clear" w:color="auto" w:fill="auto"/>
            <w:noWrap/>
            <w:vAlign w:val="center"/>
          </w:tcPr>
          <w:p w14:paraId="13F99F98">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2023</w:t>
            </w:r>
          </w:p>
        </w:tc>
        <w:tc>
          <w:tcPr>
            <w:tcW w:w="1658" w:type="dxa"/>
            <w:tcBorders>
              <w:top w:val="nil"/>
              <w:left w:val="nil"/>
              <w:bottom w:val="nil"/>
              <w:right w:val="nil"/>
            </w:tcBorders>
            <w:shd w:val="clear" w:color="auto" w:fill="auto"/>
            <w:noWrap/>
            <w:vAlign w:val="center"/>
          </w:tcPr>
          <w:p w14:paraId="0A4D275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0.46</w:t>
            </w:r>
          </w:p>
        </w:tc>
        <w:tc>
          <w:tcPr>
            <w:tcW w:w="1511" w:type="dxa"/>
            <w:tcBorders>
              <w:top w:val="nil"/>
              <w:left w:val="nil"/>
              <w:bottom w:val="nil"/>
              <w:right w:val="nil"/>
            </w:tcBorders>
            <w:shd w:val="clear" w:color="auto" w:fill="auto"/>
            <w:noWrap/>
            <w:vAlign w:val="center"/>
          </w:tcPr>
          <w:p w14:paraId="4ED0F8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0.52%</w:t>
            </w:r>
          </w:p>
        </w:tc>
        <w:tc>
          <w:tcPr>
            <w:tcW w:w="2523" w:type="dxa"/>
            <w:tcBorders>
              <w:top w:val="nil"/>
              <w:left w:val="nil"/>
              <w:bottom w:val="nil"/>
              <w:right w:val="nil"/>
            </w:tcBorders>
            <w:shd w:val="clear" w:color="auto" w:fill="auto"/>
            <w:noWrap/>
            <w:vAlign w:val="center"/>
          </w:tcPr>
          <w:p w14:paraId="63B133A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77.86%</w:t>
            </w:r>
          </w:p>
        </w:tc>
      </w:tr>
      <w:tr w14:paraId="3A2DC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9" w:hRule="atLeast"/>
          <w:jc w:val="center"/>
        </w:trPr>
        <w:tc>
          <w:tcPr>
            <w:tcW w:w="1946" w:type="dxa"/>
            <w:tcBorders>
              <w:top w:val="nil"/>
              <w:left w:val="nil"/>
              <w:bottom w:val="single" w:color="auto" w:sz="4" w:space="0"/>
              <w:right w:val="nil"/>
            </w:tcBorders>
            <w:shd w:val="clear" w:color="auto" w:fill="auto"/>
            <w:noWrap/>
            <w:vAlign w:val="center"/>
          </w:tcPr>
          <w:p w14:paraId="0A8C9ABA">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合计</w:t>
            </w:r>
          </w:p>
        </w:tc>
        <w:tc>
          <w:tcPr>
            <w:tcW w:w="1658" w:type="dxa"/>
            <w:tcBorders>
              <w:top w:val="nil"/>
              <w:left w:val="nil"/>
              <w:bottom w:val="single" w:color="auto" w:sz="4" w:space="0"/>
              <w:right w:val="nil"/>
            </w:tcBorders>
            <w:shd w:val="clear" w:color="auto" w:fill="auto"/>
            <w:noWrap/>
            <w:vAlign w:val="center"/>
          </w:tcPr>
          <w:p w14:paraId="4C70EEB4">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0.46</w:t>
            </w:r>
          </w:p>
        </w:tc>
        <w:tc>
          <w:tcPr>
            <w:tcW w:w="1511" w:type="dxa"/>
            <w:tcBorders>
              <w:top w:val="nil"/>
              <w:left w:val="nil"/>
              <w:bottom w:val="single" w:color="auto" w:sz="4" w:space="0"/>
              <w:right w:val="nil"/>
            </w:tcBorders>
            <w:shd w:val="clear" w:color="auto" w:fill="auto"/>
            <w:noWrap/>
            <w:vAlign w:val="center"/>
          </w:tcPr>
          <w:p w14:paraId="57735DD0">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2.03%</w:t>
            </w:r>
          </w:p>
        </w:tc>
        <w:tc>
          <w:tcPr>
            <w:tcW w:w="2523" w:type="dxa"/>
            <w:tcBorders>
              <w:top w:val="nil"/>
              <w:left w:val="nil"/>
              <w:bottom w:val="single" w:color="auto" w:sz="4" w:space="0"/>
              <w:right w:val="nil"/>
            </w:tcBorders>
            <w:shd w:val="clear" w:color="auto" w:fill="auto"/>
            <w:noWrap/>
            <w:vAlign w:val="center"/>
          </w:tcPr>
          <w:p w14:paraId="617F0086">
            <w:pPr>
              <w:keepNext w:val="0"/>
              <w:keepLines w:val="0"/>
              <w:widowControl/>
              <w:suppressLineNumbers w:val="0"/>
              <w:jc w:val="center"/>
              <w:textAlignment w:val="center"/>
              <w:rPr>
                <w:rFonts w:hint="default" w:ascii="Times New Roman" w:hAnsi="Times New Roman" w:eastAsia="宋体" w:cs="Times New Roman"/>
                <w:i w:val="0"/>
                <w:iCs w:val="0"/>
                <w:color w:val="000000"/>
                <w:sz w:val="20"/>
                <w:szCs w:val="20"/>
                <w:u w:val="none"/>
              </w:rPr>
            </w:pPr>
            <w:r>
              <w:rPr>
                <w:rFonts w:hint="default" w:ascii="Times New Roman" w:hAnsi="Times New Roman" w:eastAsia="宋体" w:cs="Times New Roman"/>
                <w:i w:val="0"/>
                <w:iCs w:val="0"/>
                <w:color w:val="000000"/>
                <w:kern w:val="0"/>
                <w:sz w:val="20"/>
                <w:szCs w:val="20"/>
                <w:u w:val="none"/>
                <w:lang w:val="en-US" w:eastAsia="zh-CN" w:bidi="ar"/>
              </w:rPr>
              <w:t>75.03%</w:t>
            </w:r>
          </w:p>
        </w:tc>
      </w:tr>
    </w:tbl>
    <w:p w14:paraId="41EA58EE">
      <w:pPr>
        <w:jc w:val="both"/>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sz w:val="24"/>
          <w:szCs w:val="32"/>
        </w:rPr>
        <w:t>Notes：M/I：mortality to incidence ratio；MV% ：percentage of morphological verification；DCO%：percentage of death certification only.</w:t>
      </w:r>
    </w:p>
    <w:p w14:paraId="3E76F2E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kern w:val="0"/>
          <w:sz w:val="24"/>
          <w:szCs w:val="20"/>
          <w:lang w:val="en-US" w:eastAsia="zh-CN" w:bidi="ar-SA"/>
        </w:rPr>
      </w:pPr>
    </w:p>
    <w:p w14:paraId="568D64B3">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1.3</w:t>
      </w:r>
      <w:r>
        <w:rPr>
          <w:rFonts w:hint="default" w:ascii="Times New Roman" w:hAnsi="Times New Roman" w:eastAsia="宋体" w:cs="Times New Roman"/>
          <w:kern w:val="0"/>
          <w:sz w:val="24"/>
          <w:szCs w:val="20"/>
          <w:lang w:val="en-US" w:eastAsia="zh-CN" w:bidi="ar-SA"/>
        </w:rPr>
        <w:t xml:space="preserve"> 统计学方法</w:t>
      </w:r>
    </w:p>
    <w:p w14:paraId="42E67904">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利用Excel和R4.5软件计算结直肠癌的粗发病（死亡）率、中标发病（死亡）率、世标发病（死亡）率以及累积率（0~74岁）等指标。其中，中标发病（死亡）率依据2000年全国普查标准人口构成进行计算；世标发病（死亡）率则采用Segi</w:t>
      </w:r>
      <w:r>
        <w:rPr>
          <w:rFonts w:hint="default" w:ascii="Times New Roman" w:hAnsi="Times New Roman" w:eastAsia="宋体" w:cs="Times New Roman"/>
          <w:kern w:val="0"/>
          <w:sz w:val="24"/>
          <w:szCs w:val="20"/>
          <w:lang w:val="en-US" w:eastAsia="zh-CN" w:bidi="ar-SA"/>
        </w:rPr>
        <w:t>’</w:t>
      </w:r>
      <w:r>
        <w:rPr>
          <w:rFonts w:hint="eastAsia" w:ascii="Times New Roman" w:hAnsi="Times New Roman" w:eastAsia="宋体" w:cs="Times New Roman"/>
          <w:kern w:val="0"/>
          <w:sz w:val="24"/>
          <w:szCs w:val="20"/>
          <w:lang w:val="en-US" w:eastAsia="zh-CN" w:bidi="ar-SA"/>
        </w:rPr>
        <w:t>s世界标准人口构成进行计算。应用JoinPoint 4.8软件计算2018至2023年宿迁市结直肠癌发病率和死亡率</w:t>
      </w:r>
      <w:r>
        <w:rPr>
          <w:rFonts w:hint="default" w:ascii="Times New Roman" w:hAnsi="Times New Roman" w:eastAsia="宋体" w:cs="Times New Roman"/>
          <w:kern w:val="0"/>
          <w:sz w:val="24"/>
          <w:szCs w:val="20"/>
          <w:lang w:val="en-US" w:eastAsia="zh-CN" w:bidi="ar-SA"/>
        </w:rPr>
        <w:t>的平均年度变化百分比（Average Annual Percent Change, AAPC）。</w:t>
      </w:r>
      <w:r>
        <w:rPr>
          <w:rFonts w:hint="eastAsia" w:ascii="Times New Roman" w:hAnsi="Times New Roman" w:eastAsia="宋体" w:cs="Times New Roman"/>
          <w:kern w:val="0"/>
          <w:sz w:val="24"/>
          <w:szCs w:val="20"/>
          <w:lang w:val="en-US" w:eastAsia="zh-CN" w:bidi="ar-SA"/>
        </w:rPr>
        <w:t>本研究检验水准</w:t>
      </w:r>
      <w:r>
        <w:rPr>
          <w:rFonts w:hint="default" w:ascii="Times New Roman" w:hAnsi="Times New Roman" w:eastAsia="宋体" w:cs="Times New Roman"/>
          <w:kern w:val="0"/>
          <w:sz w:val="24"/>
          <w:szCs w:val="20"/>
          <w:lang w:val="en-US" w:eastAsia="zh-CN" w:bidi="ar-SA"/>
        </w:rPr>
        <w:t>α</w:t>
      </w:r>
      <w:r>
        <w:rPr>
          <w:rFonts w:hint="eastAsia" w:ascii="Times New Roman" w:hAnsi="Times New Roman" w:eastAsia="宋体" w:cs="Times New Roman"/>
          <w:kern w:val="0"/>
          <w:sz w:val="24"/>
          <w:szCs w:val="20"/>
          <w:lang w:val="en-US" w:eastAsia="zh-CN" w:bidi="ar-SA"/>
        </w:rPr>
        <w:t>设为0.05。</w:t>
      </w:r>
    </w:p>
    <w:p w14:paraId="7EA6D16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default" w:ascii="Times New Roman" w:hAnsi="Times New Roman" w:eastAsia="宋体" w:cs="Times New Roman"/>
          <w:kern w:val="0"/>
          <w:sz w:val="24"/>
          <w:szCs w:val="20"/>
          <w:lang w:val="en-US" w:eastAsia="zh-CN" w:bidi="ar-SA"/>
        </w:rPr>
        <w:t>应用R4.5</w:t>
      </w:r>
      <w:r>
        <w:rPr>
          <w:rFonts w:hint="eastAsia" w:ascii="Times New Roman" w:hAnsi="Times New Roman" w:eastAsia="宋体" w:cs="Times New Roman"/>
          <w:kern w:val="0"/>
          <w:sz w:val="24"/>
          <w:szCs w:val="20"/>
          <w:lang w:val="en-US" w:eastAsia="zh-CN" w:bidi="ar-SA"/>
        </w:rPr>
        <w:t>构建</w:t>
      </w:r>
      <w:r>
        <w:rPr>
          <w:rFonts w:hint="default" w:ascii="Times New Roman" w:hAnsi="Times New Roman" w:eastAsia="宋体" w:cs="Times New Roman"/>
          <w:kern w:val="0"/>
          <w:sz w:val="24"/>
          <w:szCs w:val="20"/>
          <w:lang w:val="en-US" w:eastAsia="zh-CN" w:bidi="ar-SA"/>
        </w:rPr>
        <w:t>灰色模型GM（1,1）</w:t>
      </w:r>
      <w:r>
        <w:rPr>
          <w:rFonts w:hint="eastAsia" w:ascii="Times New Roman" w:hAnsi="Times New Roman" w:eastAsia="宋体" w:cs="Times New Roman"/>
          <w:kern w:val="0"/>
          <w:sz w:val="24"/>
          <w:szCs w:val="20"/>
          <w:vertAlign w:val="superscript"/>
          <w:lang w:val="en-US" w:eastAsia="zh-CN" w:bidi="ar-SA"/>
        </w:rPr>
        <w:t>[6-8]</w:t>
      </w:r>
      <w:r>
        <w:rPr>
          <w:rFonts w:hint="eastAsia" w:ascii="Times New Roman" w:hAnsi="Times New Roman" w:eastAsia="宋体" w:cs="Times New Roman"/>
          <w:kern w:val="0"/>
          <w:sz w:val="24"/>
          <w:szCs w:val="20"/>
          <w:lang w:val="en-US" w:eastAsia="zh-CN" w:bidi="ar-SA"/>
        </w:rPr>
        <w:t>，对2024-2026年宿迁市结直肠癌的发病率和死亡率进行预测。采用平均绝对百分误差（Mean Absolute Percentage Error, MAPE）来评估预测模型的准确性，MAPE值越小，表明预测模型越准确，10%以内被认为预测效果较好。</w:t>
      </w:r>
      <w:r>
        <w:rPr>
          <w:rFonts w:hint="default" w:ascii="Times New Roman" w:hAnsi="Times New Roman" w:eastAsia="宋体" w:cs="Times New Roman"/>
          <w:kern w:val="0"/>
          <w:sz w:val="24"/>
          <w:szCs w:val="20"/>
          <w:lang w:val="en-US" w:eastAsia="zh-CN" w:bidi="ar-SA"/>
        </w:rPr>
        <w:t>通过后验差检验方法对模型性能进行评估</w:t>
      </w:r>
      <w:r>
        <w:rPr>
          <w:rFonts w:hint="eastAsia" w:ascii="Times New Roman" w:hAnsi="Times New Roman" w:eastAsia="宋体" w:cs="Times New Roman"/>
          <w:kern w:val="0"/>
          <w:sz w:val="24"/>
          <w:szCs w:val="20"/>
          <w:lang w:val="en-US" w:eastAsia="zh-CN" w:bidi="ar-SA"/>
        </w:rPr>
        <w:t>，计</w:t>
      </w:r>
      <w:r>
        <w:rPr>
          <w:rFonts w:hint="default" w:ascii="Times New Roman" w:hAnsi="Times New Roman" w:eastAsia="宋体" w:cs="Times New Roman"/>
          <w:kern w:val="0"/>
          <w:sz w:val="24"/>
          <w:szCs w:val="20"/>
          <w:lang w:val="en-US" w:eastAsia="zh-CN" w:bidi="ar-SA"/>
        </w:rPr>
        <w:t>算原始数据序列的均方误差与残差序列均方误差的比值</w:t>
      </w:r>
      <w:r>
        <w:rPr>
          <w:rFonts w:hint="eastAsia" w:ascii="Times New Roman" w:hAnsi="Times New Roman" w:eastAsia="宋体" w:cs="Times New Roman"/>
          <w:kern w:val="0"/>
          <w:sz w:val="24"/>
          <w:szCs w:val="20"/>
          <w:lang w:val="en-US" w:eastAsia="zh-CN" w:bidi="ar-SA"/>
        </w:rPr>
        <w:t>C，</w:t>
      </w:r>
      <w:r>
        <w:rPr>
          <w:rFonts w:hint="default" w:ascii="Times New Roman" w:hAnsi="Times New Roman" w:eastAsia="宋体" w:cs="Times New Roman"/>
          <w:kern w:val="0"/>
          <w:sz w:val="24"/>
          <w:szCs w:val="20"/>
          <w:lang w:val="en-US" w:eastAsia="zh-CN" w:bidi="ar-SA"/>
        </w:rPr>
        <w:t>以此量化模型的预测精度</w:t>
      </w:r>
      <w:r>
        <w:rPr>
          <w:rFonts w:hint="eastAsia" w:ascii="Times New Roman" w:hAnsi="Times New Roman" w:eastAsia="宋体" w:cs="Times New Roman"/>
          <w:kern w:val="0"/>
          <w:sz w:val="24"/>
          <w:szCs w:val="20"/>
          <w:lang w:val="en-US" w:eastAsia="zh-CN" w:bidi="ar-SA"/>
        </w:rPr>
        <w:t>和稳</w:t>
      </w:r>
      <w:r>
        <w:rPr>
          <w:rFonts w:hint="default" w:ascii="Times New Roman" w:hAnsi="Times New Roman" w:eastAsia="宋体" w:cs="Times New Roman"/>
          <w:kern w:val="0"/>
          <w:sz w:val="24"/>
          <w:szCs w:val="20"/>
          <w:lang w:val="en-US" w:eastAsia="zh-CN" w:bidi="ar-SA"/>
        </w:rPr>
        <w:t>定性。</w:t>
      </w:r>
      <w:r>
        <w:rPr>
          <w:rFonts w:hint="eastAsia" w:ascii="Times New Roman" w:hAnsi="Times New Roman" w:eastAsia="宋体" w:cs="Times New Roman"/>
          <w:kern w:val="0"/>
          <w:sz w:val="24"/>
          <w:szCs w:val="20"/>
          <w:lang w:val="en-US" w:eastAsia="zh-CN" w:bidi="ar-SA"/>
        </w:rPr>
        <w:t>灰色序列模型的拟合精度评价标准为：C</w:t>
      </w:r>
      <w:r>
        <w:rPr>
          <w:rFonts w:hint="default" w:ascii="Times New Roman" w:hAnsi="Times New Roman" w:eastAsia="宋体" w:cs="Times New Roman"/>
          <w:kern w:val="0"/>
          <w:sz w:val="24"/>
          <w:szCs w:val="20"/>
          <w:lang w:val="en-US" w:eastAsia="zh-CN" w:bidi="ar-SA"/>
        </w:rPr>
        <w:t>≤</w:t>
      </w:r>
      <w:r>
        <w:rPr>
          <w:rFonts w:hint="eastAsia" w:ascii="Times New Roman" w:hAnsi="Times New Roman" w:eastAsia="宋体" w:cs="Times New Roman"/>
          <w:kern w:val="0"/>
          <w:sz w:val="24"/>
          <w:szCs w:val="20"/>
          <w:lang w:val="en-US" w:eastAsia="zh-CN" w:bidi="ar-SA"/>
        </w:rPr>
        <w:t>0.</w:t>
      </w:r>
      <w:r>
        <w:rPr>
          <w:rFonts w:hint="default" w:ascii="Times New Roman" w:hAnsi="Times New Roman" w:eastAsia="宋体" w:cs="Times New Roman"/>
          <w:kern w:val="0"/>
          <w:sz w:val="24"/>
          <w:szCs w:val="20"/>
          <w:lang w:val="en-US" w:eastAsia="zh-CN" w:bidi="ar-SA"/>
        </w:rPr>
        <w:t>35为优秀</w:t>
      </w:r>
      <w:r>
        <w:rPr>
          <w:rFonts w:hint="eastAsia" w:ascii="Times New Roman" w:hAnsi="Times New Roman" w:eastAsia="宋体" w:cs="Times New Roman"/>
          <w:kern w:val="0"/>
          <w:sz w:val="24"/>
          <w:szCs w:val="20"/>
          <w:lang w:val="en-US" w:eastAsia="zh-CN" w:bidi="ar-SA"/>
        </w:rPr>
        <w:t>，C</w:t>
      </w:r>
      <w:r>
        <w:rPr>
          <w:rFonts w:hint="default" w:ascii="Times New Roman" w:hAnsi="Times New Roman" w:eastAsia="宋体" w:cs="Times New Roman"/>
          <w:kern w:val="0"/>
          <w:sz w:val="24"/>
          <w:szCs w:val="20"/>
          <w:lang w:val="en-US" w:eastAsia="zh-CN" w:bidi="ar-SA"/>
        </w:rPr>
        <w:t>≤0.50为良好</w:t>
      </w:r>
      <w:r>
        <w:rPr>
          <w:rFonts w:hint="eastAsia" w:ascii="Times New Roman" w:hAnsi="Times New Roman" w:eastAsia="宋体" w:cs="Times New Roman"/>
          <w:kern w:val="0"/>
          <w:sz w:val="24"/>
          <w:szCs w:val="20"/>
          <w:lang w:val="en-US" w:eastAsia="zh-CN" w:bidi="ar-SA"/>
        </w:rPr>
        <w:t>，C</w:t>
      </w:r>
      <w:r>
        <w:rPr>
          <w:rFonts w:hint="default" w:ascii="Times New Roman" w:hAnsi="Times New Roman" w:eastAsia="宋体" w:cs="Times New Roman"/>
          <w:kern w:val="0"/>
          <w:sz w:val="24"/>
          <w:szCs w:val="20"/>
          <w:lang w:val="en-US" w:eastAsia="zh-CN" w:bidi="ar-SA"/>
        </w:rPr>
        <w:t>≤0.65为基本合格</w:t>
      </w:r>
      <w:r>
        <w:rPr>
          <w:rFonts w:hint="eastAsia" w:ascii="Times New Roman" w:hAnsi="Times New Roman" w:eastAsia="宋体" w:cs="Times New Roman"/>
          <w:kern w:val="0"/>
          <w:sz w:val="24"/>
          <w:szCs w:val="20"/>
          <w:lang w:val="en-US" w:eastAsia="zh-CN" w:bidi="ar-SA"/>
        </w:rPr>
        <w:t>，C</w:t>
      </w:r>
      <w:r>
        <w:rPr>
          <w:rFonts w:hint="default" w:ascii="Times New Roman" w:hAnsi="Times New Roman" w:eastAsia="宋体" w:cs="Times New Roman"/>
          <w:kern w:val="0"/>
          <w:sz w:val="24"/>
          <w:szCs w:val="20"/>
          <w:lang w:val="en-US" w:eastAsia="zh-CN" w:bidi="ar-SA"/>
        </w:rPr>
        <w:t>&gt;0.65为不合</w:t>
      </w:r>
      <w:r>
        <w:rPr>
          <w:rFonts w:hint="eastAsia" w:ascii="Times New Roman" w:hAnsi="Times New Roman" w:eastAsia="宋体" w:cs="Times New Roman"/>
          <w:kern w:val="0"/>
          <w:sz w:val="24"/>
          <w:szCs w:val="20"/>
          <w:lang w:val="en-US" w:eastAsia="zh-CN" w:bidi="ar-SA"/>
        </w:rPr>
        <w:t>格。若模型拟合精度评价为不合格，则不可用于预测</w:t>
      </w:r>
      <w:r>
        <w:rPr>
          <w:rFonts w:hint="eastAsia" w:ascii="Times New Roman" w:hAnsi="Times New Roman" w:eastAsia="宋体" w:cs="Times New Roman"/>
          <w:kern w:val="0"/>
          <w:sz w:val="24"/>
          <w:szCs w:val="20"/>
          <w:vertAlign w:val="superscript"/>
          <w:lang w:val="en-US" w:eastAsia="zh-CN" w:bidi="ar-SA"/>
        </w:rPr>
        <w:t>[6]</w:t>
      </w:r>
      <w:r>
        <w:rPr>
          <w:rFonts w:hint="eastAsia" w:ascii="Times New Roman" w:hAnsi="Times New Roman" w:eastAsia="宋体" w:cs="Times New Roman"/>
          <w:kern w:val="0"/>
          <w:sz w:val="24"/>
          <w:szCs w:val="20"/>
          <w:lang w:val="en-US" w:eastAsia="zh-CN" w:bidi="ar-SA"/>
        </w:rPr>
        <w:t>。</w:t>
      </w:r>
    </w:p>
    <w:p w14:paraId="142F76C8">
      <w:pPr>
        <w:keepNext w:val="0"/>
        <w:keepLines w:val="0"/>
        <w:pageBreakBefore w:val="0"/>
        <w:widowControl/>
        <w:kinsoku/>
        <w:wordWrap/>
        <w:overflowPunct/>
        <w:topLinePunct w:val="0"/>
        <w:autoSpaceDE/>
        <w:autoSpaceDN/>
        <w:bidi w:val="0"/>
        <w:adjustRightInd/>
        <w:snapToGrid/>
        <w:spacing w:line="360" w:lineRule="auto"/>
        <w:ind w:firstLine="482" w:firstLineChars="200"/>
        <w:jc w:val="both"/>
        <w:textAlignment w:val="auto"/>
        <w:rPr>
          <w:rFonts w:hint="default" w:ascii="Times New Roman" w:hAnsi="Times New Roman" w:eastAsia="宋体" w:cs="Times New Roman"/>
          <w:b/>
          <w:color w:val="000000"/>
          <w:kern w:val="2"/>
          <w:sz w:val="24"/>
          <w:szCs w:val="20"/>
          <w:lang w:val="en-US" w:eastAsia="zh-CN" w:bidi="ar-SA"/>
        </w:rPr>
      </w:pPr>
      <w:r>
        <w:rPr>
          <w:rFonts w:hint="default" w:ascii="Times New Roman" w:hAnsi="Times New Roman" w:eastAsia="宋体" w:cs="Times New Roman"/>
          <w:b/>
          <w:color w:val="000000"/>
          <w:kern w:val="2"/>
          <w:sz w:val="24"/>
          <w:szCs w:val="20"/>
          <w:lang w:val="en-US" w:eastAsia="zh-CN" w:bidi="ar-SA"/>
        </w:rPr>
        <w:t>2 结果</w:t>
      </w:r>
    </w:p>
    <w:p w14:paraId="76CB493A">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楷体" w:hAnsi="楷体" w:eastAsia="楷体" w:cs="楷体"/>
          <w:kern w:val="0"/>
          <w:sz w:val="24"/>
          <w:szCs w:val="20"/>
          <w:lang w:val="en-US" w:eastAsia="zh-CN" w:bidi="ar-SA"/>
        </w:rPr>
      </w:pPr>
      <w:r>
        <w:rPr>
          <w:rFonts w:hint="eastAsia" w:ascii="楷体" w:hAnsi="楷体" w:eastAsia="楷体" w:cs="楷体"/>
          <w:kern w:val="0"/>
          <w:sz w:val="24"/>
          <w:szCs w:val="20"/>
          <w:lang w:val="en-US" w:eastAsia="zh-CN" w:bidi="ar-SA"/>
        </w:rPr>
        <w:t>2.1 2018—2023年宿迁市结直肠癌发病和死亡情况</w:t>
      </w:r>
    </w:p>
    <w:p w14:paraId="34308A40">
      <w:pPr>
        <w:keepNext w:val="0"/>
        <w:keepLines w:val="0"/>
        <w:pageBreakBefore w:val="0"/>
        <w:widowControl/>
        <w:kinsoku/>
        <w:wordWrap/>
        <w:overflowPunct/>
        <w:topLinePunct w:val="0"/>
        <w:autoSpaceDE/>
        <w:autoSpaceDN/>
        <w:bidi w:val="0"/>
        <w:adjustRightInd/>
        <w:snapToGrid/>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2018—2023年宿迁市结直肠癌合计发病6744例，其中男性4050例，女性2694例，发病率为19.06/10万，中标发病率为12.00/10万，世标发病率为11.72/10万，0~74岁累积发病率为1.36%。男性结直肠癌发病率、中标发病率、世标发病率和0~74岁累积发病率均高于女性。2018—2023年宿迁市结直肠癌合计死亡3090例，死亡率为8.73/10万，中标死亡率为4.94/10万，世标死亡率为4.83/10万，0~74岁累积死亡率为0.47%。男性结直肠癌死亡率、中标死亡率、世标死亡率和0~74岁累积死亡率均高于女性（Table2）。</w:t>
      </w:r>
    </w:p>
    <w:p w14:paraId="1324F6F6">
      <w:pPr>
        <w:jc w:val="center"/>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sz w:val="24"/>
          <w:szCs w:val="32"/>
          <w:lang w:val="en-US" w:eastAsia="zh-CN"/>
        </w:rPr>
        <w:t>Table 2 Incidence and mortality of colorectal cancer in Suqian City from 2018 to 2023</w:t>
      </w:r>
    </w:p>
    <w:tbl>
      <w:tblPr>
        <w:tblStyle w:val="2"/>
        <w:tblW w:w="813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56" w:type="dxa"/>
          <w:left w:w="96" w:type="dxa"/>
          <w:bottom w:w="56" w:type="dxa"/>
          <w:right w:w="96" w:type="dxa"/>
        </w:tblCellMar>
      </w:tblPr>
      <w:tblGrid>
        <w:gridCol w:w="1002"/>
        <w:gridCol w:w="954"/>
        <w:gridCol w:w="810"/>
        <w:gridCol w:w="1088"/>
        <w:gridCol w:w="1050"/>
        <w:gridCol w:w="1042"/>
        <w:gridCol w:w="2190"/>
      </w:tblGrid>
      <w:tr w14:paraId="464AC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6" w:type="dxa"/>
            <w:left w:w="96" w:type="dxa"/>
            <w:bottom w:w="56" w:type="dxa"/>
            <w:right w:w="96" w:type="dxa"/>
          </w:tblCellMar>
        </w:tblPrEx>
        <w:trPr>
          <w:trHeight w:val="23" w:hRule="atLeast"/>
          <w:tblHeader/>
          <w:jc w:val="center"/>
        </w:trPr>
        <w:tc>
          <w:tcPr>
            <w:tcW w:w="1002" w:type="dxa"/>
            <w:tcBorders>
              <w:top w:val="single" w:color="auto" w:sz="4" w:space="0"/>
              <w:left w:val="nil"/>
              <w:bottom w:val="single" w:color="auto" w:sz="4" w:space="0"/>
              <w:right w:val="nil"/>
            </w:tcBorders>
            <w:shd w:val="clear" w:color="auto" w:fill="auto"/>
            <w:noWrap/>
            <w:vAlign w:val="center"/>
          </w:tcPr>
          <w:p w14:paraId="1731AC2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Index</w:t>
            </w:r>
          </w:p>
        </w:tc>
        <w:tc>
          <w:tcPr>
            <w:tcW w:w="954" w:type="dxa"/>
            <w:tcBorders>
              <w:top w:val="single" w:color="auto" w:sz="4" w:space="0"/>
              <w:left w:val="nil"/>
              <w:bottom w:val="single" w:color="auto" w:sz="4" w:space="0"/>
              <w:right w:val="nil"/>
            </w:tcBorders>
            <w:shd w:val="clear" w:color="auto" w:fill="auto"/>
            <w:noWrap/>
            <w:vAlign w:val="center"/>
          </w:tcPr>
          <w:p w14:paraId="6E4315C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Gender</w:t>
            </w:r>
          </w:p>
        </w:tc>
        <w:tc>
          <w:tcPr>
            <w:tcW w:w="810" w:type="dxa"/>
            <w:tcBorders>
              <w:top w:val="single" w:color="auto" w:sz="4" w:space="0"/>
              <w:left w:val="nil"/>
              <w:bottom w:val="single" w:color="auto" w:sz="4" w:space="0"/>
              <w:right w:val="nil"/>
            </w:tcBorders>
            <w:shd w:val="clear" w:color="auto" w:fill="auto"/>
            <w:noWrap/>
            <w:vAlign w:val="center"/>
          </w:tcPr>
          <w:p w14:paraId="2D858FF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Cases</w:t>
            </w:r>
          </w:p>
        </w:tc>
        <w:tc>
          <w:tcPr>
            <w:tcW w:w="1088" w:type="dxa"/>
            <w:tcBorders>
              <w:top w:val="single" w:color="auto" w:sz="4" w:space="0"/>
              <w:left w:val="nil"/>
              <w:bottom w:val="single" w:color="auto" w:sz="4" w:space="0"/>
              <w:right w:val="nil"/>
            </w:tcBorders>
            <w:shd w:val="clear" w:color="auto" w:fill="auto"/>
            <w:noWrap/>
            <w:vAlign w:val="center"/>
          </w:tcPr>
          <w:p w14:paraId="71087AB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Crude rate </w:t>
            </w:r>
          </w:p>
          <w:p w14:paraId="1B92152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（1/10</w:t>
            </w:r>
            <w:r>
              <w:rPr>
                <w:rFonts w:hint="default" w:ascii="Times New Roman" w:hAnsi="Times New Roman" w:eastAsia="宋体" w:cs="Times New Roman"/>
                <w:i w:val="0"/>
                <w:iCs w:val="0"/>
                <w:color w:val="000000"/>
                <w:kern w:val="0"/>
                <w:sz w:val="20"/>
                <w:szCs w:val="20"/>
                <w:u w:val="none"/>
                <w:vertAlign w:val="superscript"/>
                <w:lang w:val="en-US" w:eastAsia="zh-CN" w:bidi="ar"/>
              </w:rPr>
              <w:t>5</w:t>
            </w:r>
            <w:r>
              <w:rPr>
                <w:rFonts w:hint="default" w:ascii="Times New Roman" w:hAnsi="Times New Roman" w:eastAsia="宋体" w:cs="Times New Roman"/>
                <w:i w:val="0"/>
                <w:iCs w:val="0"/>
                <w:color w:val="000000"/>
                <w:kern w:val="0"/>
                <w:sz w:val="20"/>
                <w:szCs w:val="20"/>
                <w:u w:val="none"/>
                <w:lang w:val="en-US" w:eastAsia="zh-CN" w:bidi="ar"/>
              </w:rPr>
              <w:t>）</w:t>
            </w:r>
          </w:p>
        </w:tc>
        <w:tc>
          <w:tcPr>
            <w:tcW w:w="1050" w:type="dxa"/>
            <w:tcBorders>
              <w:top w:val="single" w:color="auto" w:sz="4" w:space="0"/>
              <w:left w:val="nil"/>
              <w:bottom w:val="single" w:color="auto" w:sz="4" w:space="0"/>
              <w:right w:val="nil"/>
            </w:tcBorders>
            <w:shd w:val="clear" w:color="auto" w:fill="auto"/>
            <w:noWrap/>
            <w:vAlign w:val="center"/>
          </w:tcPr>
          <w:p w14:paraId="1BEF675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ASRC（1/10</w:t>
            </w:r>
            <w:r>
              <w:rPr>
                <w:rFonts w:hint="default" w:ascii="Times New Roman" w:hAnsi="Times New Roman" w:eastAsia="宋体" w:cs="Times New Roman"/>
                <w:i w:val="0"/>
                <w:iCs w:val="0"/>
                <w:color w:val="000000"/>
                <w:kern w:val="0"/>
                <w:sz w:val="20"/>
                <w:szCs w:val="20"/>
                <w:u w:val="none"/>
                <w:vertAlign w:val="superscript"/>
                <w:lang w:val="en-US" w:eastAsia="zh-CN" w:bidi="ar"/>
              </w:rPr>
              <w:t xml:space="preserve">5 </w:t>
            </w:r>
            <w:r>
              <w:rPr>
                <w:rFonts w:hint="default" w:ascii="Times New Roman" w:hAnsi="Times New Roman" w:eastAsia="宋体" w:cs="Times New Roman"/>
                <w:i w:val="0"/>
                <w:iCs w:val="0"/>
                <w:color w:val="000000"/>
                <w:kern w:val="0"/>
                <w:sz w:val="20"/>
                <w:szCs w:val="20"/>
                <w:u w:val="none"/>
                <w:lang w:val="en-US" w:eastAsia="zh-CN" w:bidi="ar"/>
              </w:rPr>
              <w:t>）</w:t>
            </w:r>
          </w:p>
        </w:tc>
        <w:tc>
          <w:tcPr>
            <w:tcW w:w="1042" w:type="dxa"/>
            <w:tcBorders>
              <w:top w:val="single" w:color="auto" w:sz="4" w:space="0"/>
              <w:left w:val="nil"/>
              <w:bottom w:val="single" w:color="auto" w:sz="4" w:space="0"/>
              <w:right w:val="nil"/>
            </w:tcBorders>
            <w:shd w:val="clear" w:color="auto" w:fill="auto"/>
            <w:noWrap/>
            <w:vAlign w:val="center"/>
          </w:tcPr>
          <w:p w14:paraId="2607410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ASRW（1/10</w:t>
            </w:r>
            <w:r>
              <w:rPr>
                <w:rFonts w:hint="default" w:ascii="Times New Roman" w:hAnsi="Times New Roman" w:eastAsia="宋体" w:cs="Times New Roman"/>
                <w:i w:val="0"/>
                <w:iCs w:val="0"/>
                <w:color w:val="000000"/>
                <w:kern w:val="0"/>
                <w:sz w:val="20"/>
                <w:szCs w:val="20"/>
                <w:u w:val="none"/>
                <w:vertAlign w:val="superscript"/>
                <w:lang w:val="en-US" w:eastAsia="zh-CN" w:bidi="ar"/>
              </w:rPr>
              <w:t xml:space="preserve">5 </w:t>
            </w:r>
            <w:r>
              <w:rPr>
                <w:rFonts w:hint="default" w:ascii="Times New Roman" w:hAnsi="Times New Roman" w:eastAsia="宋体" w:cs="Times New Roman"/>
                <w:i w:val="0"/>
                <w:iCs w:val="0"/>
                <w:color w:val="000000"/>
                <w:kern w:val="0"/>
                <w:sz w:val="20"/>
                <w:szCs w:val="20"/>
                <w:u w:val="none"/>
                <w:lang w:val="en-US" w:eastAsia="zh-CN" w:bidi="ar"/>
              </w:rPr>
              <w:t>）</w:t>
            </w:r>
          </w:p>
        </w:tc>
        <w:tc>
          <w:tcPr>
            <w:tcW w:w="2190" w:type="dxa"/>
            <w:tcBorders>
              <w:top w:val="single" w:color="auto" w:sz="4" w:space="0"/>
              <w:left w:val="nil"/>
              <w:bottom w:val="single" w:color="auto" w:sz="4" w:space="0"/>
              <w:right w:val="nil"/>
            </w:tcBorders>
            <w:shd w:val="clear" w:color="auto" w:fill="auto"/>
            <w:noWrap/>
            <w:vAlign w:val="center"/>
          </w:tcPr>
          <w:p w14:paraId="5D9B7C6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Cumulative rate </w:t>
            </w:r>
          </w:p>
          <w:p w14:paraId="637C926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（0~74 years old）（%）</w:t>
            </w:r>
          </w:p>
        </w:tc>
      </w:tr>
      <w:tr w14:paraId="372277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6" w:type="dxa"/>
            <w:left w:w="96" w:type="dxa"/>
            <w:bottom w:w="56" w:type="dxa"/>
            <w:right w:w="96" w:type="dxa"/>
          </w:tblCellMar>
        </w:tblPrEx>
        <w:trPr>
          <w:trHeight w:val="23" w:hRule="atLeast"/>
          <w:jc w:val="center"/>
        </w:trPr>
        <w:tc>
          <w:tcPr>
            <w:tcW w:w="1002" w:type="dxa"/>
            <w:tcBorders>
              <w:top w:val="single" w:color="auto" w:sz="4" w:space="0"/>
              <w:left w:val="nil"/>
              <w:bottom w:val="nil"/>
              <w:right w:val="nil"/>
            </w:tcBorders>
            <w:shd w:val="clear" w:color="auto" w:fill="auto"/>
            <w:noWrap/>
            <w:vAlign w:val="center"/>
          </w:tcPr>
          <w:p w14:paraId="703FA34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Incidence</w:t>
            </w:r>
          </w:p>
        </w:tc>
        <w:tc>
          <w:tcPr>
            <w:tcW w:w="954" w:type="dxa"/>
            <w:tcBorders>
              <w:top w:val="single" w:color="auto" w:sz="4" w:space="0"/>
              <w:left w:val="nil"/>
              <w:bottom w:val="nil"/>
              <w:right w:val="nil"/>
            </w:tcBorders>
            <w:shd w:val="clear" w:color="auto" w:fill="auto"/>
            <w:noWrap/>
            <w:vAlign w:val="center"/>
          </w:tcPr>
          <w:p w14:paraId="3D3356B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Male</w:t>
            </w:r>
          </w:p>
        </w:tc>
        <w:tc>
          <w:tcPr>
            <w:tcW w:w="810" w:type="dxa"/>
            <w:tcBorders>
              <w:top w:val="single" w:color="auto" w:sz="4" w:space="0"/>
              <w:left w:val="nil"/>
              <w:bottom w:val="nil"/>
              <w:right w:val="nil"/>
            </w:tcBorders>
            <w:shd w:val="clear" w:color="auto" w:fill="auto"/>
            <w:noWrap/>
            <w:vAlign w:val="center"/>
          </w:tcPr>
          <w:p w14:paraId="2FBD46C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4050</w:t>
            </w:r>
          </w:p>
        </w:tc>
        <w:tc>
          <w:tcPr>
            <w:tcW w:w="1088" w:type="dxa"/>
            <w:tcBorders>
              <w:top w:val="single" w:color="auto" w:sz="4" w:space="0"/>
              <w:left w:val="nil"/>
              <w:bottom w:val="nil"/>
              <w:right w:val="nil"/>
            </w:tcBorders>
            <w:shd w:val="clear" w:color="auto" w:fill="auto"/>
            <w:noWrap/>
            <w:vAlign w:val="center"/>
          </w:tcPr>
          <w:p w14:paraId="44E2BA3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22.06 </w:t>
            </w:r>
          </w:p>
        </w:tc>
        <w:tc>
          <w:tcPr>
            <w:tcW w:w="1050" w:type="dxa"/>
            <w:tcBorders>
              <w:top w:val="single" w:color="auto" w:sz="4" w:space="0"/>
              <w:left w:val="nil"/>
              <w:bottom w:val="nil"/>
              <w:right w:val="nil"/>
            </w:tcBorders>
            <w:shd w:val="clear" w:color="auto" w:fill="auto"/>
            <w:noWrap/>
            <w:vAlign w:val="center"/>
          </w:tcPr>
          <w:p w14:paraId="7D9AE49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14.56 </w:t>
            </w:r>
          </w:p>
        </w:tc>
        <w:tc>
          <w:tcPr>
            <w:tcW w:w="1042" w:type="dxa"/>
            <w:tcBorders>
              <w:top w:val="single" w:color="auto" w:sz="4" w:space="0"/>
              <w:left w:val="nil"/>
              <w:bottom w:val="nil"/>
              <w:right w:val="nil"/>
            </w:tcBorders>
            <w:shd w:val="clear" w:color="auto" w:fill="auto"/>
            <w:noWrap/>
            <w:vAlign w:val="center"/>
          </w:tcPr>
          <w:p w14:paraId="2D32AFE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14.30 </w:t>
            </w:r>
          </w:p>
        </w:tc>
        <w:tc>
          <w:tcPr>
            <w:tcW w:w="2190" w:type="dxa"/>
            <w:tcBorders>
              <w:top w:val="single" w:color="auto" w:sz="4" w:space="0"/>
              <w:left w:val="nil"/>
              <w:bottom w:val="nil"/>
              <w:right w:val="nil"/>
            </w:tcBorders>
            <w:shd w:val="clear" w:color="auto" w:fill="auto"/>
            <w:noWrap/>
            <w:vAlign w:val="center"/>
          </w:tcPr>
          <w:p w14:paraId="33C47BC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1.67 </w:t>
            </w:r>
          </w:p>
        </w:tc>
      </w:tr>
      <w:tr w14:paraId="2165555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6" w:type="dxa"/>
            <w:left w:w="96" w:type="dxa"/>
            <w:bottom w:w="56" w:type="dxa"/>
            <w:right w:w="96" w:type="dxa"/>
          </w:tblCellMar>
        </w:tblPrEx>
        <w:trPr>
          <w:trHeight w:val="23" w:hRule="atLeast"/>
          <w:jc w:val="center"/>
        </w:trPr>
        <w:tc>
          <w:tcPr>
            <w:tcW w:w="1002" w:type="dxa"/>
            <w:tcBorders>
              <w:top w:val="nil"/>
              <w:left w:val="nil"/>
              <w:bottom w:val="nil"/>
              <w:right w:val="nil"/>
            </w:tcBorders>
            <w:shd w:val="clear" w:color="auto" w:fill="auto"/>
            <w:noWrap/>
            <w:vAlign w:val="center"/>
          </w:tcPr>
          <w:p w14:paraId="77267DA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954" w:type="dxa"/>
            <w:tcBorders>
              <w:top w:val="nil"/>
              <w:left w:val="nil"/>
              <w:bottom w:val="nil"/>
              <w:right w:val="nil"/>
            </w:tcBorders>
            <w:shd w:val="clear" w:color="auto" w:fill="auto"/>
            <w:noWrap/>
            <w:vAlign w:val="center"/>
          </w:tcPr>
          <w:p w14:paraId="55EF333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Female</w:t>
            </w:r>
          </w:p>
        </w:tc>
        <w:tc>
          <w:tcPr>
            <w:tcW w:w="810" w:type="dxa"/>
            <w:tcBorders>
              <w:top w:val="nil"/>
              <w:left w:val="nil"/>
              <w:bottom w:val="nil"/>
              <w:right w:val="nil"/>
            </w:tcBorders>
            <w:shd w:val="clear" w:color="auto" w:fill="auto"/>
            <w:noWrap/>
            <w:vAlign w:val="center"/>
          </w:tcPr>
          <w:p w14:paraId="2C02A19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2694</w:t>
            </w:r>
          </w:p>
        </w:tc>
        <w:tc>
          <w:tcPr>
            <w:tcW w:w="1088" w:type="dxa"/>
            <w:tcBorders>
              <w:top w:val="nil"/>
              <w:left w:val="nil"/>
              <w:bottom w:val="nil"/>
              <w:right w:val="nil"/>
            </w:tcBorders>
            <w:shd w:val="clear" w:color="auto" w:fill="auto"/>
            <w:noWrap/>
            <w:vAlign w:val="center"/>
          </w:tcPr>
          <w:p w14:paraId="1147165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15.82 </w:t>
            </w:r>
          </w:p>
        </w:tc>
        <w:tc>
          <w:tcPr>
            <w:tcW w:w="1050" w:type="dxa"/>
            <w:tcBorders>
              <w:top w:val="nil"/>
              <w:left w:val="nil"/>
              <w:bottom w:val="nil"/>
              <w:right w:val="nil"/>
            </w:tcBorders>
            <w:shd w:val="clear" w:color="auto" w:fill="auto"/>
            <w:noWrap/>
            <w:vAlign w:val="center"/>
          </w:tcPr>
          <w:p w14:paraId="62295E6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9.47 </w:t>
            </w:r>
          </w:p>
        </w:tc>
        <w:tc>
          <w:tcPr>
            <w:tcW w:w="1042" w:type="dxa"/>
            <w:tcBorders>
              <w:top w:val="nil"/>
              <w:left w:val="nil"/>
              <w:bottom w:val="nil"/>
              <w:right w:val="nil"/>
            </w:tcBorders>
            <w:shd w:val="clear" w:color="auto" w:fill="auto"/>
            <w:noWrap/>
            <w:vAlign w:val="center"/>
          </w:tcPr>
          <w:p w14:paraId="7FEC01F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9.16 </w:t>
            </w:r>
          </w:p>
        </w:tc>
        <w:tc>
          <w:tcPr>
            <w:tcW w:w="2190" w:type="dxa"/>
            <w:tcBorders>
              <w:top w:val="nil"/>
              <w:left w:val="nil"/>
              <w:bottom w:val="nil"/>
              <w:right w:val="nil"/>
            </w:tcBorders>
            <w:shd w:val="clear" w:color="auto" w:fill="auto"/>
            <w:noWrap/>
            <w:vAlign w:val="center"/>
          </w:tcPr>
          <w:p w14:paraId="4934BAD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1.04 </w:t>
            </w:r>
          </w:p>
        </w:tc>
      </w:tr>
      <w:tr w14:paraId="516A3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6" w:type="dxa"/>
            <w:left w:w="96" w:type="dxa"/>
            <w:bottom w:w="56" w:type="dxa"/>
            <w:right w:w="96" w:type="dxa"/>
          </w:tblCellMar>
        </w:tblPrEx>
        <w:trPr>
          <w:trHeight w:val="23" w:hRule="atLeast"/>
          <w:jc w:val="center"/>
        </w:trPr>
        <w:tc>
          <w:tcPr>
            <w:tcW w:w="1002" w:type="dxa"/>
            <w:tcBorders>
              <w:top w:val="nil"/>
              <w:left w:val="nil"/>
              <w:bottom w:val="nil"/>
              <w:right w:val="nil"/>
            </w:tcBorders>
            <w:shd w:val="clear" w:color="auto" w:fill="auto"/>
            <w:noWrap/>
            <w:vAlign w:val="center"/>
          </w:tcPr>
          <w:p w14:paraId="1CB4A40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954" w:type="dxa"/>
            <w:tcBorders>
              <w:top w:val="nil"/>
              <w:left w:val="nil"/>
              <w:bottom w:val="nil"/>
              <w:right w:val="nil"/>
            </w:tcBorders>
            <w:shd w:val="clear" w:color="auto" w:fill="auto"/>
            <w:noWrap/>
            <w:vAlign w:val="center"/>
          </w:tcPr>
          <w:p w14:paraId="67993F0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Total</w:t>
            </w:r>
          </w:p>
        </w:tc>
        <w:tc>
          <w:tcPr>
            <w:tcW w:w="810" w:type="dxa"/>
            <w:tcBorders>
              <w:top w:val="nil"/>
              <w:left w:val="nil"/>
              <w:bottom w:val="nil"/>
              <w:right w:val="nil"/>
            </w:tcBorders>
            <w:shd w:val="clear" w:color="auto" w:fill="auto"/>
            <w:noWrap/>
            <w:vAlign w:val="center"/>
          </w:tcPr>
          <w:p w14:paraId="43FC146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6744</w:t>
            </w:r>
          </w:p>
        </w:tc>
        <w:tc>
          <w:tcPr>
            <w:tcW w:w="1088" w:type="dxa"/>
            <w:tcBorders>
              <w:top w:val="nil"/>
              <w:left w:val="nil"/>
              <w:bottom w:val="nil"/>
              <w:right w:val="nil"/>
            </w:tcBorders>
            <w:shd w:val="clear" w:color="auto" w:fill="auto"/>
            <w:noWrap/>
            <w:vAlign w:val="center"/>
          </w:tcPr>
          <w:p w14:paraId="214675B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19.06 </w:t>
            </w:r>
          </w:p>
        </w:tc>
        <w:tc>
          <w:tcPr>
            <w:tcW w:w="1050" w:type="dxa"/>
            <w:tcBorders>
              <w:top w:val="nil"/>
              <w:left w:val="nil"/>
              <w:bottom w:val="nil"/>
              <w:right w:val="nil"/>
            </w:tcBorders>
            <w:shd w:val="clear" w:color="auto" w:fill="auto"/>
            <w:noWrap/>
            <w:vAlign w:val="center"/>
          </w:tcPr>
          <w:p w14:paraId="63D0A58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12.00 </w:t>
            </w:r>
          </w:p>
        </w:tc>
        <w:tc>
          <w:tcPr>
            <w:tcW w:w="1042" w:type="dxa"/>
            <w:tcBorders>
              <w:top w:val="nil"/>
              <w:left w:val="nil"/>
              <w:bottom w:val="nil"/>
              <w:right w:val="nil"/>
            </w:tcBorders>
            <w:shd w:val="clear" w:color="auto" w:fill="auto"/>
            <w:noWrap/>
            <w:vAlign w:val="center"/>
          </w:tcPr>
          <w:p w14:paraId="363A7DA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11.72 </w:t>
            </w:r>
          </w:p>
        </w:tc>
        <w:tc>
          <w:tcPr>
            <w:tcW w:w="2190" w:type="dxa"/>
            <w:tcBorders>
              <w:top w:val="nil"/>
              <w:left w:val="nil"/>
              <w:bottom w:val="nil"/>
              <w:right w:val="nil"/>
            </w:tcBorders>
            <w:shd w:val="clear" w:color="auto" w:fill="auto"/>
            <w:noWrap/>
            <w:vAlign w:val="center"/>
          </w:tcPr>
          <w:p w14:paraId="1F12D14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1.36 </w:t>
            </w:r>
          </w:p>
        </w:tc>
      </w:tr>
      <w:tr w14:paraId="7E746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6" w:type="dxa"/>
            <w:left w:w="96" w:type="dxa"/>
            <w:bottom w:w="56" w:type="dxa"/>
            <w:right w:w="96" w:type="dxa"/>
          </w:tblCellMar>
        </w:tblPrEx>
        <w:trPr>
          <w:trHeight w:val="23" w:hRule="atLeast"/>
          <w:jc w:val="center"/>
        </w:trPr>
        <w:tc>
          <w:tcPr>
            <w:tcW w:w="1002" w:type="dxa"/>
            <w:tcBorders>
              <w:top w:val="nil"/>
              <w:left w:val="nil"/>
              <w:bottom w:val="nil"/>
              <w:right w:val="nil"/>
            </w:tcBorders>
            <w:shd w:val="clear" w:color="auto" w:fill="auto"/>
            <w:noWrap/>
            <w:vAlign w:val="center"/>
          </w:tcPr>
          <w:p w14:paraId="099C005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Mortality</w:t>
            </w:r>
          </w:p>
        </w:tc>
        <w:tc>
          <w:tcPr>
            <w:tcW w:w="954" w:type="dxa"/>
            <w:tcBorders>
              <w:top w:val="nil"/>
              <w:left w:val="nil"/>
              <w:bottom w:val="nil"/>
              <w:right w:val="nil"/>
            </w:tcBorders>
            <w:shd w:val="clear" w:color="auto" w:fill="auto"/>
            <w:noWrap/>
            <w:vAlign w:val="center"/>
          </w:tcPr>
          <w:p w14:paraId="5E39B87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Male</w:t>
            </w:r>
          </w:p>
        </w:tc>
        <w:tc>
          <w:tcPr>
            <w:tcW w:w="810" w:type="dxa"/>
            <w:tcBorders>
              <w:top w:val="nil"/>
              <w:left w:val="nil"/>
              <w:bottom w:val="nil"/>
              <w:right w:val="nil"/>
            </w:tcBorders>
            <w:shd w:val="clear" w:color="auto" w:fill="auto"/>
            <w:noWrap/>
            <w:vAlign w:val="center"/>
          </w:tcPr>
          <w:p w14:paraId="66A8FB7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1854</w:t>
            </w:r>
          </w:p>
        </w:tc>
        <w:tc>
          <w:tcPr>
            <w:tcW w:w="1088" w:type="dxa"/>
            <w:tcBorders>
              <w:top w:val="nil"/>
              <w:left w:val="nil"/>
              <w:bottom w:val="nil"/>
              <w:right w:val="nil"/>
            </w:tcBorders>
            <w:shd w:val="clear" w:color="auto" w:fill="auto"/>
            <w:noWrap/>
            <w:vAlign w:val="center"/>
          </w:tcPr>
          <w:p w14:paraId="0A56ECA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10.10 </w:t>
            </w:r>
          </w:p>
        </w:tc>
        <w:tc>
          <w:tcPr>
            <w:tcW w:w="1050" w:type="dxa"/>
            <w:tcBorders>
              <w:top w:val="nil"/>
              <w:left w:val="nil"/>
              <w:bottom w:val="nil"/>
              <w:right w:val="nil"/>
            </w:tcBorders>
            <w:shd w:val="clear" w:color="auto" w:fill="auto"/>
            <w:noWrap/>
            <w:vAlign w:val="center"/>
          </w:tcPr>
          <w:p w14:paraId="2E40C59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6.24 </w:t>
            </w:r>
          </w:p>
        </w:tc>
        <w:tc>
          <w:tcPr>
            <w:tcW w:w="1042" w:type="dxa"/>
            <w:tcBorders>
              <w:top w:val="nil"/>
              <w:left w:val="nil"/>
              <w:bottom w:val="nil"/>
              <w:right w:val="nil"/>
            </w:tcBorders>
            <w:shd w:val="clear" w:color="auto" w:fill="auto"/>
            <w:noWrap/>
            <w:vAlign w:val="center"/>
          </w:tcPr>
          <w:p w14:paraId="067B947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6.14 </w:t>
            </w:r>
          </w:p>
        </w:tc>
        <w:tc>
          <w:tcPr>
            <w:tcW w:w="2190" w:type="dxa"/>
            <w:tcBorders>
              <w:top w:val="nil"/>
              <w:left w:val="nil"/>
              <w:bottom w:val="nil"/>
              <w:right w:val="nil"/>
            </w:tcBorders>
            <w:shd w:val="clear" w:color="auto" w:fill="auto"/>
            <w:noWrap/>
            <w:vAlign w:val="center"/>
          </w:tcPr>
          <w:p w14:paraId="64BDC3A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0.60 </w:t>
            </w:r>
          </w:p>
        </w:tc>
      </w:tr>
      <w:tr w14:paraId="4C21D1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56" w:type="dxa"/>
            <w:left w:w="96" w:type="dxa"/>
            <w:bottom w:w="56" w:type="dxa"/>
            <w:right w:w="96" w:type="dxa"/>
          </w:tblCellMar>
        </w:tblPrEx>
        <w:trPr>
          <w:trHeight w:val="23" w:hRule="atLeast"/>
          <w:jc w:val="center"/>
        </w:trPr>
        <w:tc>
          <w:tcPr>
            <w:tcW w:w="1002" w:type="dxa"/>
            <w:tcBorders>
              <w:top w:val="nil"/>
              <w:left w:val="nil"/>
              <w:bottom w:val="nil"/>
              <w:right w:val="nil"/>
            </w:tcBorders>
            <w:shd w:val="clear" w:color="auto" w:fill="auto"/>
            <w:noWrap/>
            <w:vAlign w:val="center"/>
          </w:tcPr>
          <w:p w14:paraId="29C93B1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954" w:type="dxa"/>
            <w:tcBorders>
              <w:top w:val="nil"/>
              <w:left w:val="nil"/>
              <w:bottom w:val="nil"/>
              <w:right w:val="nil"/>
            </w:tcBorders>
            <w:shd w:val="clear" w:color="auto" w:fill="auto"/>
            <w:noWrap/>
            <w:vAlign w:val="center"/>
          </w:tcPr>
          <w:p w14:paraId="118D833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Female</w:t>
            </w:r>
          </w:p>
        </w:tc>
        <w:tc>
          <w:tcPr>
            <w:tcW w:w="810" w:type="dxa"/>
            <w:tcBorders>
              <w:top w:val="nil"/>
              <w:left w:val="nil"/>
              <w:bottom w:val="nil"/>
              <w:right w:val="nil"/>
            </w:tcBorders>
            <w:shd w:val="clear" w:color="auto" w:fill="auto"/>
            <w:noWrap/>
            <w:vAlign w:val="center"/>
          </w:tcPr>
          <w:p w14:paraId="42016F1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1236</w:t>
            </w:r>
          </w:p>
        </w:tc>
        <w:tc>
          <w:tcPr>
            <w:tcW w:w="1088" w:type="dxa"/>
            <w:tcBorders>
              <w:top w:val="nil"/>
              <w:left w:val="nil"/>
              <w:bottom w:val="nil"/>
              <w:right w:val="nil"/>
            </w:tcBorders>
            <w:shd w:val="clear" w:color="auto" w:fill="auto"/>
            <w:noWrap/>
            <w:vAlign w:val="center"/>
          </w:tcPr>
          <w:p w14:paraId="1076E2B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7.26 </w:t>
            </w:r>
          </w:p>
        </w:tc>
        <w:tc>
          <w:tcPr>
            <w:tcW w:w="1050" w:type="dxa"/>
            <w:tcBorders>
              <w:top w:val="nil"/>
              <w:left w:val="nil"/>
              <w:bottom w:val="nil"/>
              <w:right w:val="nil"/>
            </w:tcBorders>
            <w:shd w:val="clear" w:color="auto" w:fill="auto"/>
            <w:noWrap/>
            <w:vAlign w:val="center"/>
          </w:tcPr>
          <w:p w14:paraId="47819EB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3.70 </w:t>
            </w:r>
          </w:p>
        </w:tc>
        <w:tc>
          <w:tcPr>
            <w:tcW w:w="1042" w:type="dxa"/>
            <w:tcBorders>
              <w:top w:val="nil"/>
              <w:left w:val="nil"/>
              <w:bottom w:val="nil"/>
              <w:right w:val="nil"/>
            </w:tcBorders>
            <w:shd w:val="clear" w:color="auto" w:fill="auto"/>
            <w:noWrap/>
            <w:vAlign w:val="center"/>
          </w:tcPr>
          <w:p w14:paraId="578474F7">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3.60 </w:t>
            </w:r>
          </w:p>
        </w:tc>
        <w:tc>
          <w:tcPr>
            <w:tcW w:w="2190" w:type="dxa"/>
            <w:tcBorders>
              <w:top w:val="nil"/>
              <w:left w:val="nil"/>
              <w:bottom w:val="nil"/>
              <w:right w:val="nil"/>
            </w:tcBorders>
            <w:shd w:val="clear" w:color="auto" w:fill="auto"/>
            <w:noWrap/>
            <w:vAlign w:val="center"/>
          </w:tcPr>
          <w:p w14:paraId="304139A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0.34 </w:t>
            </w:r>
          </w:p>
        </w:tc>
      </w:tr>
      <w:tr w14:paraId="604B55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56" w:type="dxa"/>
            <w:left w:w="96" w:type="dxa"/>
            <w:bottom w:w="56" w:type="dxa"/>
            <w:right w:w="96" w:type="dxa"/>
          </w:tblCellMar>
        </w:tblPrEx>
        <w:trPr>
          <w:trHeight w:val="23" w:hRule="atLeast"/>
          <w:jc w:val="center"/>
        </w:trPr>
        <w:tc>
          <w:tcPr>
            <w:tcW w:w="1002" w:type="dxa"/>
            <w:tcBorders>
              <w:top w:val="nil"/>
              <w:left w:val="nil"/>
              <w:bottom w:val="single" w:color="auto" w:sz="4" w:space="0"/>
              <w:right w:val="nil"/>
            </w:tcBorders>
            <w:shd w:val="clear" w:color="auto" w:fill="auto"/>
            <w:noWrap/>
            <w:vAlign w:val="center"/>
          </w:tcPr>
          <w:p w14:paraId="47049E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954" w:type="dxa"/>
            <w:tcBorders>
              <w:top w:val="nil"/>
              <w:left w:val="nil"/>
              <w:bottom w:val="single" w:color="auto" w:sz="4" w:space="0"/>
              <w:right w:val="nil"/>
            </w:tcBorders>
            <w:shd w:val="clear" w:color="auto" w:fill="auto"/>
            <w:noWrap/>
            <w:vAlign w:val="center"/>
          </w:tcPr>
          <w:p w14:paraId="1D08AC05">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Total</w:t>
            </w:r>
          </w:p>
        </w:tc>
        <w:tc>
          <w:tcPr>
            <w:tcW w:w="810" w:type="dxa"/>
            <w:tcBorders>
              <w:top w:val="nil"/>
              <w:left w:val="nil"/>
              <w:bottom w:val="single" w:color="auto" w:sz="4" w:space="0"/>
              <w:right w:val="nil"/>
            </w:tcBorders>
            <w:shd w:val="clear" w:color="auto" w:fill="auto"/>
            <w:noWrap/>
            <w:vAlign w:val="center"/>
          </w:tcPr>
          <w:p w14:paraId="34C4308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3090</w:t>
            </w:r>
          </w:p>
        </w:tc>
        <w:tc>
          <w:tcPr>
            <w:tcW w:w="1088" w:type="dxa"/>
            <w:tcBorders>
              <w:top w:val="nil"/>
              <w:left w:val="nil"/>
              <w:bottom w:val="single" w:color="auto" w:sz="4" w:space="0"/>
              <w:right w:val="nil"/>
            </w:tcBorders>
            <w:shd w:val="clear" w:color="auto" w:fill="auto"/>
            <w:noWrap/>
            <w:vAlign w:val="center"/>
          </w:tcPr>
          <w:p w14:paraId="17D499F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8.73 </w:t>
            </w:r>
          </w:p>
        </w:tc>
        <w:tc>
          <w:tcPr>
            <w:tcW w:w="1050" w:type="dxa"/>
            <w:tcBorders>
              <w:top w:val="nil"/>
              <w:left w:val="nil"/>
              <w:bottom w:val="single" w:color="auto" w:sz="4" w:space="0"/>
              <w:right w:val="nil"/>
            </w:tcBorders>
            <w:shd w:val="clear" w:color="auto" w:fill="auto"/>
            <w:noWrap/>
            <w:vAlign w:val="center"/>
          </w:tcPr>
          <w:p w14:paraId="51400F6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4.94 </w:t>
            </w:r>
          </w:p>
        </w:tc>
        <w:tc>
          <w:tcPr>
            <w:tcW w:w="1042" w:type="dxa"/>
            <w:tcBorders>
              <w:top w:val="nil"/>
              <w:left w:val="nil"/>
              <w:bottom w:val="single" w:color="auto" w:sz="4" w:space="0"/>
              <w:right w:val="nil"/>
            </w:tcBorders>
            <w:shd w:val="clear" w:color="auto" w:fill="auto"/>
            <w:noWrap/>
            <w:vAlign w:val="center"/>
          </w:tcPr>
          <w:p w14:paraId="325FEF9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4.83 </w:t>
            </w:r>
          </w:p>
        </w:tc>
        <w:tc>
          <w:tcPr>
            <w:tcW w:w="2190" w:type="dxa"/>
            <w:tcBorders>
              <w:top w:val="nil"/>
              <w:left w:val="nil"/>
              <w:bottom w:val="single" w:color="auto" w:sz="4" w:space="0"/>
              <w:right w:val="nil"/>
            </w:tcBorders>
            <w:shd w:val="clear" w:color="auto" w:fill="auto"/>
            <w:noWrap/>
            <w:vAlign w:val="center"/>
          </w:tcPr>
          <w:p w14:paraId="19F2332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 xml:space="preserve">0.47 </w:t>
            </w:r>
          </w:p>
        </w:tc>
      </w:tr>
    </w:tbl>
    <w:p w14:paraId="19897234">
      <w:pPr>
        <w:jc w:val="both"/>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sz w:val="24"/>
          <w:szCs w:val="32"/>
        </w:rPr>
        <w:t>Notes：ASRC：age-standardized rate by Chinese standard population；ASRW：age-standardized rate by world standard population.</w:t>
      </w:r>
    </w:p>
    <w:p w14:paraId="09826918">
      <w:pPr>
        <w:jc w:val="both"/>
        <w:rPr>
          <w:rFonts w:hint="eastAsia" w:ascii="Times New Roman" w:hAnsi="Times New Roman" w:eastAsia="宋体" w:cs="Times New Roman"/>
          <w:sz w:val="24"/>
          <w:szCs w:val="32"/>
        </w:rPr>
      </w:pPr>
    </w:p>
    <w:p w14:paraId="6B11D3D8">
      <w:pPr>
        <w:spacing w:line="360" w:lineRule="exact"/>
        <w:ind w:firstLine="480" w:firstLineChars="200"/>
        <w:jc w:val="both"/>
        <w:rPr>
          <w:rFonts w:hint="eastAsia" w:ascii="楷体" w:hAnsi="楷体" w:eastAsia="楷体" w:cs="楷体"/>
          <w:kern w:val="0"/>
          <w:sz w:val="24"/>
          <w:szCs w:val="20"/>
          <w:lang w:val="en-US" w:eastAsia="zh-CN" w:bidi="ar-SA"/>
        </w:rPr>
      </w:pPr>
      <w:r>
        <w:rPr>
          <w:rFonts w:hint="eastAsia" w:ascii="楷体" w:hAnsi="楷体" w:eastAsia="楷体" w:cs="楷体"/>
          <w:kern w:val="0"/>
          <w:sz w:val="24"/>
          <w:szCs w:val="20"/>
          <w:lang w:val="en-US" w:eastAsia="zh-CN" w:bidi="ar-SA"/>
        </w:rPr>
        <w:t>2.2 2018—2023年宿迁市结直肠癌年龄别发病和死亡情况</w:t>
      </w:r>
    </w:p>
    <w:p w14:paraId="0322F16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sz w:val="24"/>
          <w:szCs w:val="32"/>
        </w:rPr>
      </w:pPr>
      <w:r>
        <w:rPr>
          <w:rFonts w:hint="eastAsia" w:ascii="Times New Roman" w:hAnsi="Times New Roman" w:eastAsia="宋体" w:cs="Times New Roman"/>
          <w:kern w:val="0"/>
          <w:sz w:val="24"/>
          <w:szCs w:val="20"/>
          <w:lang w:val="en-US" w:eastAsia="zh-CN" w:bidi="ar-SA"/>
        </w:rPr>
        <w:t>2018年至2023年，宿迁市结直肠癌的发病例数在45岁前相对较少，而在45岁后则迅速增加，并于65至69岁年龄段达到峰值，之后发病例数开始减少。从结直肠癌的发病率来看，0-45岁年龄段的发病率处于较低水平；45岁之后发病率随年龄增长迅速上升，至75~84岁年龄段达到峰值；85岁及以上年龄组发病率回落。结直肠癌的死亡例数同样在45岁后开始增加，75-79岁年龄段死亡例数最多，80岁后逐渐减少。结直肠癌的死亡率随年龄增加而持续上升，85岁及以上年龄组达到最高（</w:t>
      </w:r>
      <w:r>
        <w:rPr>
          <w:rFonts w:hint="eastAsia" w:ascii="Times New Roman" w:hAnsi="Times New Roman" w:eastAsia="宋体" w:cs="Times New Roman"/>
          <w:sz w:val="24"/>
          <w:szCs w:val="32"/>
          <w:lang w:val="en-US" w:eastAsia="zh-CN"/>
        </w:rPr>
        <w:t>Figure 1</w:t>
      </w:r>
      <w:r>
        <w:rPr>
          <w:rFonts w:hint="eastAsia" w:ascii="Times New Roman" w:hAnsi="Times New Roman" w:eastAsia="宋体" w:cs="Times New Roman"/>
          <w:kern w:val="0"/>
          <w:sz w:val="24"/>
          <w:szCs w:val="20"/>
          <w:lang w:val="en-US" w:eastAsia="zh-CN" w:bidi="ar-SA"/>
        </w:rPr>
        <w:t>）。</w:t>
      </w:r>
    </w:p>
    <w:p w14:paraId="2231DBFB">
      <w:pPr>
        <w:jc w:val="both"/>
        <w:rPr>
          <w:rFonts w:hint="eastAsia" w:ascii="Times New Roman" w:hAnsi="Times New Roman" w:eastAsia="宋体" w:cs="Times New Roman"/>
          <w:sz w:val="24"/>
          <w:szCs w:val="32"/>
        </w:rPr>
      </w:pPr>
      <w:r>
        <w:drawing>
          <wp:inline distT="0" distB="0" distL="114300" distR="114300">
            <wp:extent cx="5272405" cy="2802890"/>
            <wp:effectExtent l="0" t="0" r="4445" b="6985"/>
            <wp:docPr id="4"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4"/>
              </a:graphicData>
            </a:graphic>
          </wp:inline>
        </w:drawing>
      </w:r>
    </w:p>
    <w:p w14:paraId="03C59F71">
      <w:pPr>
        <w:jc w:val="both"/>
        <w:rPr>
          <w:rFonts w:hint="eastAsia" w:ascii="Times New Roman" w:hAnsi="Times New Roman" w:eastAsia="宋体" w:cs="Times New Roman"/>
          <w:sz w:val="24"/>
          <w:szCs w:val="32"/>
        </w:rPr>
      </w:pPr>
      <w:r>
        <w:rPr>
          <w:rFonts w:hint="eastAsia" w:ascii="Times New Roman" w:hAnsi="Times New Roman" w:eastAsia="宋体" w:cs="Times New Roman"/>
          <w:sz w:val="24"/>
          <w:szCs w:val="32"/>
          <w:lang w:val="en-US" w:eastAsia="zh-CN"/>
        </w:rPr>
        <w:t xml:space="preserve">Figure 1 </w:t>
      </w:r>
      <w:r>
        <w:rPr>
          <w:rFonts w:hint="eastAsia" w:ascii="Times New Roman" w:hAnsi="Times New Roman" w:eastAsia="宋体" w:cs="Times New Roman"/>
          <w:sz w:val="24"/>
          <w:szCs w:val="32"/>
        </w:rPr>
        <w:t>Age-specific incidence and mortality of colorectal cancer in Suqian City from 2018 to 2023</w:t>
      </w:r>
    </w:p>
    <w:p w14:paraId="1B628566">
      <w:pPr>
        <w:jc w:val="center"/>
        <w:rPr>
          <w:rFonts w:hint="default" w:ascii="Times New Roman" w:hAnsi="Times New Roman" w:eastAsia="宋体" w:cs="Times New Roman"/>
          <w:sz w:val="24"/>
          <w:szCs w:val="32"/>
          <w:lang w:val="en-US" w:eastAsia="zh-CN"/>
        </w:rPr>
      </w:pPr>
    </w:p>
    <w:p w14:paraId="4534195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楷体" w:hAnsi="楷体" w:eastAsia="楷体" w:cs="楷体"/>
          <w:kern w:val="0"/>
          <w:sz w:val="24"/>
          <w:szCs w:val="20"/>
          <w:lang w:val="en-US" w:eastAsia="zh-CN" w:bidi="ar-SA"/>
        </w:rPr>
      </w:pPr>
      <w:r>
        <w:rPr>
          <w:rFonts w:hint="eastAsia" w:ascii="楷体" w:hAnsi="楷体" w:eastAsia="楷体" w:cs="楷体"/>
          <w:kern w:val="0"/>
          <w:sz w:val="24"/>
          <w:szCs w:val="20"/>
          <w:lang w:val="en-US" w:eastAsia="zh-CN" w:bidi="ar-SA"/>
        </w:rPr>
        <w:t>2.3 2018—2023年宿迁市结直肠癌发病率及其变化趋势</w:t>
      </w:r>
    </w:p>
    <w:p w14:paraId="64A33B3C">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2018—2023年宿迁市结直肠癌发病率和中标发病率均呈上升趋势，AAPC分别为7.52%和3.57%，P值均小于0.05。男性和女性发病率都呈现上升趋势，AAPC分别为7.83%和7.07%，P值均小于0.05。男性和女性中标发病率同样呈现上升趋势，AAPC分别为3.18%和1.79%，但无统计学意义（</w:t>
      </w:r>
      <w:r>
        <w:rPr>
          <w:rFonts w:hint="eastAsia" w:ascii="Times New Roman" w:hAnsi="Times New Roman" w:eastAsia="宋体" w:cs="Times New Roman"/>
          <w:i/>
          <w:iCs/>
          <w:kern w:val="0"/>
          <w:sz w:val="24"/>
          <w:szCs w:val="20"/>
          <w:lang w:val="en-US" w:eastAsia="zh-CN" w:bidi="ar-SA"/>
        </w:rPr>
        <w:t>P</w:t>
      </w:r>
      <w:r>
        <w:rPr>
          <w:rFonts w:hint="eastAsia" w:ascii="Times New Roman" w:hAnsi="Times New Roman" w:eastAsia="宋体" w:cs="Times New Roman"/>
          <w:kern w:val="0"/>
          <w:sz w:val="24"/>
          <w:szCs w:val="20"/>
          <w:lang w:val="en-US" w:eastAsia="zh-CN" w:bidi="ar-SA"/>
        </w:rPr>
        <w:t>&gt;0.05）（Table3）。分年龄组结果显示，45~54、75~84及85岁及以上年龄组结直肠癌发病率也均呈上升趋势（</w:t>
      </w:r>
      <w:r>
        <w:rPr>
          <w:rFonts w:hint="eastAsia" w:ascii="Times New Roman" w:hAnsi="Times New Roman" w:eastAsia="宋体" w:cs="Times New Roman"/>
          <w:i/>
          <w:iCs/>
          <w:kern w:val="0"/>
          <w:sz w:val="24"/>
          <w:szCs w:val="20"/>
          <w:lang w:val="en-US" w:eastAsia="zh-CN" w:bidi="ar-SA"/>
        </w:rPr>
        <w:t>P</w:t>
      </w:r>
      <w:r>
        <w:rPr>
          <w:rFonts w:hint="eastAsia" w:ascii="Times New Roman" w:hAnsi="Times New Roman" w:eastAsia="宋体" w:cs="Times New Roman"/>
          <w:kern w:val="0"/>
          <w:sz w:val="24"/>
          <w:szCs w:val="20"/>
          <w:lang w:val="en-US" w:eastAsia="zh-CN" w:bidi="ar-SA"/>
        </w:rPr>
        <w:t>＜0.05）（Table4）。</w:t>
      </w:r>
    </w:p>
    <w:p w14:paraId="226E90FC">
      <w:pPr>
        <w:jc w:val="both"/>
        <w:rPr>
          <w:rFonts w:hint="eastAsia" w:ascii="Times New Roman" w:hAnsi="Times New Roman" w:eastAsia="宋体" w:cs="Times New Roman"/>
          <w:sz w:val="24"/>
          <w:szCs w:val="32"/>
        </w:rPr>
      </w:pPr>
      <w:r>
        <w:rPr>
          <w:rFonts w:hint="eastAsia" w:ascii="Times New Roman" w:hAnsi="Times New Roman" w:eastAsia="宋体" w:cs="Times New Roman"/>
          <w:sz w:val="24"/>
          <w:szCs w:val="32"/>
          <w:lang w:val="en-US" w:eastAsia="zh-CN"/>
        </w:rPr>
        <w:t>Table</w:t>
      </w:r>
      <w:r>
        <w:rPr>
          <w:rFonts w:hint="eastAsia" w:ascii="Times New Roman" w:hAnsi="Times New Roman" w:eastAsia="宋体" w:cs="Times New Roman"/>
          <w:sz w:val="24"/>
          <w:szCs w:val="32"/>
        </w:rPr>
        <w:t xml:space="preserve"> </w:t>
      </w:r>
      <w:r>
        <w:rPr>
          <w:rFonts w:hint="eastAsia" w:ascii="Times New Roman" w:hAnsi="Times New Roman" w:eastAsia="宋体" w:cs="Times New Roman"/>
          <w:sz w:val="24"/>
          <w:szCs w:val="32"/>
          <w:lang w:val="en-US" w:eastAsia="zh-CN"/>
        </w:rPr>
        <w:t>3</w:t>
      </w:r>
      <w:r>
        <w:rPr>
          <w:rFonts w:hint="eastAsia" w:ascii="Times New Roman" w:hAnsi="Times New Roman" w:eastAsia="宋体" w:cs="Times New Roman"/>
          <w:sz w:val="24"/>
          <w:szCs w:val="32"/>
        </w:rPr>
        <w:t xml:space="preserve"> Incidence trends of colorectal cancers in </w:t>
      </w:r>
      <w:r>
        <w:rPr>
          <w:rFonts w:hint="eastAsia" w:ascii="Times New Roman" w:hAnsi="Times New Roman" w:eastAsia="宋体" w:cs="Times New Roman"/>
          <w:sz w:val="24"/>
          <w:szCs w:val="32"/>
          <w:lang w:val="en-US" w:eastAsia="zh-CN"/>
        </w:rPr>
        <w:t xml:space="preserve">Suqian </w:t>
      </w:r>
      <w:r>
        <w:rPr>
          <w:rFonts w:hint="eastAsia" w:ascii="Times New Roman" w:hAnsi="Times New Roman" w:eastAsia="宋体" w:cs="Times New Roman"/>
          <w:sz w:val="24"/>
          <w:szCs w:val="32"/>
        </w:rPr>
        <w:t>City from 201</w:t>
      </w:r>
      <w:r>
        <w:rPr>
          <w:rFonts w:hint="eastAsia" w:ascii="Times New Roman" w:hAnsi="Times New Roman" w:eastAsia="宋体" w:cs="Times New Roman"/>
          <w:sz w:val="24"/>
          <w:szCs w:val="32"/>
          <w:lang w:val="en-US" w:eastAsia="zh-CN"/>
        </w:rPr>
        <w:t>8</w:t>
      </w:r>
      <w:r>
        <w:rPr>
          <w:rFonts w:hint="eastAsia" w:ascii="Times New Roman" w:hAnsi="Times New Roman" w:eastAsia="宋体" w:cs="Times New Roman"/>
          <w:sz w:val="24"/>
          <w:szCs w:val="32"/>
        </w:rPr>
        <w:t xml:space="preserve"> to 202</w:t>
      </w:r>
      <w:r>
        <w:rPr>
          <w:rFonts w:hint="eastAsia" w:ascii="Times New Roman" w:hAnsi="Times New Roman" w:eastAsia="宋体" w:cs="Times New Roman"/>
          <w:sz w:val="24"/>
          <w:szCs w:val="32"/>
          <w:lang w:val="en-US" w:eastAsia="zh-CN"/>
        </w:rPr>
        <w:t>3</w:t>
      </w:r>
      <w:r>
        <w:rPr>
          <w:rFonts w:hint="eastAsia" w:ascii="Times New Roman" w:hAnsi="Times New Roman" w:eastAsia="宋体" w:cs="Times New Roman"/>
          <w:sz w:val="24"/>
          <w:szCs w:val="32"/>
        </w:rPr>
        <w:t>（1/10</w:t>
      </w:r>
      <w:r>
        <w:rPr>
          <w:rFonts w:hint="eastAsia" w:ascii="Times New Roman" w:hAnsi="Times New Roman" w:eastAsia="宋体" w:cs="Times New Roman"/>
          <w:sz w:val="24"/>
          <w:szCs w:val="32"/>
          <w:vertAlign w:val="superscript"/>
        </w:rPr>
        <w:t>5</w:t>
      </w:r>
      <w:r>
        <w:rPr>
          <w:rFonts w:hint="eastAsia" w:ascii="Times New Roman" w:hAnsi="Times New Roman" w:eastAsia="宋体" w:cs="Times New Roman"/>
          <w:sz w:val="24"/>
          <w:szCs w:val="32"/>
        </w:rPr>
        <w:t>）</w:t>
      </w:r>
    </w:p>
    <w:tbl>
      <w:tblPr>
        <w:tblStyle w:val="2"/>
        <w:tblW w:w="84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40" w:type="dxa"/>
          <w:left w:w="64" w:type="dxa"/>
          <w:bottom w:w="40" w:type="dxa"/>
          <w:right w:w="64" w:type="dxa"/>
        </w:tblCellMar>
      </w:tblPr>
      <w:tblGrid>
        <w:gridCol w:w="1468"/>
        <w:gridCol w:w="1206"/>
        <w:gridCol w:w="1090"/>
        <w:gridCol w:w="1206"/>
        <w:gridCol w:w="1090"/>
        <w:gridCol w:w="1206"/>
        <w:gridCol w:w="1166"/>
      </w:tblGrid>
      <w:tr w14:paraId="227658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tblHeader/>
          <w:jc w:val="center"/>
        </w:trPr>
        <w:tc>
          <w:tcPr>
            <w:tcW w:w="1468" w:type="dxa"/>
            <w:vMerge w:val="restart"/>
            <w:tcBorders>
              <w:top w:val="single" w:color="auto" w:sz="4" w:space="0"/>
              <w:left w:val="nil"/>
              <w:right w:val="nil"/>
            </w:tcBorders>
            <w:shd w:val="clear" w:color="auto" w:fill="auto"/>
            <w:noWrap/>
            <w:vAlign w:val="center"/>
          </w:tcPr>
          <w:p w14:paraId="5513126A">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Year</w:t>
            </w:r>
          </w:p>
        </w:tc>
        <w:tc>
          <w:tcPr>
            <w:tcW w:w="1090" w:type="dxa"/>
            <w:gridSpan w:val="2"/>
            <w:tcBorders>
              <w:top w:val="single" w:color="auto" w:sz="4" w:space="0"/>
              <w:left w:val="nil"/>
              <w:bottom w:val="nil"/>
              <w:right w:val="nil"/>
            </w:tcBorders>
            <w:shd w:val="clear" w:color="auto" w:fill="auto"/>
            <w:noWrap/>
            <w:vAlign w:val="center"/>
          </w:tcPr>
          <w:p w14:paraId="1644AA23">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Both</w:t>
            </w:r>
          </w:p>
        </w:tc>
        <w:tc>
          <w:tcPr>
            <w:tcW w:w="1090" w:type="dxa"/>
            <w:gridSpan w:val="2"/>
            <w:tcBorders>
              <w:top w:val="single" w:color="auto" w:sz="4" w:space="0"/>
              <w:left w:val="nil"/>
              <w:bottom w:val="nil"/>
              <w:right w:val="nil"/>
            </w:tcBorders>
            <w:shd w:val="clear" w:color="auto" w:fill="auto"/>
            <w:noWrap/>
            <w:vAlign w:val="center"/>
          </w:tcPr>
          <w:p w14:paraId="576D17A7">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default" w:ascii="Times New Roman" w:hAnsi="Times New Roman" w:eastAsia="宋体" w:cs="Times New Roman"/>
                <w:b w:val="0"/>
                <w:bCs/>
                <w:i w:val="0"/>
                <w:iCs w:val="0"/>
                <w:color w:val="000000"/>
                <w:kern w:val="0"/>
                <w:sz w:val="20"/>
                <w:szCs w:val="20"/>
                <w:u w:val="none"/>
                <w:lang w:val="en-US" w:eastAsia="zh-CN" w:bidi="ar"/>
              </w:rPr>
              <w:t>Male</w:t>
            </w:r>
          </w:p>
        </w:tc>
        <w:tc>
          <w:tcPr>
            <w:tcW w:w="1166" w:type="dxa"/>
            <w:gridSpan w:val="2"/>
            <w:tcBorders>
              <w:top w:val="single" w:color="auto" w:sz="4" w:space="0"/>
              <w:left w:val="nil"/>
              <w:bottom w:val="nil"/>
              <w:right w:val="nil"/>
            </w:tcBorders>
            <w:shd w:val="clear" w:color="auto" w:fill="auto"/>
            <w:noWrap/>
            <w:vAlign w:val="center"/>
          </w:tcPr>
          <w:p w14:paraId="1639F7FE">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default" w:ascii="Times New Roman" w:hAnsi="Times New Roman" w:eastAsia="宋体" w:cs="Times New Roman"/>
                <w:b w:val="0"/>
                <w:bCs/>
                <w:i w:val="0"/>
                <w:iCs w:val="0"/>
                <w:color w:val="000000"/>
                <w:kern w:val="0"/>
                <w:sz w:val="20"/>
                <w:szCs w:val="20"/>
                <w:u w:val="none"/>
                <w:lang w:val="en-US" w:eastAsia="zh-CN" w:bidi="ar"/>
              </w:rPr>
              <w:t>Female</w:t>
            </w:r>
          </w:p>
        </w:tc>
      </w:tr>
      <w:tr w14:paraId="42907E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tblHeader/>
          <w:jc w:val="center"/>
        </w:trPr>
        <w:tc>
          <w:tcPr>
            <w:tcW w:w="1468" w:type="dxa"/>
            <w:vMerge w:val="continue"/>
            <w:tcBorders>
              <w:left w:val="nil"/>
              <w:bottom w:val="single" w:color="auto" w:sz="4" w:space="0"/>
              <w:right w:val="nil"/>
            </w:tcBorders>
            <w:shd w:val="clear" w:color="auto" w:fill="auto"/>
            <w:noWrap/>
            <w:vAlign w:val="center"/>
          </w:tcPr>
          <w:p w14:paraId="49D5C19C">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p>
        </w:tc>
        <w:tc>
          <w:tcPr>
            <w:tcW w:w="1206" w:type="dxa"/>
            <w:tcBorders>
              <w:top w:val="nil"/>
              <w:left w:val="nil"/>
              <w:bottom w:val="single" w:color="auto" w:sz="4" w:space="0"/>
              <w:right w:val="nil"/>
            </w:tcBorders>
            <w:shd w:val="clear" w:color="auto" w:fill="auto"/>
            <w:noWrap/>
            <w:vAlign w:val="center"/>
          </w:tcPr>
          <w:p w14:paraId="24FE1235">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Crude</w:t>
            </w:r>
          </w:p>
          <w:p w14:paraId="5D71BC21">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incidence</w:t>
            </w:r>
          </w:p>
        </w:tc>
        <w:tc>
          <w:tcPr>
            <w:tcW w:w="1090" w:type="dxa"/>
            <w:tcBorders>
              <w:top w:val="nil"/>
              <w:left w:val="nil"/>
              <w:bottom w:val="single" w:color="auto" w:sz="4" w:space="0"/>
              <w:right w:val="nil"/>
            </w:tcBorders>
            <w:shd w:val="clear" w:color="auto" w:fill="auto"/>
            <w:noWrap/>
            <w:vAlign w:val="center"/>
          </w:tcPr>
          <w:p w14:paraId="649D03EC">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ASIRC</w:t>
            </w:r>
          </w:p>
        </w:tc>
        <w:tc>
          <w:tcPr>
            <w:tcW w:w="1206" w:type="dxa"/>
            <w:tcBorders>
              <w:top w:val="nil"/>
              <w:left w:val="nil"/>
              <w:bottom w:val="single" w:color="auto" w:sz="4" w:space="0"/>
              <w:right w:val="nil"/>
            </w:tcBorders>
            <w:shd w:val="clear" w:color="auto" w:fill="auto"/>
            <w:noWrap/>
            <w:vAlign w:val="center"/>
          </w:tcPr>
          <w:p w14:paraId="64719F72">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Crude</w:t>
            </w:r>
          </w:p>
          <w:p w14:paraId="263633B3">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incidence</w:t>
            </w:r>
          </w:p>
        </w:tc>
        <w:tc>
          <w:tcPr>
            <w:tcW w:w="1090" w:type="dxa"/>
            <w:tcBorders>
              <w:top w:val="nil"/>
              <w:left w:val="nil"/>
              <w:bottom w:val="single" w:color="auto" w:sz="4" w:space="0"/>
              <w:right w:val="nil"/>
            </w:tcBorders>
            <w:shd w:val="clear" w:color="auto" w:fill="auto"/>
            <w:noWrap/>
            <w:vAlign w:val="center"/>
          </w:tcPr>
          <w:p w14:paraId="3C4799E4">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ASIRC</w:t>
            </w:r>
          </w:p>
        </w:tc>
        <w:tc>
          <w:tcPr>
            <w:tcW w:w="1206" w:type="dxa"/>
            <w:tcBorders>
              <w:top w:val="nil"/>
              <w:left w:val="nil"/>
              <w:bottom w:val="single" w:color="auto" w:sz="4" w:space="0"/>
              <w:right w:val="nil"/>
            </w:tcBorders>
            <w:shd w:val="clear" w:color="auto" w:fill="auto"/>
            <w:noWrap/>
            <w:vAlign w:val="center"/>
          </w:tcPr>
          <w:p w14:paraId="6149B4E1">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Crude</w:t>
            </w:r>
          </w:p>
          <w:p w14:paraId="328B1209">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incidence</w:t>
            </w:r>
          </w:p>
        </w:tc>
        <w:tc>
          <w:tcPr>
            <w:tcW w:w="1166" w:type="dxa"/>
            <w:tcBorders>
              <w:top w:val="nil"/>
              <w:left w:val="nil"/>
              <w:bottom w:val="single" w:color="auto" w:sz="4" w:space="0"/>
              <w:right w:val="nil"/>
            </w:tcBorders>
            <w:shd w:val="clear" w:color="auto" w:fill="auto"/>
            <w:noWrap/>
            <w:vAlign w:val="center"/>
          </w:tcPr>
          <w:p w14:paraId="0B69E7E1">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ASIRC</w:t>
            </w:r>
          </w:p>
        </w:tc>
      </w:tr>
      <w:tr w14:paraId="587860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single" w:color="auto" w:sz="4" w:space="0"/>
              <w:left w:val="nil"/>
              <w:bottom w:val="nil"/>
              <w:right w:val="nil"/>
            </w:tcBorders>
            <w:shd w:val="clear" w:color="auto" w:fill="auto"/>
            <w:noWrap/>
            <w:vAlign w:val="center"/>
          </w:tcPr>
          <w:p w14:paraId="2F1FD973">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2018</w:t>
            </w:r>
          </w:p>
        </w:tc>
        <w:tc>
          <w:tcPr>
            <w:tcW w:w="1206" w:type="dxa"/>
            <w:tcBorders>
              <w:top w:val="single" w:color="auto" w:sz="4" w:space="0"/>
              <w:left w:val="nil"/>
              <w:bottom w:val="nil"/>
              <w:right w:val="nil"/>
            </w:tcBorders>
            <w:shd w:val="clear" w:color="auto" w:fill="auto"/>
            <w:noWrap/>
            <w:vAlign w:val="center"/>
          </w:tcPr>
          <w:p w14:paraId="141FD14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15.29</w:t>
            </w:r>
          </w:p>
        </w:tc>
        <w:tc>
          <w:tcPr>
            <w:tcW w:w="1090" w:type="dxa"/>
            <w:tcBorders>
              <w:top w:val="single" w:color="auto" w:sz="4" w:space="0"/>
              <w:left w:val="nil"/>
              <w:bottom w:val="nil"/>
              <w:right w:val="nil"/>
            </w:tcBorders>
            <w:shd w:val="clear" w:color="auto" w:fill="auto"/>
            <w:noWrap/>
            <w:vAlign w:val="center"/>
          </w:tcPr>
          <w:p w14:paraId="2ACB1F8D">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10.49</w:t>
            </w:r>
          </w:p>
        </w:tc>
        <w:tc>
          <w:tcPr>
            <w:tcW w:w="1206" w:type="dxa"/>
            <w:tcBorders>
              <w:top w:val="single" w:color="auto" w:sz="4" w:space="0"/>
              <w:left w:val="nil"/>
              <w:bottom w:val="nil"/>
              <w:right w:val="nil"/>
            </w:tcBorders>
            <w:shd w:val="clear" w:color="auto" w:fill="auto"/>
            <w:noWrap/>
            <w:vAlign w:val="center"/>
          </w:tcPr>
          <w:p w14:paraId="19D1697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18.00</w:t>
            </w:r>
          </w:p>
        </w:tc>
        <w:tc>
          <w:tcPr>
            <w:tcW w:w="1090" w:type="dxa"/>
            <w:tcBorders>
              <w:top w:val="single" w:color="auto" w:sz="4" w:space="0"/>
              <w:left w:val="nil"/>
              <w:bottom w:val="nil"/>
              <w:right w:val="nil"/>
            </w:tcBorders>
            <w:shd w:val="clear" w:color="auto" w:fill="auto"/>
            <w:noWrap/>
            <w:vAlign w:val="center"/>
          </w:tcPr>
          <w:p w14:paraId="7629E3B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12.97</w:t>
            </w:r>
          </w:p>
        </w:tc>
        <w:tc>
          <w:tcPr>
            <w:tcW w:w="1206" w:type="dxa"/>
            <w:tcBorders>
              <w:top w:val="single" w:color="auto" w:sz="4" w:space="0"/>
              <w:left w:val="nil"/>
              <w:bottom w:val="nil"/>
              <w:right w:val="nil"/>
            </w:tcBorders>
            <w:shd w:val="clear" w:color="auto" w:fill="auto"/>
            <w:noWrap/>
            <w:vAlign w:val="center"/>
          </w:tcPr>
          <w:p w14:paraId="65DECE6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12.37</w:t>
            </w:r>
          </w:p>
        </w:tc>
        <w:tc>
          <w:tcPr>
            <w:tcW w:w="1166" w:type="dxa"/>
            <w:tcBorders>
              <w:top w:val="single" w:color="auto" w:sz="4" w:space="0"/>
              <w:left w:val="nil"/>
              <w:bottom w:val="nil"/>
              <w:right w:val="nil"/>
            </w:tcBorders>
            <w:shd w:val="clear" w:color="auto" w:fill="auto"/>
            <w:noWrap/>
            <w:vAlign w:val="center"/>
          </w:tcPr>
          <w:p w14:paraId="233C7AD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8.03</w:t>
            </w:r>
          </w:p>
        </w:tc>
      </w:tr>
      <w:tr w14:paraId="138DBB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03590AB3">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2019</w:t>
            </w:r>
          </w:p>
        </w:tc>
        <w:tc>
          <w:tcPr>
            <w:tcW w:w="1206" w:type="dxa"/>
            <w:tcBorders>
              <w:top w:val="nil"/>
              <w:left w:val="nil"/>
              <w:bottom w:val="nil"/>
              <w:right w:val="nil"/>
            </w:tcBorders>
            <w:shd w:val="clear" w:color="auto" w:fill="auto"/>
            <w:noWrap/>
            <w:vAlign w:val="center"/>
          </w:tcPr>
          <w:p w14:paraId="7B5F116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17.91</w:t>
            </w:r>
          </w:p>
        </w:tc>
        <w:tc>
          <w:tcPr>
            <w:tcW w:w="1090" w:type="dxa"/>
            <w:tcBorders>
              <w:top w:val="nil"/>
              <w:left w:val="nil"/>
              <w:bottom w:val="nil"/>
              <w:right w:val="nil"/>
            </w:tcBorders>
            <w:shd w:val="clear" w:color="auto" w:fill="auto"/>
            <w:noWrap/>
            <w:vAlign w:val="center"/>
          </w:tcPr>
          <w:p w14:paraId="22CFFA5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12.17</w:t>
            </w:r>
          </w:p>
        </w:tc>
        <w:tc>
          <w:tcPr>
            <w:tcW w:w="1206" w:type="dxa"/>
            <w:tcBorders>
              <w:top w:val="nil"/>
              <w:left w:val="nil"/>
              <w:bottom w:val="nil"/>
              <w:right w:val="nil"/>
            </w:tcBorders>
            <w:shd w:val="clear" w:color="auto" w:fill="auto"/>
            <w:noWrap/>
            <w:vAlign w:val="center"/>
          </w:tcPr>
          <w:p w14:paraId="1FFA542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20.28</w:t>
            </w:r>
          </w:p>
        </w:tc>
        <w:tc>
          <w:tcPr>
            <w:tcW w:w="1090" w:type="dxa"/>
            <w:tcBorders>
              <w:top w:val="nil"/>
              <w:left w:val="nil"/>
              <w:bottom w:val="nil"/>
              <w:right w:val="nil"/>
            </w:tcBorders>
            <w:shd w:val="clear" w:color="auto" w:fill="auto"/>
            <w:noWrap/>
            <w:vAlign w:val="center"/>
          </w:tcPr>
          <w:p w14:paraId="6A83DE5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14.46</w:t>
            </w:r>
          </w:p>
        </w:tc>
        <w:tc>
          <w:tcPr>
            <w:tcW w:w="1206" w:type="dxa"/>
            <w:tcBorders>
              <w:top w:val="nil"/>
              <w:left w:val="nil"/>
              <w:bottom w:val="nil"/>
              <w:right w:val="nil"/>
            </w:tcBorders>
            <w:shd w:val="clear" w:color="auto" w:fill="auto"/>
            <w:noWrap/>
            <w:vAlign w:val="center"/>
          </w:tcPr>
          <w:p w14:paraId="00E63A0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15.36</w:t>
            </w:r>
          </w:p>
        </w:tc>
        <w:tc>
          <w:tcPr>
            <w:tcW w:w="1166" w:type="dxa"/>
            <w:tcBorders>
              <w:top w:val="nil"/>
              <w:left w:val="nil"/>
              <w:bottom w:val="nil"/>
              <w:right w:val="nil"/>
            </w:tcBorders>
            <w:shd w:val="clear" w:color="auto" w:fill="auto"/>
            <w:noWrap/>
            <w:vAlign w:val="center"/>
          </w:tcPr>
          <w:p w14:paraId="226832A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9.86</w:t>
            </w:r>
          </w:p>
        </w:tc>
      </w:tr>
      <w:tr w14:paraId="0FD188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67AF008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2020</w:t>
            </w:r>
          </w:p>
        </w:tc>
        <w:tc>
          <w:tcPr>
            <w:tcW w:w="1206" w:type="dxa"/>
            <w:tcBorders>
              <w:top w:val="nil"/>
              <w:left w:val="nil"/>
              <w:bottom w:val="nil"/>
              <w:right w:val="nil"/>
            </w:tcBorders>
            <w:shd w:val="clear" w:color="auto" w:fill="auto"/>
            <w:noWrap/>
            <w:vAlign w:val="center"/>
          </w:tcPr>
          <w:p w14:paraId="3D6784D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17.82</w:t>
            </w:r>
          </w:p>
        </w:tc>
        <w:tc>
          <w:tcPr>
            <w:tcW w:w="1090" w:type="dxa"/>
            <w:tcBorders>
              <w:top w:val="nil"/>
              <w:left w:val="nil"/>
              <w:bottom w:val="nil"/>
              <w:right w:val="nil"/>
            </w:tcBorders>
            <w:shd w:val="clear" w:color="auto" w:fill="auto"/>
            <w:noWrap/>
            <w:vAlign w:val="center"/>
          </w:tcPr>
          <w:p w14:paraId="2C2397A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11.42</w:t>
            </w:r>
          </w:p>
        </w:tc>
        <w:tc>
          <w:tcPr>
            <w:tcW w:w="1206" w:type="dxa"/>
            <w:tcBorders>
              <w:top w:val="nil"/>
              <w:left w:val="nil"/>
              <w:bottom w:val="nil"/>
              <w:right w:val="nil"/>
            </w:tcBorders>
            <w:shd w:val="clear" w:color="auto" w:fill="auto"/>
            <w:noWrap/>
            <w:vAlign w:val="center"/>
          </w:tcPr>
          <w:p w14:paraId="27C9AEF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20.19</w:t>
            </w:r>
          </w:p>
        </w:tc>
        <w:tc>
          <w:tcPr>
            <w:tcW w:w="1090" w:type="dxa"/>
            <w:tcBorders>
              <w:top w:val="nil"/>
              <w:left w:val="nil"/>
              <w:bottom w:val="nil"/>
              <w:right w:val="nil"/>
            </w:tcBorders>
            <w:shd w:val="clear" w:color="auto" w:fill="auto"/>
            <w:noWrap/>
            <w:vAlign w:val="center"/>
          </w:tcPr>
          <w:p w14:paraId="1A6FABFE">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13.39</w:t>
            </w:r>
          </w:p>
        </w:tc>
        <w:tc>
          <w:tcPr>
            <w:tcW w:w="1206" w:type="dxa"/>
            <w:tcBorders>
              <w:top w:val="nil"/>
              <w:left w:val="nil"/>
              <w:bottom w:val="nil"/>
              <w:right w:val="nil"/>
            </w:tcBorders>
            <w:shd w:val="clear" w:color="auto" w:fill="auto"/>
            <w:noWrap/>
            <w:vAlign w:val="center"/>
          </w:tcPr>
          <w:p w14:paraId="7E1D02A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15.26</w:t>
            </w:r>
          </w:p>
        </w:tc>
        <w:tc>
          <w:tcPr>
            <w:tcW w:w="1166" w:type="dxa"/>
            <w:tcBorders>
              <w:top w:val="nil"/>
              <w:left w:val="nil"/>
              <w:bottom w:val="nil"/>
              <w:right w:val="nil"/>
            </w:tcBorders>
            <w:shd w:val="clear" w:color="auto" w:fill="auto"/>
            <w:noWrap/>
            <w:vAlign w:val="center"/>
          </w:tcPr>
          <w:p w14:paraId="74C3EDA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9.49</w:t>
            </w:r>
          </w:p>
        </w:tc>
      </w:tr>
      <w:tr w14:paraId="485E9B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6D853A3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2021</w:t>
            </w:r>
          </w:p>
        </w:tc>
        <w:tc>
          <w:tcPr>
            <w:tcW w:w="1206" w:type="dxa"/>
            <w:tcBorders>
              <w:top w:val="nil"/>
              <w:left w:val="nil"/>
              <w:bottom w:val="nil"/>
              <w:right w:val="nil"/>
            </w:tcBorders>
            <w:shd w:val="clear" w:color="auto" w:fill="auto"/>
            <w:noWrap/>
            <w:vAlign w:val="center"/>
          </w:tcPr>
          <w:p w14:paraId="01F56FE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20.04</w:t>
            </w:r>
          </w:p>
        </w:tc>
        <w:tc>
          <w:tcPr>
            <w:tcW w:w="1090" w:type="dxa"/>
            <w:tcBorders>
              <w:top w:val="nil"/>
              <w:left w:val="nil"/>
              <w:bottom w:val="nil"/>
              <w:right w:val="nil"/>
            </w:tcBorders>
            <w:shd w:val="clear" w:color="auto" w:fill="auto"/>
            <w:noWrap/>
            <w:vAlign w:val="center"/>
          </w:tcPr>
          <w:p w14:paraId="45F4CBF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12.37</w:t>
            </w:r>
          </w:p>
        </w:tc>
        <w:tc>
          <w:tcPr>
            <w:tcW w:w="1206" w:type="dxa"/>
            <w:tcBorders>
              <w:top w:val="nil"/>
              <w:left w:val="nil"/>
              <w:bottom w:val="nil"/>
              <w:right w:val="nil"/>
            </w:tcBorders>
            <w:shd w:val="clear" w:color="auto" w:fill="auto"/>
            <w:noWrap/>
            <w:vAlign w:val="center"/>
          </w:tcPr>
          <w:p w14:paraId="3B1C3B5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23.29</w:t>
            </w:r>
          </w:p>
        </w:tc>
        <w:tc>
          <w:tcPr>
            <w:tcW w:w="1090" w:type="dxa"/>
            <w:tcBorders>
              <w:top w:val="nil"/>
              <w:left w:val="nil"/>
              <w:bottom w:val="nil"/>
              <w:right w:val="nil"/>
            </w:tcBorders>
            <w:shd w:val="clear" w:color="auto" w:fill="auto"/>
            <w:noWrap/>
            <w:vAlign w:val="center"/>
          </w:tcPr>
          <w:p w14:paraId="10FC11E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15.04</w:t>
            </w:r>
          </w:p>
        </w:tc>
        <w:tc>
          <w:tcPr>
            <w:tcW w:w="1206" w:type="dxa"/>
            <w:tcBorders>
              <w:top w:val="nil"/>
              <w:left w:val="nil"/>
              <w:bottom w:val="nil"/>
              <w:right w:val="nil"/>
            </w:tcBorders>
            <w:shd w:val="clear" w:color="auto" w:fill="auto"/>
            <w:noWrap/>
            <w:vAlign w:val="center"/>
          </w:tcPr>
          <w:p w14:paraId="57E1642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16.53</w:t>
            </w:r>
          </w:p>
        </w:tc>
        <w:tc>
          <w:tcPr>
            <w:tcW w:w="1166" w:type="dxa"/>
            <w:tcBorders>
              <w:top w:val="nil"/>
              <w:left w:val="nil"/>
              <w:bottom w:val="nil"/>
              <w:right w:val="nil"/>
            </w:tcBorders>
            <w:shd w:val="clear" w:color="auto" w:fill="auto"/>
            <w:noWrap/>
            <w:vAlign w:val="center"/>
          </w:tcPr>
          <w:p w14:paraId="17D1C12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9.77</w:t>
            </w:r>
          </w:p>
        </w:tc>
      </w:tr>
      <w:tr w14:paraId="651789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32E9A3A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2022</w:t>
            </w:r>
          </w:p>
        </w:tc>
        <w:tc>
          <w:tcPr>
            <w:tcW w:w="1206" w:type="dxa"/>
            <w:tcBorders>
              <w:top w:val="nil"/>
              <w:left w:val="nil"/>
              <w:bottom w:val="nil"/>
              <w:right w:val="nil"/>
            </w:tcBorders>
            <w:shd w:val="clear" w:color="auto" w:fill="auto"/>
            <w:noWrap/>
            <w:vAlign w:val="center"/>
          </w:tcPr>
          <w:p w14:paraId="381F242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20.33</w:t>
            </w:r>
          </w:p>
        </w:tc>
        <w:tc>
          <w:tcPr>
            <w:tcW w:w="1090" w:type="dxa"/>
            <w:tcBorders>
              <w:top w:val="nil"/>
              <w:left w:val="nil"/>
              <w:bottom w:val="nil"/>
              <w:right w:val="nil"/>
            </w:tcBorders>
            <w:shd w:val="clear" w:color="auto" w:fill="auto"/>
            <w:noWrap/>
            <w:vAlign w:val="center"/>
          </w:tcPr>
          <w:p w14:paraId="410153DE">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11.95</w:t>
            </w:r>
          </w:p>
        </w:tc>
        <w:tc>
          <w:tcPr>
            <w:tcW w:w="1206" w:type="dxa"/>
            <w:tcBorders>
              <w:top w:val="nil"/>
              <w:left w:val="nil"/>
              <w:bottom w:val="nil"/>
              <w:right w:val="nil"/>
            </w:tcBorders>
            <w:shd w:val="clear" w:color="auto" w:fill="auto"/>
            <w:noWrap/>
            <w:vAlign w:val="center"/>
          </w:tcPr>
          <w:p w14:paraId="456BDAA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23.56</w:t>
            </w:r>
          </w:p>
        </w:tc>
        <w:tc>
          <w:tcPr>
            <w:tcW w:w="1090" w:type="dxa"/>
            <w:tcBorders>
              <w:top w:val="nil"/>
              <w:left w:val="nil"/>
              <w:bottom w:val="nil"/>
              <w:right w:val="nil"/>
            </w:tcBorders>
            <w:shd w:val="clear" w:color="auto" w:fill="auto"/>
            <w:noWrap/>
            <w:vAlign w:val="center"/>
          </w:tcPr>
          <w:p w14:paraId="7BE6019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14.66</w:t>
            </w:r>
          </w:p>
        </w:tc>
        <w:tc>
          <w:tcPr>
            <w:tcW w:w="1206" w:type="dxa"/>
            <w:tcBorders>
              <w:top w:val="nil"/>
              <w:left w:val="nil"/>
              <w:bottom w:val="nil"/>
              <w:right w:val="nil"/>
            </w:tcBorders>
            <w:shd w:val="clear" w:color="auto" w:fill="auto"/>
            <w:noWrap/>
            <w:vAlign w:val="center"/>
          </w:tcPr>
          <w:p w14:paraId="09722DA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16.84</w:t>
            </w:r>
          </w:p>
        </w:tc>
        <w:tc>
          <w:tcPr>
            <w:tcW w:w="1166" w:type="dxa"/>
            <w:tcBorders>
              <w:top w:val="nil"/>
              <w:left w:val="nil"/>
              <w:bottom w:val="nil"/>
              <w:right w:val="nil"/>
            </w:tcBorders>
            <w:shd w:val="clear" w:color="auto" w:fill="auto"/>
            <w:noWrap/>
            <w:vAlign w:val="center"/>
          </w:tcPr>
          <w:p w14:paraId="59DB17D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9.27</w:t>
            </w:r>
          </w:p>
        </w:tc>
      </w:tr>
      <w:tr w14:paraId="1C75FE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6767BB0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2023</w:t>
            </w:r>
          </w:p>
        </w:tc>
        <w:tc>
          <w:tcPr>
            <w:tcW w:w="1206" w:type="dxa"/>
            <w:tcBorders>
              <w:top w:val="nil"/>
              <w:left w:val="nil"/>
              <w:bottom w:val="nil"/>
              <w:right w:val="nil"/>
            </w:tcBorders>
            <w:shd w:val="clear" w:color="auto" w:fill="auto"/>
            <w:noWrap/>
            <w:vAlign w:val="center"/>
          </w:tcPr>
          <w:p w14:paraId="23CA6E3E">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23.00</w:t>
            </w:r>
          </w:p>
        </w:tc>
        <w:tc>
          <w:tcPr>
            <w:tcW w:w="1090" w:type="dxa"/>
            <w:tcBorders>
              <w:top w:val="nil"/>
              <w:left w:val="nil"/>
              <w:bottom w:val="nil"/>
              <w:right w:val="nil"/>
            </w:tcBorders>
            <w:shd w:val="clear" w:color="auto" w:fill="auto"/>
            <w:noWrap/>
            <w:vAlign w:val="center"/>
          </w:tcPr>
          <w:p w14:paraId="4A62C5D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13.34</w:t>
            </w:r>
          </w:p>
        </w:tc>
        <w:tc>
          <w:tcPr>
            <w:tcW w:w="1206" w:type="dxa"/>
            <w:tcBorders>
              <w:top w:val="nil"/>
              <w:left w:val="nil"/>
              <w:bottom w:val="nil"/>
              <w:right w:val="nil"/>
            </w:tcBorders>
            <w:shd w:val="clear" w:color="auto" w:fill="auto"/>
            <w:noWrap/>
            <w:vAlign w:val="center"/>
          </w:tcPr>
          <w:p w14:paraId="502F5F8D">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27.10</w:t>
            </w:r>
          </w:p>
        </w:tc>
        <w:tc>
          <w:tcPr>
            <w:tcW w:w="1090" w:type="dxa"/>
            <w:tcBorders>
              <w:top w:val="nil"/>
              <w:left w:val="nil"/>
              <w:bottom w:val="nil"/>
              <w:right w:val="nil"/>
            </w:tcBorders>
            <w:shd w:val="clear" w:color="auto" w:fill="auto"/>
            <w:noWrap/>
            <w:vAlign w:val="center"/>
          </w:tcPr>
          <w:p w14:paraId="506890C1">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16.45</w:t>
            </w:r>
          </w:p>
        </w:tc>
        <w:tc>
          <w:tcPr>
            <w:tcW w:w="1206" w:type="dxa"/>
            <w:tcBorders>
              <w:top w:val="nil"/>
              <w:left w:val="nil"/>
              <w:bottom w:val="nil"/>
              <w:right w:val="nil"/>
            </w:tcBorders>
            <w:shd w:val="clear" w:color="auto" w:fill="auto"/>
            <w:noWrap/>
            <w:vAlign w:val="center"/>
          </w:tcPr>
          <w:p w14:paraId="7A481F5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18.58</w:t>
            </w:r>
          </w:p>
        </w:tc>
        <w:tc>
          <w:tcPr>
            <w:tcW w:w="1166" w:type="dxa"/>
            <w:tcBorders>
              <w:top w:val="nil"/>
              <w:left w:val="nil"/>
              <w:bottom w:val="nil"/>
              <w:right w:val="nil"/>
            </w:tcBorders>
            <w:shd w:val="clear" w:color="auto" w:fill="auto"/>
            <w:noWrap/>
            <w:vAlign w:val="center"/>
          </w:tcPr>
          <w:p w14:paraId="27C3878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10.25</w:t>
            </w:r>
          </w:p>
        </w:tc>
      </w:tr>
      <w:tr w14:paraId="0656098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019C583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AAPC（%）</w:t>
            </w:r>
          </w:p>
        </w:tc>
        <w:tc>
          <w:tcPr>
            <w:tcW w:w="1206" w:type="dxa"/>
            <w:tcBorders>
              <w:top w:val="nil"/>
              <w:left w:val="nil"/>
              <w:bottom w:val="nil"/>
              <w:right w:val="nil"/>
            </w:tcBorders>
            <w:shd w:val="clear" w:color="auto" w:fill="auto"/>
            <w:noWrap/>
            <w:vAlign w:val="center"/>
          </w:tcPr>
          <w:p w14:paraId="768D949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7.52</w:t>
            </w:r>
          </w:p>
        </w:tc>
        <w:tc>
          <w:tcPr>
            <w:tcW w:w="1090" w:type="dxa"/>
            <w:tcBorders>
              <w:top w:val="nil"/>
              <w:left w:val="nil"/>
              <w:bottom w:val="nil"/>
              <w:right w:val="nil"/>
            </w:tcBorders>
            <w:shd w:val="clear" w:color="auto" w:fill="auto"/>
            <w:noWrap/>
            <w:vAlign w:val="center"/>
          </w:tcPr>
          <w:p w14:paraId="5506A72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3.57</w:t>
            </w:r>
          </w:p>
        </w:tc>
        <w:tc>
          <w:tcPr>
            <w:tcW w:w="1206" w:type="dxa"/>
            <w:tcBorders>
              <w:top w:val="nil"/>
              <w:left w:val="nil"/>
              <w:bottom w:val="nil"/>
              <w:right w:val="nil"/>
            </w:tcBorders>
            <w:shd w:val="clear" w:color="auto" w:fill="auto"/>
            <w:noWrap/>
            <w:vAlign w:val="center"/>
          </w:tcPr>
          <w:p w14:paraId="1669126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7.83</w:t>
            </w:r>
          </w:p>
        </w:tc>
        <w:tc>
          <w:tcPr>
            <w:tcW w:w="1090" w:type="dxa"/>
            <w:tcBorders>
              <w:top w:val="nil"/>
              <w:left w:val="nil"/>
              <w:bottom w:val="nil"/>
              <w:right w:val="nil"/>
            </w:tcBorders>
            <w:shd w:val="clear" w:color="auto" w:fill="auto"/>
            <w:noWrap/>
            <w:vAlign w:val="center"/>
          </w:tcPr>
          <w:p w14:paraId="1AD44EE1">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3.92</w:t>
            </w:r>
          </w:p>
        </w:tc>
        <w:tc>
          <w:tcPr>
            <w:tcW w:w="1206" w:type="dxa"/>
            <w:tcBorders>
              <w:top w:val="nil"/>
              <w:left w:val="nil"/>
              <w:bottom w:val="nil"/>
              <w:right w:val="nil"/>
            </w:tcBorders>
            <w:shd w:val="clear" w:color="auto" w:fill="auto"/>
            <w:noWrap/>
            <w:vAlign w:val="center"/>
          </w:tcPr>
          <w:p w14:paraId="46F7726E">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7.07</w:t>
            </w:r>
          </w:p>
        </w:tc>
        <w:tc>
          <w:tcPr>
            <w:tcW w:w="1166" w:type="dxa"/>
            <w:tcBorders>
              <w:top w:val="nil"/>
              <w:left w:val="nil"/>
              <w:bottom w:val="nil"/>
              <w:right w:val="nil"/>
            </w:tcBorders>
            <w:shd w:val="clear" w:color="auto" w:fill="auto"/>
            <w:noWrap/>
            <w:vAlign w:val="center"/>
          </w:tcPr>
          <w:p w14:paraId="0FDD806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3.09</w:t>
            </w:r>
          </w:p>
        </w:tc>
      </w:tr>
      <w:tr w14:paraId="277FB9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366350D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95%CI（%）</w:t>
            </w:r>
          </w:p>
        </w:tc>
        <w:tc>
          <w:tcPr>
            <w:tcW w:w="1206" w:type="dxa"/>
            <w:tcBorders>
              <w:top w:val="nil"/>
              <w:left w:val="nil"/>
              <w:bottom w:val="nil"/>
              <w:right w:val="nil"/>
            </w:tcBorders>
            <w:shd w:val="clear" w:color="auto" w:fill="auto"/>
            <w:noWrap/>
            <w:vAlign w:val="center"/>
          </w:tcPr>
          <w:p w14:paraId="793D5F3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4.69~10.44</w:t>
            </w:r>
          </w:p>
        </w:tc>
        <w:tc>
          <w:tcPr>
            <w:tcW w:w="1090" w:type="dxa"/>
            <w:tcBorders>
              <w:top w:val="nil"/>
              <w:left w:val="nil"/>
              <w:bottom w:val="nil"/>
              <w:right w:val="nil"/>
            </w:tcBorders>
            <w:shd w:val="clear" w:color="auto" w:fill="auto"/>
            <w:noWrap/>
            <w:vAlign w:val="center"/>
          </w:tcPr>
          <w:p w14:paraId="2BB8C27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0.01~7.26</w:t>
            </w:r>
          </w:p>
        </w:tc>
        <w:tc>
          <w:tcPr>
            <w:tcW w:w="1206" w:type="dxa"/>
            <w:tcBorders>
              <w:top w:val="nil"/>
              <w:left w:val="nil"/>
              <w:bottom w:val="nil"/>
              <w:right w:val="nil"/>
            </w:tcBorders>
            <w:shd w:val="clear" w:color="auto" w:fill="auto"/>
            <w:noWrap/>
            <w:vAlign w:val="center"/>
          </w:tcPr>
          <w:p w14:paraId="017F8EB3">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5.08~10.65</w:t>
            </w:r>
          </w:p>
        </w:tc>
        <w:tc>
          <w:tcPr>
            <w:tcW w:w="1090" w:type="dxa"/>
            <w:tcBorders>
              <w:top w:val="nil"/>
              <w:left w:val="nil"/>
              <w:bottom w:val="nil"/>
              <w:right w:val="nil"/>
            </w:tcBorders>
            <w:shd w:val="clear" w:color="auto" w:fill="auto"/>
            <w:noWrap/>
            <w:vAlign w:val="center"/>
          </w:tcPr>
          <w:p w14:paraId="67FF09D1">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0.49~7.47</w:t>
            </w:r>
          </w:p>
        </w:tc>
        <w:tc>
          <w:tcPr>
            <w:tcW w:w="1206" w:type="dxa"/>
            <w:tcBorders>
              <w:top w:val="nil"/>
              <w:left w:val="nil"/>
              <w:bottom w:val="nil"/>
              <w:right w:val="nil"/>
            </w:tcBorders>
            <w:shd w:val="clear" w:color="auto" w:fill="auto"/>
            <w:noWrap/>
            <w:vAlign w:val="center"/>
          </w:tcPr>
          <w:p w14:paraId="5660AC4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3.18~11.11</w:t>
            </w:r>
          </w:p>
        </w:tc>
        <w:tc>
          <w:tcPr>
            <w:tcW w:w="1166" w:type="dxa"/>
            <w:tcBorders>
              <w:top w:val="nil"/>
              <w:left w:val="nil"/>
              <w:bottom w:val="nil"/>
              <w:right w:val="nil"/>
            </w:tcBorders>
            <w:shd w:val="clear" w:color="auto" w:fill="auto"/>
            <w:noWrap/>
            <w:vAlign w:val="center"/>
          </w:tcPr>
          <w:p w14:paraId="4E4295A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-1.66~8.06</w:t>
            </w:r>
          </w:p>
        </w:tc>
      </w:tr>
      <w:tr w14:paraId="11F221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477FC789">
            <w:pPr>
              <w:keepNext w:val="0"/>
              <w:keepLines w:val="0"/>
              <w:widowControl/>
              <w:suppressLineNumbers w:val="0"/>
              <w:snapToGrid w:val="0"/>
              <w:jc w:val="center"/>
              <w:textAlignment w:val="center"/>
              <w:rPr>
                <w:rFonts w:hint="eastAsia" w:ascii="Times New Roman" w:hAnsi="Times New Roman" w:eastAsia="宋体" w:cs="Times New Roman"/>
                <w:i/>
                <w:iCs/>
                <w:color w:val="000000"/>
                <w:kern w:val="0"/>
                <w:sz w:val="20"/>
                <w:szCs w:val="20"/>
                <w:u w:val="none"/>
                <w:lang w:val="en-US" w:eastAsia="zh-CN" w:bidi="ar"/>
              </w:rPr>
            </w:pPr>
            <w:r>
              <w:rPr>
                <w:rFonts w:hint="eastAsia" w:ascii="Times New Roman" w:hAnsi="Times New Roman" w:eastAsia="宋体" w:cs="Times New Roman"/>
                <w:i/>
                <w:iCs/>
                <w:color w:val="000000"/>
                <w:kern w:val="0"/>
                <w:sz w:val="20"/>
                <w:szCs w:val="20"/>
                <w:u w:val="none"/>
                <w:lang w:val="en-US" w:eastAsia="zh-CN" w:bidi="ar"/>
              </w:rPr>
              <w:t>t</w:t>
            </w:r>
          </w:p>
        </w:tc>
        <w:tc>
          <w:tcPr>
            <w:tcW w:w="1206" w:type="dxa"/>
            <w:tcBorders>
              <w:top w:val="nil"/>
              <w:left w:val="nil"/>
              <w:bottom w:val="nil"/>
              <w:right w:val="nil"/>
            </w:tcBorders>
            <w:shd w:val="clear" w:color="auto" w:fill="auto"/>
            <w:noWrap/>
            <w:vAlign w:val="center"/>
          </w:tcPr>
          <w:p w14:paraId="3480D9F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7.54</w:t>
            </w:r>
          </w:p>
        </w:tc>
        <w:tc>
          <w:tcPr>
            <w:tcW w:w="1090" w:type="dxa"/>
            <w:tcBorders>
              <w:top w:val="nil"/>
              <w:left w:val="nil"/>
              <w:bottom w:val="nil"/>
              <w:right w:val="nil"/>
            </w:tcBorders>
            <w:shd w:val="clear" w:color="auto" w:fill="auto"/>
            <w:noWrap/>
            <w:vAlign w:val="center"/>
          </w:tcPr>
          <w:p w14:paraId="3B57BC6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2.78</w:t>
            </w:r>
          </w:p>
        </w:tc>
        <w:tc>
          <w:tcPr>
            <w:tcW w:w="1206" w:type="dxa"/>
            <w:tcBorders>
              <w:top w:val="nil"/>
              <w:left w:val="nil"/>
              <w:bottom w:val="nil"/>
              <w:right w:val="nil"/>
            </w:tcBorders>
            <w:shd w:val="clear" w:color="auto" w:fill="auto"/>
            <w:noWrap/>
            <w:vAlign w:val="center"/>
          </w:tcPr>
          <w:p w14:paraId="3B9AA41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8.12</w:t>
            </w:r>
          </w:p>
        </w:tc>
        <w:tc>
          <w:tcPr>
            <w:tcW w:w="1090" w:type="dxa"/>
            <w:tcBorders>
              <w:top w:val="nil"/>
              <w:left w:val="nil"/>
              <w:bottom w:val="nil"/>
              <w:right w:val="nil"/>
            </w:tcBorders>
            <w:shd w:val="clear" w:color="auto" w:fill="auto"/>
            <w:noWrap/>
            <w:vAlign w:val="center"/>
          </w:tcPr>
          <w:p w14:paraId="28B1EB3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3.18</w:t>
            </w:r>
          </w:p>
        </w:tc>
        <w:tc>
          <w:tcPr>
            <w:tcW w:w="1206" w:type="dxa"/>
            <w:tcBorders>
              <w:top w:val="nil"/>
              <w:left w:val="nil"/>
              <w:bottom w:val="nil"/>
              <w:right w:val="nil"/>
            </w:tcBorders>
            <w:shd w:val="clear" w:color="auto" w:fill="auto"/>
            <w:noWrap/>
            <w:vAlign w:val="center"/>
          </w:tcPr>
          <w:p w14:paraId="46590A9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5.12</w:t>
            </w:r>
          </w:p>
        </w:tc>
        <w:tc>
          <w:tcPr>
            <w:tcW w:w="1166" w:type="dxa"/>
            <w:tcBorders>
              <w:top w:val="nil"/>
              <w:left w:val="nil"/>
              <w:bottom w:val="nil"/>
              <w:right w:val="nil"/>
            </w:tcBorders>
            <w:shd w:val="clear" w:color="auto" w:fill="auto"/>
            <w:noWrap/>
            <w:vAlign w:val="center"/>
          </w:tcPr>
          <w:p w14:paraId="2BBEDA5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1.79</w:t>
            </w:r>
          </w:p>
        </w:tc>
      </w:tr>
      <w:tr w14:paraId="4CAB44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single" w:color="auto" w:sz="4" w:space="0"/>
              <w:right w:val="nil"/>
            </w:tcBorders>
            <w:shd w:val="clear" w:color="auto" w:fill="auto"/>
            <w:noWrap/>
            <w:vAlign w:val="center"/>
          </w:tcPr>
          <w:p w14:paraId="158FBABE">
            <w:pPr>
              <w:keepNext w:val="0"/>
              <w:keepLines w:val="0"/>
              <w:widowControl/>
              <w:suppressLineNumbers w:val="0"/>
              <w:snapToGrid w:val="0"/>
              <w:jc w:val="center"/>
              <w:textAlignment w:val="center"/>
              <w:rPr>
                <w:rFonts w:hint="eastAsia" w:ascii="Times New Roman" w:hAnsi="Times New Roman" w:eastAsia="宋体" w:cs="Times New Roman"/>
                <w:i/>
                <w:iCs/>
                <w:color w:val="000000"/>
                <w:kern w:val="0"/>
                <w:sz w:val="20"/>
                <w:szCs w:val="20"/>
                <w:u w:val="none"/>
                <w:lang w:val="en-US" w:eastAsia="zh-CN" w:bidi="ar"/>
              </w:rPr>
            </w:pPr>
            <w:r>
              <w:rPr>
                <w:rFonts w:hint="eastAsia" w:ascii="Times New Roman" w:hAnsi="Times New Roman" w:eastAsia="宋体" w:cs="Times New Roman"/>
                <w:i/>
                <w:iCs/>
                <w:color w:val="000000"/>
                <w:kern w:val="0"/>
                <w:sz w:val="20"/>
                <w:szCs w:val="20"/>
                <w:u w:val="none"/>
                <w:lang w:val="en-US" w:eastAsia="zh-CN" w:bidi="ar"/>
              </w:rPr>
              <w:t>P</w:t>
            </w:r>
          </w:p>
        </w:tc>
        <w:tc>
          <w:tcPr>
            <w:tcW w:w="1206" w:type="dxa"/>
            <w:tcBorders>
              <w:top w:val="nil"/>
              <w:left w:val="nil"/>
              <w:bottom w:val="single" w:color="auto" w:sz="4" w:space="0"/>
              <w:right w:val="nil"/>
            </w:tcBorders>
            <w:shd w:val="clear" w:color="auto" w:fill="auto"/>
            <w:noWrap/>
            <w:vAlign w:val="center"/>
          </w:tcPr>
          <w:p w14:paraId="561D6F43">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0.002</w:t>
            </w:r>
          </w:p>
        </w:tc>
        <w:tc>
          <w:tcPr>
            <w:tcW w:w="1090" w:type="dxa"/>
            <w:tcBorders>
              <w:top w:val="nil"/>
              <w:left w:val="nil"/>
              <w:bottom w:val="single" w:color="auto" w:sz="4" w:space="0"/>
              <w:right w:val="nil"/>
            </w:tcBorders>
            <w:shd w:val="clear" w:color="auto" w:fill="auto"/>
            <w:noWrap/>
            <w:vAlign w:val="center"/>
          </w:tcPr>
          <w:p w14:paraId="7F88C7D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0.049</w:t>
            </w:r>
          </w:p>
        </w:tc>
        <w:tc>
          <w:tcPr>
            <w:tcW w:w="1206" w:type="dxa"/>
            <w:tcBorders>
              <w:top w:val="nil"/>
              <w:left w:val="nil"/>
              <w:bottom w:val="single" w:color="auto" w:sz="4" w:space="0"/>
              <w:right w:val="nil"/>
            </w:tcBorders>
            <w:shd w:val="clear" w:color="auto" w:fill="auto"/>
            <w:noWrap/>
            <w:vAlign w:val="center"/>
          </w:tcPr>
          <w:p w14:paraId="6B22814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0.001</w:t>
            </w:r>
          </w:p>
        </w:tc>
        <w:tc>
          <w:tcPr>
            <w:tcW w:w="1090" w:type="dxa"/>
            <w:tcBorders>
              <w:top w:val="nil"/>
              <w:left w:val="nil"/>
              <w:bottom w:val="single" w:color="auto" w:sz="4" w:space="0"/>
              <w:right w:val="nil"/>
            </w:tcBorders>
            <w:shd w:val="clear" w:color="auto" w:fill="auto"/>
            <w:noWrap/>
            <w:vAlign w:val="center"/>
          </w:tcPr>
          <w:p w14:paraId="614DF0A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0.330</w:t>
            </w:r>
          </w:p>
        </w:tc>
        <w:tc>
          <w:tcPr>
            <w:tcW w:w="1206" w:type="dxa"/>
            <w:tcBorders>
              <w:top w:val="nil"/>
              <w:left w:val="nil"/>
              <w:bottom w:val="single" w:color="auto" w:sz="4" w:space="0"/>
              <w:right w:val="nil"/>
            </w:tcBorders>
            <w:shd w:val="clear" w:color="auto" w:fill="auto"/>
            <w:noWrap/>
            <w:vAlign w:val="center"/>
          </w:tcPr>
          <w:p w14:paraId="5BFF9C7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0.007</w:t>
            </w:r>
          </w:p>
        </w:tc>
        <w:tc>
          <w:tcPr>
            <w:tcW w:w="1166" w:type="dxa"/>
            <w:tcBorders>
              <w:top w:val="nil"/>
              <w:left w:val="nil"/>
              <w:bottom w:val="single" w:color="auto" w:sz="4" w:space="0"/>
              <w:right w:val="nil"/>
            </w:tcBorders>
            <w:shd w:val="clear" w:color="auto" w:fill="auto"/>
            <w:noWrap/>
            <w:vAlign w:val="center"/>
          </w:tcPr>
          <w:p w14:paraId="58AB9E2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0.150</w:t>
            </w:r>
          </w:p>
        </w:tc>
      </w:tr>
    </w:tbl>
    <w:p w14:paraId="3B78A4AA">
      <w:pPr>
        <w:jc w:val="both"/>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Notes：ASIRC：age-standardized incidence rate by Chinese standard population；AAPC：average annual percentage change；CI：confidence interval.</w:t>
      </w:r>
    </w:p>
    <w:p w14:paraId="48B175A3">
      <w:pPr>
        <w:jc w:val="both"/>
        <w:rPr>
          <w:rFonts w:hint="eastAsia" w:ascii="Times New Roman" w:hAnsi="Times New Roman" w:eastAsia="宋体" w:cs="Times New Roman"/>
          <w:sz w:val="24"/>
          <w:szCs w:val="32"/>
        </w:rPr>
      </w:pPr>
    </w:p>
    <w:p w14:paraId="415358E9">
      <w:pPr>
        <w:jc w:val="both"/>
        <w:rPr>
          <w:rFonts w:hint="eastAsia" w:ascii="Times New Roman" w:hAnsi="Times New Roman" w:eastAsia="宋体" w:cs="Times New Roman"/>
          <w:sz w:val="24"/>
          <w:szCs w:val="32"/>
        </w:rPr>
      </w:pPr>
    </w:p>
    <w:p w14:paraId="7DA9C0F3">
      <w:pPr>
        <w:jc w:val="center"/>
        <w:rPr>
          <w:rFonts w:hint="default" w:ascii="Times New Roman" w:hAnsi="Times New Roman" w:eastAsia="宋体" w:cs="Times New Roman"/>
          <w:sz w:val="24"/>
          <w:szCs w:val="32"/>
          <w:lang w:val="en-US" w:eastAsia="zh-CN"/>
        </w:rPr>
      </w:pPr>
      <w:r>
        <w:rPr>
          <w:rFonts w:hint="eastAsia" w:ascii="Times New Roman" w:hAnsi="Times New Roman" w:eastAsia="宋体" w:cs="Times New Roman"/>
          <w:sz w:val="24"/>
          <w:szCs w:val="32"/>
          <w:lang w:val="en-US" w:eastAsia="zh-CN"/>
        </w:rPr>
        <w:t>Table 4 Trends in colorectal cancer incidence by age group in Suqian City from 2018 to 2023</w:t>
      </w:r>
      <w:r>
        <w:rPr>
          <w:rFonts w:hint="eastAsia" w:ascii="Times New Roman" w:hAnsi="Times New Roman" w:eastAsia="宋体" w:cs="Times New Roman"/>
          <w:sz w:val="24"/>
          <w:szCs w:val="32"/>
        </w:rPr>
        <w:t>（1/10</w:t>
      </w:r>
      <w:r>
        <w:rPr>
          <w:rFonts w:hint="eastAsia" w:ascii="Times New Roman" w:hAnsi="Times New Roman" w:eastAsia="宋体" w:cs="Times New Roman"/>
          <w:sz w:val="24"/>
          <w:szCs w:val="32"/>
          <w:vertAlign w:val="superscript"/>
        </w:rPr>
        <w:t>5</w:t>
      </w:r>
      <w:r>
        <w:rPr>
          <w:rFonts w:hint="eastAsia" w:ascii="Times New Roman" w:hAnsi="Times New Roman" w:eastAsia="宋体" w:cs="Times New Roman"/>
          <w:sz w:val="24"/>
          <w:szCs w:val="32"/>
        </w:rPr>
        <w:t>）</w:t>
      </w:r>
    </w:p>
    <w:tbl>
      <w:tblPr>
        <w:tblStyle w:val="2"/>
        <w:tblW w:w="84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40" w:type="dxa"/>
          <w:left w:w="64" w:type="dxa"/>
          <w:bottom w:w="40" w:type="dxa"/>
          <w:right w:w="64" w:type="dxa"/>
        </w:tblCellMar>
      </w:tblPr>
      <w:tblGrid>
        <w:gridCol w:w="1468"/>
        <w:gridCol w:w="1206"/>
        <w:gridCol w:w="1090"/>
        <w:gridCol w:w="1206"/>
        <w:gridCol w:w="1090"/>
        <w:gridCol w:w="1206"/>
        <w:gridCol w:w="1166"/>
      </w:tblGrid>
      <w:tr w14:paraId="211424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rPr>
          <w:trHeight w:val="0" w:hRule="atLeast"/>
          <w:tblHeader/>
          <w:jc w:val="center"/>
        </w:trPr>
        <w:tc>
          <w:tcPr>
            <w:tcW w:w="1468" w:type="dxa"/>
            <w:tcBorders>
              <w:top w:val="single" w:color="auto" w:sz="4" w:space="0"/>
              <w:left w:val="nil"/>
              <w:bottom w:val="single" w:color="auto" w:sz="4" w:space="0"/>
              <w:right w:val="nil"/>
            </w:tcBorders>
            <w:shd w:val="clear" w:color="auto" w:fill="auto"/>
            <w:noWrap/>
            <w:vAlign w:val="center"/>
          </w:tcPr>
          <w:p w14:paraId="40C0D41E">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Year</w:t>
            </w:r>
          </w:p>
        </w:tc>
        <w:tc>
          <w:tcPr>
            <w:tcW w:w="1206" w:type="dxa"/>
            <w:tcBorders>
              <w:top w:val="single" w:color="auto" w:sz="4" w:space="0"/>
              <w:left w:val="nil"/>
              <w:bottom w:val="single" w:color="auto" w:sz="4" w:space="0"/>
              <w:right w:val="nil"/>
            </w:tcBorders>
            <w:shd w:val="clear" w:color="auto" w:fill="auto"/>
            <w:noWrap/>
            <w:vAlign w:val="center"/>
          </w:tcPr>
          <w:p w14:paraId="1EBE31F8">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0-44 years old</w:t>
            </w:r>
          </w:p>
        </w:tc>
        <w:tc>
          <w:tcPr>
            <w:tcW w:w="1090" w:type="dxa"/>
            <w:tcBorders>
              <w:top w:val="single" w:color="auto" w:sz="4" w:space="0"/>
              <w:left w:val="nil"/>
              <w:bottom w:val="single" w:color="auto" w:sz="4" w:space="0"/>
              <w:right w:val="nil"/>
            </w:tcBorders>
            <w:shd w:val="clear" w:color="auto" w:fill="auto"/>
            <w:noWrap/>
            <w:vAlign w:val="center"/>
          </w:tcPr>
          <w:p w14:paraId="7949B22A">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45-54 years old</w:t>
            </w:r>
          </w:p>
        </w:tc>
        <w:tc>
          <w:tcPr>
            <w:tcW w:w="1206" w:type="dxa"/>
            <w:tcBorders>
              <w:top w:val="single" w:color="auto" w:sz="4" w:space="0"/>
              <w:left w:val="nil"/>
              <w:bottom w:val="single" w:color="auto" w:sz="4" w:space="0"/>
              <w:right w:val="nil"/>
            </w:tcBorders>
            <w:shd w:val="clear" w:color="auto" w:fill="auto"/>
            <w:noWrap/>
            <w:vAlign w:val="center"/>
          </w:tcPr>
          <w:p w14:paraId="448F1097">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55-64 years old</w:t>
            </w:r>
          </w:p>
        </w:tc>
        <w:tc>
          <w:tcPr>
            <w:tcW w:w="1090" w:type="dxa"/>
            <w:tcBorders>
              <w:top w:val="single" w:color="auto" w:sz="4" w:space="0"/>
              <w:left w:val="nil"/>
              <w:bottom w:val="single" w:color="auto" w:sz="4" w:space="0"/>
              <w:right w:val="nil"/>
            </w:tcBorders>
            <w:shd w:val="clear" w:color="auto" w:fill="auto"/>
            <w:noWrap/>
            <w:vAlign w:val="center"/>
          </w:tcPr>
          <w:p w14:paraId="3DCF7CFE">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65-74 years old</w:t>
            </w:r>
          </w:p>
        </w:tc>
        <w:tc>
          <w:tcPr>
            <w:tcW w:w="1206" w:type="dxa"/>
            <w:tcBorders>
              <w:top w:val="single" w:color="auto" w:sz="4" w:space="0"/>
              <w:left w:val="nil"/>
              <w:bottom w:val="single" w:color="auto" w:sz="4" w:space="0"/>
              <w:right w:val="nil"/>
            </w:tcBorders>
            <w:shd w:val="clear" w:color="auto" w:fill="auto"/>
            <w:noWrap/>
            <w:vAlign w:val="center"/>
          </w:tcPr>
          <w:p w14:paraId="52702036">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75-84 years old</w:t>
            </w:r>
          </w:p>
        </w:tc>
        <w:tc>
          <w:tcPr>
            <w:tcW w:w="1166" w:type="dxa"/>
            <w:tcBorders>
              <w:top w:val="single" w:color="auto" w:sz="4" w:space="0"/>
              <w:left w:val="nil"/>
              <w:bottom w:val="single" w:color="auto" w:sz="4" w:space="0"/>
              <w:right w:val="nil"/>
            </w:tcBorders>
            <w:shd w:val="clear" w:color="auto" w:fill="auto"/>
            <w:noWrap/>
            <w:vAlign w:val="center"/>
          </w:tcPr>
          <w:p w14:paraId="10167971">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85+ years old</w:t>
            </w:r>
          </w:p>
        </w:tc>
      </w:tr>
      <w:tr w14:paraId="1428CEB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1468" w:type="dxa"/>
            <w:tcBorders>
              <w:top w:val="single" w:color="auto" w:sz="4" w:space="0"/>
              <w:left w:val="nil"/>
              <w:bottom w:val="nil"/>
              <w:right w:val="nil"/>
            </w:tcBorders>
            <w:shd w:val="clear" w:color="auto" w:fill="auto"/>
            <w:noWrap/>
            <w:vAlign w:val="center"/>
          </w:tcPr>
          <w:p w14:paraId="550CC5D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2018</w:t>
            </w:r>
          </w:p>
        </w:tc>
        <w:tc>
          <w:tcPr>
            <w:tcW w:w="1206" w:type="dxa"/>
            <w:tcBorders>
              <w:top w:val="single" w:color="auto" w:sz="4" w:space="0"/>
              <w:left w:val="nil"/>
              <w:bottom w:val="nil"/>
              <w:right w:val="nil"/>
            </w:tcBorders>
            <w:shd w:val="clear" w:color="auto" w:fill="auto"/>
            <w:noWrap/>
            <w:vAlign w:val="center"/>
          </w:tcPr>
          <w:p w14:paraId="6B6650C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1.69 </w:t>
            </w:r>
          </w:p>
        </w:tc>
        <w:tc>
          <w:tcPr>
            <w:tcW w:w="1090" w:type="dxa"/>
            <w:tcBorders>
              <w:top w:val="single" w:color="auto" w:sz="4" w:space="0"/>
              <w:left w:val="nil"/>
              <w:bottom w:val="nil"/>
              <w:right w:val="nil"/>
            </w:tcBorders>
            <w:shd w:val="clear" w:color="auto" w:fill="auto"/>
            <w:noWrap/>
            <w:vAlign w:val="center"/>
          </w:tcPr>
          <w:p w14:paraId="2E3CF62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13.70 </w:t>
            </w:r>
          </w:p>
        </w:tc>
        <w:tc>
          <w:tcPr>
            <w:tcW w:w="1206" w:type="dxa"/>
            <w:tcBorders>
              <w:top w:val="single" w:color="auto" w:sz="4" w:space="0"/>
              <w:left w:val="nil"/>
              <w:bottom w:val="nil"/>
              <w:right w:val="nil"/>
            </w:tcBorders>
            <w:shd w:val="clear" w:color="auto" w:fill="auto"/>
            <w:noWrap/>
            <w:vAlign w:val="center"/>
          </w:tcPr>
          <w:p w14:paraId="307E2A3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34.83 </w:t>
            </w:r>
          </w:p>
        </w:tc>
        <w:tc>
          <w:tcPr>
            <w:tcW w:w="1090" w:type="dxa"/>
            <w:tcBorders>
              <w:top w:val="single" w:color="auto" w:sz="4" w:space="0"/>
              <w:left w:val="nil"/>
              <w:bottom w:val="nil"/>
              <w:right w:val="nil"/>
            </w:tcBorders>
            <w:shd w:val="clear" w:color="auto" w:fill="auto"/>
            <w:noWrap/>
            <w:vAlign w:val="center"/>
          </w:tcPr>
          <w:p w14:paraId="221830FE">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62.48 </w:t>
            </w:r>
          </w:p>
        </w:tc>
        <w:tc>
          <w:tcPr>
            <w:tcW w:w="1206" w:type="dxa"/>
            <w:tcBorders>
              <w:top w:val="single" w:color="auto" w:sz="4" w:space="0"/>
              <w:left w:val="nil"/>
              <w:bottom w:val="nil"/>
              <w:right w:val="nil"/>
            </w:tcBorders>
            <w:shd w:val="clear" w:color="auto" w:fill="auto"/>
            <w:noWrap/>
            <w:vAlign w:val="center"/>
          </w:tcPr>
          <w:p w14:paraId="3AE015A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98.02 </w:t>
            </w:r>
          </w:p>
        </w:tc>
        <w:tc>
          <w:tcPr>
            <w:tcW w:w="1166" w:type="dxa"/>
            <w:tcBorders>
              <w:top w:val="single" w:color="auto" w:sz="4" w:space="0"/>
              <w:left w:val="nil"/>
              <w:bottom w:val="nil"/>
              <w:right w:val="nil"/>
            </w:tcBorders>
            <w:shd w:val="clear" w:color="auto" w:fill="auto"/>
            <w:noWrap/>
            <w:vAlign w:val="center"/>
          </w:tcPr>
          <w:p w14:paraId="4678BE6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64.96 </w:t>
            </w:r>
          </w:p>
        </w:tc>
      </w:tr>
      <w:tr w14:paraId="21FFE3B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4C99682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2019</w:t>
            </w:r>
          </w:p>
        </w:tc>
        <w:tc>
          <w:tcPr>
            <w:tcW w:w="1206" w:type="dxa"/>
            <w:tcBorders>
              <w:top w:val="nil"/>
              <w:left w:val="nil"/>
              <w:bottom w:val="nil"/>
              <w:right w:val="nil"/>
            </w:tcBorders>
            <w:shd w:val="clear" w:color="auto" w:fill="auto"/>
            <w:noWrap/>
            <w:vAlign w:val="center"/>
          </w:tcPr>
          <w:p w14:paraId="3D23F5B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1.91 </w:t>
            </w:r>
          </w:p>
        </w:tc>
        <w:tc>
          <w:tcPr>
            <w:tcW w:w="1090" w:type="dxa"/>
            <w:tcBorders>
              <w:top w:val="nil"/>
              <w:left w:val="nil"/>
              <w:bottom w:val="nil"/>
              <w:right w:val="nil"/>
            </w:tcBorders>
            <w:shd w:val="clear" w:color="auto" w:fill="auto"/>
            <w:noWrap/>
            <w:vAlign w:val="center"/>
          </w:tcPr>
          <w:p w14:paraId="7ADB06A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16.51 </w:t>
            </w:r>
          </w:p>
        </w:tc>
        <w:tc>
          <w:tcPr>
            <w:tcW w:w="1206" w:type="dxa"/>
            <w:tcBorders>
              <w:top w:val="nil"/>
              <w:left w:val="nil"/>
              <w:bottom w:val="nil"/>
              <w:right w:val="nil"/>
            </w:tcBorders>
            <w:shd w:val="clear" w:color="auto" w:fill="auto"/>
            <w:noWrap/>
            <w:vAlign w:val="center"/>
          </w:tcPr>
          <w:p w14:paraId="188FE3ED">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40.15 </w:t>
            </w:r>
          </w:p>
        </w:tc>
        <w:tc>
          <w:tcPr>
            <w:tcW w:w="1090" w:type="dxa"/>
            <w:tcBorders>
              <w:top w:val="nil"/>
              <w:left w:val="nil"/>
              <w:bottom w:val="nil"/>
              <w:right w:val="nil"/>
            </w:tcBorders>
            <w:shd w:val="clear" w:color="auto" w:fill="auto"/>
            <w:noWrap/>
            <w:vAlign w:val="center"/>
          </w:tcPr>
          <w:p w14:paraId="21553E6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69.74 </w:t>
            </w:r>
          </w:p>
        </w:tc>
        <w:tc>
          <w:tcPr>
            <w:tcW w:w="1206" w:type="dxa"/>
            <w:tcBorders>
              <w:top w:val="nil"/>
              <w:left w:val="nil"/>
              <w:bottom w:val="nil"/>
              <w:right w:val="nil"/>
            </w:tcBorders>
            <w:shd w:val="clear" w:color="auto" w:fill="auto"/>
            <w:noWrap/>
            <w:vAlign w:val="center"/>
          </w:tcPr>
          <w:p w14:paraId="35F5155D">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120.13 </w:t>
            </w:r>
          </w:p>
        </w:tc>
        <w:tc>
          <w:tcPr>
            <w:tcW w:w="1166" w:type="dxa"/>
            <w:tcBorders>
              <w:top w:val="nil"/>
              <w:left w:val="nil"/>
              <w:bottom w:val="nil"/>
              <w:right w:val="nil"/>
            </w:tcBorders>
            <w:shd w:val="clear" w:color="auto" w:fill="auto"/>
            <w:noWrap/>
            <w:vAlign w:val="center"/>
          </w:tcPr>
          <w:p w14:paraId="3BF0AF8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81.64 </w:t>
            </w:r>
          </w:p>
        </w:tc>
      </w:tr>
      <w:tr w14:paraId="1FD66FC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5D1D082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2020</w:t>
            </w:r>
          </w:p>
        </w:tc>
        <w:tc>
          <w:tcPr>
            <w:tcW w:w="1206" w:type="dxa"/>
            <w:tcBorders>
              <w:top w:val="nil"/>
              <w:left w:val="nil"/>
              <w:bottom w:val="nil"/>
              <w:right w:val="nil"/>
            </w:tcBorders>
            <w:shd w:val="clear" w:color="auto" w:fill="auto"/>
            <w:noWrap/>
            <w:vAlign w:val="center"/>
          </w:tcPr>
          <w:p w14:paraId="5DE4C59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1.70 </w:t>
            </w:r>
          </w:p>
        </w:tc>
        <w:tc>
          <w:tcPr>
            <w:tcW w:w="1090" w:type="dxa"/>
            <w:tcBorders>
              <w:top w:val="nil"/>
              <w:left w:val="nil"/>
              <w:bottom w:val="nil"/>
              <w:right w:val="nil"/>
            </w:tcBorders>
            <w:shd w:val="clear" w:color="auto" w:fill="auto"/>
            <w:noWrap/>
            <w:vAlign w:val="center"/>
          </w:tcPr>
          <w:p w14:paraId="5114A51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15.71 </w:t>
            </w:r>
          </w:p>
        </w:tc>
        <w:tc>
          <w:tcPr>
            <w:tcW w:w="1206" w:type="dxa"/>
            <w:tcBorders>
              <w:top w:val="nil"/>
              <w:left w:val="nil"/>
              <w:bottom w:val="nil"/>
              <w:right w:val="nil"/>
            </w:tcBorders>
            <w:shd w:val="clear" w:color="auto" w:fill="auto"/>
            <w:noWrap/>
            <w:vAlign w:val="center"/>
          </w:tcPr>
          <w:p w14:paraId="48BAAC5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34.76 </w:t>
            </w:r>
          </w:p>
        </w:tc>
        <w:tc>
          <w:tcPr>
            <w:tcW w:w="1090" w:type="dxa"/>
            <w:tcBorders>
              <w:top w:val="nil"/>
              <w:left w:val="nil"/>
              <w:bottom w:val="nil"/>
              <w:right w:val="nil"/>
            </w:tcBorders>
            <w:shd w:val="clear" w:color="auto" w:fill="auto"/>
            <w:noWrap/>
            <w:vAlign w:val="center"/>
          </w:tcPr>
          <w:p w14:paraId="4377166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67.65 </w:t>
            </w:r>
          </w:p>
        </w:tc>
        <w:tc>
          <w:tcPr>
            <w:tcW w:w="1206" w:type="dxa"/>
            <w:tcBorders>
              <w:top w:val="nil"/>
              <w:left w:val="nil"/>
              <w:bottom w:val="nil"/>
              <w:right w:val="nil"/>
            </w:tcBorders>
            <w:shd w:val="clear" w:color="auto" w:fill="auto"/>
            <w:noWrap/>
            <w:vAlign w:val="center"/>
          </w:tcPr>
          <w:p w14:paraId="3B925EE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117.31 </w:t>
            </w:r>
          </w:p>
        </w:tc>
        <w:tc>
          <w:tcPr>
            <w:tcW w:w="1166" w:type="dxa"/>
            <w:tcBorders>
              <w:top w:val="nil"/>
              <w:left w:val="nil"/>
              <w:bottom w:val="nil"/>
              <w:right w:val="nil"/>
            </w:tcBorders>
            <w:shd w:val="clear" w:color="auto" w:fill="auto"/>
            <w:noWrap/>
            <w:vAlign w:val="center"/>
          </w:tcPr>
          <w:p w14:paraId="4A374C1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79.01 </w:t>
            </w:r>
          </w:p>
        </w:tc>
      </w:tr>
      <w:tr w14:paraId="50671C5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4361712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2021</w:t>
            </w:r>
          </w:p>
        </w:tc>
        <w:tc>
          <w:tcPr>
            <w:tcW w:w="1206" w:type="dxa"/>
            <w:tcBorders>
              <w:top w:val="nil"/>
              <w:left w:val="nil"/>
              <w:bottom w:val="nil"/>
              <w:right w:val="nil"/>
            </w:tcBorders>
            <w:shd w:val="clear" w:color="auto" w:fill="auto"/>
            <w:noWrap/>
            <w:vAlign w:val="center"/>
          </w:tcPr>
          <w:p w14:paraId="132E898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1.78 </w:t>
            </w:r>
          </w:p>
        </w:tc>
        <w:tc>
          <w:tcPr>
            <w:tcW w:w="1090" w:type="dxa"/>
            <w:tcBorders>
              <w:top w:val="nil"/>
              <w:left w:val="nil"/>
              <w:bottom w:val="nil"/>
              <w:right w:val="nil"/>
            </w:tcBorders>
            <w:shd w:val="clear" w:color="auto" w:fill="auto"/>
            <w:noWrap/>
            <w:vAlign w:val="center"/>
          </w:tcPr>
          <w:p w14:paraId="2ACCC12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16.15 </w:t>
            </w:r>
          </w:p>
        </w:tc>
        <w:tc>
          <w:tcPr>
            <w:tcW w:w="1206" w:type="dxa"/>
            <w:tcBorders>
              <w:top w:val="nil"/>
              <w:left w:val="nil"/>
              <w:bottom w:val="nil"/>
              <w:right w:val="nil"/>
            </w:tcBorders>
            <w:shd w:val="clear" w:color="auto" w:fill="auto"/>
            <w:noWrap/>
            <w:vAlign w:val="center"/>
          </w:tcPr>
          <w:p w14:paraId="513FCA1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38.01 </w:t>
            </w:r>
          </w:p>
        </w:tc>
        <w:tc>
          <w:tcPr>
            <w:tcW w:w="1090" w:type="dxa"/>
            <w:tcBorders>
              <w:top w:val="nil"/>
              <w:left w:val="nil"/>
              <w:bottom w:val="nil"/>
              <w:right w:val="nil"/>
            </w:tcBorders>
            <w:shd w:val="clear" w:color="auto" w:fill="auto"/>
            <w:noWrap/>
            <w:vAlign w:val="center"/>
          </w:tcPr>
          <w:p w14:paraId="5D8538AD">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78.49 </w:t>
            </w:r>
          </w:p>
        </w:tc>
        <w:tc>
          <w:tcPr>
            <w:tcW w:w="1206" w:type="dxa"/>
            <w:tcBorders>
              <w:top w:val="nil"/>
              <w:left w:val="nil"/>
              <w:bottom w:val="nil"/>
              <w:right w:val="nil"/>
            </w:tcBorders>
            <w:shd w:val="clear" w:color="auto" w:fill="auto"/>
            <w:noWrap/>
            <w:vAlign w:val="center"/>
          </w:tcPr>
          <w:p w14:paraId="5211657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118.05 </w:t>
            </w:r>
          </w:p>
        </w:tc>
        <w:tc>
          <w:tcPr>
            <w:tcW w:w="1166" w:type="dxa"/>
            <w:tcBorders>
              <w:top w:val="nil"/>
              <w:left w:val="nil"/>
              <w:bottom w:val="nil"/>
              <w:right w:val="nil"/>
            </w:tcBorders>
            <w:shd w:val="clear" w:color="auto" w:fill="auto"/>
            <w:noWrap/>
            <w:vAlign w:val="center"/>
          </w:tcPr>
          <w:p w14:paraId="2E1E2D3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99.77 </w:t>
            </w:r>
          </w:p>
        </w:tc>
      </w:tr>
      <w:tr w14:paraId="7CD42EA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206309C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2022</w:t>
            </w:r>
          </w:p>
        </w:tc>
        <w:tc>
          <w:tcPr>
            <w:tcW w:w="1206" w:type="dxa"/>
            <w:tcBorders>
              <w:top w:val="nil"/>
              <w:left w:val="nil"/>
              <w:bottom w:val="nil"/>
              <w:right w:val="nil"/>
            </w:tcBorders>
            <w:shd w:val="clear" w:color="auto" w:fill="auto"/>
            <w:noWrap/>
            <w:vAlign w:val="center"/>
          </w:tcPr>
          <w:p w14:paraId="7FD9D1C3">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1.90 </w:t>
            </w:r>
          </w:p>
        </w:tc>
        <w:tc>
          <w:tcPr>
            <w:tcW w:w="1090" w:type="dxa"/>
            <w:tcBorders>
              <w:top w:val="nil"/>
              <w:left w:val="nil"/>
              <w:bottom w:val="nil"/>
              <w:right w:val="nil"/>
            </w:tcBorders>
            <w:shd w:val="clear" w:color="auto" w:fill="auto"/>
            <w:noWrap/>
            <w:vAlign w:val="center"/>
          </w:tcPr>
          <w:p w14:paraId="4F5D82BE">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17.36 </w:t>
            </w:r>
          </w:p>
        </w:tc>
        <w:tc>
          <w:tcPr>
            <w:tcW w:w="1206" w:type="dxa"/>
            <w:tcBorders>
              <w:top w:val="nil"/>
              <w:left w:val="nil"/>
              <w:bottom w:val="nil"/>
              <w:right w:val="nil"/>
            </w:tcBorders>
            <w:shd w:val="clear" w:color="auto" w:fill="auto"/>
            <w:noWrap/>
            <w:vAlign w:val="center"/>
          </w:tcPr>
          <w:p w14:paraId="461E35B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37.75 </w:t>
            </w:r>
          </w:p>
        </w:tc>
        <w:tc>
          <w:tcPr>
            <w:tcW w:w="1090" w:type="dxa"/>
            <w:tcBorders>
              <w:top w:val="nil"/>
              <w:left w:val="nil"/>
              <w:bottom w:val="nil"/>
              <w:right w:val="nil"/>
            </w:tcBorders>
            <w:shd w:val="clear" w:color="auto" w:fill="auto"/>
            <w:noWrap/>
            <w:vAlign w:val="center"/>
          </w:tcPr>
          <w:p w14:paraId="1EB5092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67.46 </w:t>
            </w:r>
          </w:p>
        </w:tc>
        <w:tc>
          <w:tcPr>
            <w:tcW w:w="1206" w:type="dxa"/>
            <w:tcBorders>
              <w:top w:val="nil"/>
              <w:left w:val="nil"/>
              <w:bottom w:val="nil"/>
              <w:right w:val="nil"/>
            </w:tcBorders>
            <w:shd w:val="clear" w:color="auto" w:fill="auto"/>
            <w:noWrap/>
            <w:vAlign w:val="center"/>
          </w:tcPr>
          <w:p w14:paraId="5C0F62E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123.32 </w:t>
            </w:r>
          </w:p>
        </w:tc>
        <w:tc>
          <w:tcPr>
            <w:tcW w:w="1166" w:type="dxa"/>
            <w:tcBorders>
              <w:top w:val="nil"/>
              <w:left w:val="nil"/>
              <w:bottom w:val="nil"/>
              <w:right w:val="nil"/>
            </w:tcBorders>
            <w:shd w:val="clear" w:color="auto" w:fill="auto"/>
            <w:noWrap/>
            <w:vAlign w:val="center"/>
          </w:tcPr>
          <w:p w14:paraId="1F3A299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128.75 </w:t>
            </w:r>
          </w:p>
        </w:tc>
      </w:tr>
      <w:tr w14:paraId="4CF8FD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7229793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2023</w:t>
            </w:r>
          </w:p>
        </w:tc>
        <w:tc>
          <w:tcPr>
            <w:tcW w:w="1206" w:type="dxa"/>
            <w:tcBorders>
              <w:top w:val="nil"/>
              <w:left w:val="nil"/>
              <w:bottom w:val="nil"/>
              <w:right w:val="nil"/>
            </w:tcBorders>
            <w:shd w:val="clear" w:color="auto" w:fill="auto"/>
            <w:noWrap/>
            <w:vAlign w:val="center"/>
          </w:tcPr>
          <w:p w14:paraId="42AFA41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2.28 </w:t>
            </w:r>
          </w:p>
        </w:tc>
        <w:tc>
          <w:tcPr>
            <w:tcW w:w="1090" w:type="dxa"/>
            <w:tcBorders>
              <w:top w:val="nil"/>
              <w:left w:val="nil"/>
              <w:bottom w:val="nil"/>
              <w:right w:val="nil"/>
            </w:tcBorders>
            <w:shd w:val="clear" w:color="auto" w:fill="auto"/>
            <w:noWrap/>
            <w:vAlign w:val="center"/>
          </w:tcPr>
          <w:p w14:paraId="5634E2B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20.24 </w:t>
            </w:r>
          </w:p>
        </w:tc>
        <w:tc>
          <w:tcPr>
            <w:tcW w:w="1206" w:type="dxa"/>
            <w:tcBorders>
              <w:top w:val="nil"/>
              <w:left w:val="nil"/>
              <w:bottom w:val="nil"/>
              <w:right w:val="nil"/>
            </w:tcBorders>
            <w:shd w:val="clear" w:color="auto" w:fill="auto"/>
            <w:noWrap/>
            <w:vAlign w:val="center"/>
          </w:tcPr>
          <w:p w14:paraId="035251B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37.66 </w:t>
            </w:r>
          </w:p>
        </w:tc>
        <w:tc>
          <w:tcPr>
            <w:tcW w:w="1090" w:type="dxa"/>
            <w:tcBorders>
              <w:top w:val="nil"/>
              <w:left w:val="nil"/>
              <w:bottom w:val="nil"/>
              <w:right w:val="nil"/>
            </w:tcBorders>
            <w:shd w:val="clear" w:color="auto" w:fill="auto"/>
            <w:noWrap/>
            <w:vAlign w:val="center"/>
          </w:tcPr>
          <w:p w14:paraId="0291411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78.23 </w:t>
            </w:r>
          </w:p>
        </w:tc>
        <w:tc>
          <w:tcPr>
            <w:tcW w:w="1206" w:type="dxa"/>
            <w:tcBorders>
              <w:top w:val="nil"/>
              <w:left w:val="nil"/>
              <w:bottom w:val="nil"/>
              <w:right w:val="nil"/>
            </w:tcBorders>
            <w:shd w:val="clear" w:color="auto" w:fill="auto"/>
            <w:noWrap/>
            <w:vAlign w:val="center"/>
          </w:tcPr>
          <w:p w14:paraId="643FD86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137.88 </w:t>
            </w:r>
          </w:p>
        </w:tc>
        <w:tc>
          <w:tcPr>
            <w:tcW w:w="1166" w:type="dxa"/>
            <w:tcBorders>
              <w:top w:val="nil"/>
              <w:left w:val="nil"/>
              <w:bottom w:val="nil"/>
              <w:right w:val="nil"/>
            </w:tcBorders>
            <w:shd w:val="clear" w:color="auto" w:fill="auto"/>
            <w:noWrap/>
            <w:vAlign w:val="center"/>
          </w:tcPr>
          <w:p w14:paraId="28CB9E8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125.32 </w:t>
            </w:r>
          </w:p>
        </w:tc>
      </w:tr>
      <w:tr w14:paraId="11E50D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5E79E11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AAPC（%）</w:t>
            </w:r>
          </w:p>
        </w:tc>
        <w:tc>
          <w:tcPr>
            <w:tcW w:w="1206" w:type="dxa"/>
            <w:tcBorders>
              <w:top w:val="nil"/>
              <w:left w:val="nil"/>
              <w:bottom w:val="nil"/>
              <w:right w:val="nil"/>
            </w:tcBorders>
            <w:shd w:val="clear" w:color="auto" w:fill="auto"/>
            <w:noWrap/>
            <w:vAlign w:val="center"/>
          </w:tcPr>
          <w:p w14:paraId="1D92E4B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4.46</w:t>
            </w:r>
          </w:p>
        </w:tc>
        <w:tc>
          <w:tcPr>
            <w:tcW w:w="1090" w:type="dxa"/>
            <w:tcBorders>
              <w:top w:val="nil"/>
              <w:left w:val="nil"/>
              <w:bottom w:val="nil"/>
              <w:right w:val="nil"/>
            </w:tcBorders>
            <w:shd w:val="clear" w:color="auto" w:fill="auto"/>
            <w:noWrap/>
            <w:vAlign w:val="center"/>
          </w:tcPr>
          <w:p w14:paraId="3550D8B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6.27</w:t>
            </w:r>
          </w:p>
        </w:tc>
        <w:tc>
          <w:tcPr>
            <w:tcW w:w="1206" w:type="dxa"/>
            <w:tcBorders>
              <w:top w:val="nil"/>
              <w:left w:val="nil"/>
              <w:bottom w:val="nil"/>
              <w:right w:val="nil"/>
            </w:tcBorders>
            <w:shd w:val="clear" w:color="auto" w:fill="auto"/>
            <w:noWrap/>
            <w:vAlign w:val="center"/>
          </w:tcPr>
          <w:p w14:paraId="1344EC1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0.85</w:t>
            </w:r>
          </w:p>
        </w:tc>
        <w:tc>
          <w:tcPr>
            <w:tcW w:w="1090" w:type="dxa"/>
            <w:tcBorders>
              <w:top w:val="nil"/>
              <w:left w:val="nil"/>
              <w:bottom w:val="nil"/>
              <w:right w:val="nil"/>
            </w:tcBorders>
            <w:shd w:val="clear" w:color="auto" w:fill="auto"/>
            <w:noWrap/>
            <w:vAlign w:val="center"/>
          </w:tcPr>
          <w:p w14:paraId="5C1C31E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3.41</w:t>
            </w:r>
          </w:p>
        </w:tc>
        <w:tc>
          <w:tcPr>
            <w:tcW w:w="1206" w:type="dxa"/>
            <w:tcBorders>
              <w:top w:val="nil"/>
              <w:left w:val="nil"/>
              <w:bottom w:val="nil"/>
              <w:right w:val="nil"/>
            </w:tcBorders>
            <w:shd w:val="clear" w:color="auto" w:fill="auto"/>
            <w:noWrap/>
            <w:vAlign w:val="center"/>
          </w:tcPr>
          <w:p w14:paraId="6404D01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5.25</w:t>
            </w:r>
          </w:p>
        </w:tc>
        <w:tc>
          <w:tcPr>
            <w:tcW w:w="1166" w:type="dxa"/>
            <w:tcBorders>
              <w:top w:val="nil"/>
              <w:left w:val="nil"/>
              <w:bottom w:val="nil"/>
              <w:right w:val="nil"/>
            </w:tcBorders>
            <w:shd w:val="clear" w:color="auto" w:fill="auto"/>
            <w:noWrap/>
            <w:vAlign w:val="center"/>
          </w:tcPr>
          <w:p w14:paraId="339E028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14.98</w:t>
            </w:r>
          </w:p>
        </w:tc>
      </w:tr>
      <w:tr w14:paraId="60155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2800464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95%CI（%）</w:t>
            </w:r>
          </w:p>
        </w:tc>
        <w:tc>
          <w:tcPr>
            <w:tcW w:w="1206" w:type="dxa"/>
            <w:tcBorders>
              <w:top w:val="nil"/>
              <w:left w:val="nil"/>
              <w:bottom w:val="nil"/>
              <w:right w:val="nil"/>
            </w:tcBorders>
            <w:shd w:val="clear" w:color="auto" w:fill="auto"/>
            <w:noWrap/>
            <w:vAlign w:val="center"/>
          </w:tcPr>
          <w:p w14:paraId="29BD1A1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-1.22~10.47</w:t>
            </w:r>
          </w:p>
        </w:tc>
        <w:tc>
          <w:tcPr>
            <w:tcW w:w="1090" w:type="dxa"/>
            <w:tcBorders>
              <w:top w:val="nil"/>
              <w:left w:val="nil"/>
              <w:bottom w:val="nil"/>
              <w:right w:val="nil"/>
            </w:tcBorders>
            <w:shd w:val="clear" w:color="auto" w:fill="auto"/>
            <w:noWrap/>
            <w:vAlign w:val="center"/>
          </w:tcPr>
          <w:p w14:paraId="432342BA">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1.78~10.97</w:t>
            </w:r>
          </w:p>
        </w:tc>
        <w:tc>
          <w:tcPr>
            <w:tcW w:w="1206" w:type="dxa"/>
            <w:tcBorders>
              <w:top w:val="nil"/>
              <w:left w:val="nil"/>
              <w:bottom w:val="nil"/>
              <w:right w:val="nil"/>
            </w:tcBorders>
            <w:shd w:val="clear" w:color="auto" w:fill="auto"/>
            <w:noWrap/>
            <w:vAlign w:val="center"/>
          </w:tcPr>
          <w:p w14:paraId="1945304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-3.08~4.93</w:t>
            </w:r>
          </w:p>
        </w:tc>
        <w:tc>
          <w:tcPr>
            <w:tcW w:w="1090" w:type="dxa"/>
            <w:tcBorders>
              <w:top w:val="nil"/>
              <w:left w:val="nil"/>
              <w:bottom w:val="nil"/>
              <w:right w:val="nil"/>
            </w:tcBorders>
            <w:shd w:val="clear" w:color="auto" w:fill="auto"/>
            <w:noWrap/>
            <w:vAlign w:val="center"/>
          </w:tcPr>
          <w:p w14:paraId="4136234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-1.45~8.51</w:t>
            </w:r>
          </w:p>
        </w:tc>
        <w:tc>
          <w:tcPr>
            <w:tcW w:w="1206" w:type="dxa"/>
            <w:tcBorders>
              <w:top w:val="nil"/>
              <w:left w:val="nil"/>
              <w:bottom w:val="nil"/>
              <w:right w:val="nil"/>
            </w:tcBorders>
            <w:shd w:val="clear" w:color="auto" w:fill="auto"/>
            <w:noWrap/>
            <w:vAlign w:val="center"/>
          </w:tcPr>
          <w:p w14:paraId="14FFBED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1.06~9.62</w:t>
            </w:r>
          </w:p>
        </w:tc>
        <w:tc>
          <w:tcPr>
            <w:tcW w:w="1166" w:type="dxa"/>
            <w:tcBorders>
              <w:top w:val="nil"/>
              <w:left w:val="nil"/>
              <w:bottom w:val="nil"/>
              <w:right w:val="nil"/>
            </w:tcBorders>
            <w:shd w:val="clear" w:color="auto" w:fill="auto"/>
            <w:noWrap/>
            <w:vAlign w:val="center"/>
          </w:tcPr>
          <w:p w14:paraId="4FA09E2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8.48~21.87</w:t>
            </w:r>
          </w:p>
        </w:tc>
      </w:tr>
      <w:tr w14:paraId="6B9C325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7B545A59">
            <w:pPr>
              <w:keepNext w:val="0"/>
              <w:keepLines w:val="0"/>
              <w:widowControl/>
              <w:suppressLineNumbers w:val="0"/>
              <w:snapToGrid w:val="0"/>
              <w:jc w:val="center"/>
              <w:textAlignment w:val="center"/>
              <w:rPr>
                <w:rFonts w:hint="eastAsia" w:ascii="Times New Roman" w:hAnsi="Times New Roman" w:eastAsia="宋体" w:cs="Times New Roman"/>
                <w:i/>
                <w:iCs/>
                <w:color w:val="000000"/>
                <w:kern w:val="0"/>
                <w:sz w:val="20"/>
                <w:szCs w:val="20"/>
                <w:u w:val="none"/>
                <w:lang w:val="en-US" w:eastAsia="zh-CN" w:bidi="ar"/>
              </w:rPr>
            </w:pPr>
            <w:r>
              <w:rPr>
                <w:rFonts w:hint="eastAsia" w:ascii="Times New Roman" w:hAnsi="Times New Roman" w:eastAsia="宋体" w:cs="Times New Roman"/>
                <w:i/>
                <w:iCs/>
                <w:color w:val="000000"/>
                <w:kern w:val="0"/>
                <w:sz w:val="20"/>
                <w:szCs w:val="20"/>
                <w:u w:val="none"/>
                <w:lang w:val="en-US" w:eastAsia="zh-CN" w:bidi="ar"/>
              </w:rPr>
              <w:t>t</w:t>
            </w:r>
          </w:p>
        </w:tc>
        <w:tc>
          <w:tcPr>
            <w:tcW w:w="1206" w:type="dxa"/>
            <w:tcBorders>
              <w:top w:val="nil"/>
              <w:left w:val="nil"/>
              <w:bottom w:val="nil"/>
              <w:right w:val="nil"/>
            </w:tcBorders>
            <w:shd w:val="clear" w:color="auto" w:fill="auto"/>
            <w:noWrap/>
            <w:vAlign w:val="center"/>
          </w:tcPr>
          <w:p w14:paraId="3C5166E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2.17</w:t>
            </w:r>
          </w:p>
        </w:tc>
        <w:tc>
          <w:tcPr>
            <w:tcW w:w="1090" w:type="dxa"/>
            <w:tcBorders>
              <w:top w:val="nil"/>
              <w:left w:val="nil"/>
              <w:bottom w:val="nil"/>
              <w:right w:val="nil"/>
            </w:tcBorders>
            <w:shd w:val="clear" w:color="auto" w:fill="auto"/>
            <w:noWrap/>
            <w:vAlign w:val="center"/>
          </w:tcPr>
          <w:p w14:paraId="676B97F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3.91</w:t>
            </w:r>
          </w:p>
        </w:tc>
        <w:tc>
          <w:tcPr>
            <w:tcW w:w="1206" w:type="dxa"/>
            <w:tcBorders>
              <w:top w:val="nil"/>
              <w:left w:val="nil"/>
              <w:bottom w:val="nil"/>
              <w:right w:val="nil"/>
            </w:tcBorders>
            <w:shd w:val="clear" w:color="auto" w:fill="auto"/>
            <w:noWrap/>
            <w:vAlign w:val="center"/>
          </w:tcPr>
          <w:p w14:paraId="54432D7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0.59</w:t>
            </w:r>
          </w:p>
        </w:tc>
        <w:tc>
          <w:tcPr>
            <w:tcW w:w="1090" w:type="dxa"/>
            <w:tcBorders>
              <w:top w:val="nil"/>
              <w:left w:val="nil"/>
              <w:bottom w:val="nil"/>
              <w:right w:val="nil"/>
            </w:tcBorders>
            <w:shd w:val="clear" w:color="auto" w:fill="auto"/>
            <w:noWrap/>
            <w:vAlign w:val="center"/>
          </w:tcPr>
          <w:p w14:paraId="0F3F034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1.93</w:t>
            </w:r>
          </w:p>
        </w:tc>
        <w:tc>
          <w:tcPr>
            <w:tcW w:w="1206" w:type="dxa"/>
            <w:tcBorders>
              <w:top w:val="nil"/>
              <w:left w:val="nil"/>
              <w:bottom w:val="nil"/>
              <w:right w:val="nil"/>
            </w:tcBorders>
            <w:shd w:val="clear" w:color="auto" w:fill="auto"/>
            <w:noWrap/>
            <w:vAlign w:val="center"/>
          </w:tcPr>
          <w:p w14:paraId="2837802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3.49</w:t>
            </w:r>
          </w:p>
        </w:tc>
        <w:tc>
          <w:tcPr>
            <w:tcW w:w="1166" w:type="dxa"/>
            <w:tcBorders>
              <w:top w:val="nil"/>
              <w:left w:val="nil"/>
              <w:bottom w:val="nil"/>
              <w:right w:val="nil"/>
            </w:tcBorders>
            <w:shd w:val="clear" w:color="auto" w:fill="auto"/>
            <w:noWrap/>
            <w:vAlign w:val="center"/>
          </w:tcPr>
          <w:p w14:paraId="245CE82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6.66</w:t>
            </w:r>
          </w:p>
        </w:tc>
      </w:tr>
      <w:tr w14:paraId="73959B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single" w:color="auto" w:sz="4" w:space="0"/>
              <w:right w:val="nil"/>
            </w:tcBorders>
            <w:shd w:val="clear" w:color="auto" w:fill="auto"/>
            <w:noWrap/>
            <w:vAlign w:val="center"/>
          </w:tcPr>
          <w:p w14:paraId="48AB7CBD">
            <w:pPr>
              <w:keepNext w:val="0"/>
              <w:keepLines w:val="0"/>
              <w:widowControl/>
              <w:suppressLineNumbers w:val="0"/>
              <w:snapToGrid w:val="0"/>
              <w:jc w:val="center"/>
              <w:textAlignment w:val="center"/>
              <w:rPr>
                <w:rFonts w:hint="eastAsia" w:ascii="Times New Roman" w:hAnsi="Times New Roman" w:eastAsia="宋体" w:cs="Times New Roman"/>
                <w:i/>
                <w:iCs/>
                <w:color w:val="000000"/>
                <w:kern w:val="0"/>
                <w:sz w:val="20"/>
                <w:szCs w:val="20"/>
                <w:u w:val="none"/>
                <w:lang w:val="en-US" w:eastAsia="zh-CN" w:bidi="ar"/>
              </w:rPr>
            </w:pPr>
            <w:r>
              <w:rPr>
                <w:rFonts w:hint="eastAsia" w:ascii="Times New Roman" w:hAnsi="Times New Roman" w:eastAsia="宋体" w:cs="Times New Roman"/>
                <w:i/>
                <w:iCs/>
                <w:color w:val="000000"/>
                <w:kern w:val="0"/>
                <w:sz w:val="20"/>
                <w:szCs w:val="20"/>
                <w:u w:val="none"/>
                <w:lang w:val="en-US" w:eastAsia="zh-CN" w:bidi="ar"/>
              </w:rPr>
              <w:t>P</w:t>
            </w:r>
          </w:p>
        </w:tc>
        <w:tc>
          <w:tcPr>
            <w:tcW w:w="1206" w:type="dxa"/>
            <w:tcBorders>
              <w:top w:val="nil"/>
              <w:left w:val="nil"/>
              <w:bottom w:val="single" w:color="auto" w:sz="4" w:space="0"/>
              <w:right w:val="nil"/>
            </w:tcBorders>
            <w:shd w:val="clear" w:color="auto" w:fill="auto"/>
            <w:noWrap/>
            <w:vAlign w:val="center"/>
          </w:tcPr>
          <w:p w14:paraId="073E8C33">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0.096</w:t>
            </w:r>
          </w:p>
        </w:tc>
        <w:tc>
          <w:tcPr>
            <w:tcW w:w="1090" w:type="dxa"/>
            <w:tcBorders>
              <w:top w:val="nil"/>
              <w:left w:val="nil"/>
              <w:bottom w:val="single" w:color="auto" w:sz="4" w:space="0"/>
              <w:right w:val="nil"/>
            </w:tcBorders>
            <w:shd w:val="clear" w:color="auto" w:fill="auto"/>
            <w:noWrap/>
            <w:vAlign w:val="center"/>
          </w:tcPr>
          <w:p w14:paraId="1005AC8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0.017</w:t>
            </w:r>
          </w:p>
        </w:tc>
        <w:tc>
          <w:tcPr>
            <w:tcW w:w="1206" w:type="dxa"/>
            <w:tcBorders>
              <w:top w:val="nil"/>
              <w:left w:val="nil"/>
              <w:bottom w:val="single" w:color="auto" w:sz="4" w:space="0"/>
              <w:right w:val="nil"/>
            </w:tcBorders>
            <w:shd w:val="clear" w:color="auto" w:fill="auto"/>
            <w:noWrap/>
            <w:vAlign w:val="center"/>
          </w:tcPr>
          <w:p w14:paraId="6D804D4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0.587</w:t>
            </w:r>
          </w:p>
        </w:tc>
        <w:tc>
          <w:tcPr>
            <w:tcW w:w="1090" w:type="dxa"/>
            <w:tcBorders>
              <w:top w:val="nil"/>
              <w:left w:val="nil"/>
              <w:bottom w:val="single" w:color="auto" w:sz="4" w:space="0"/>
              <w:right w:val="nil"/>
            </w:tcBorders>
            <w:shd w:val="clear" w:color="auto" w:fill="auto"/>
            <w:noWrap/>
            <w:vAlign w:val="center"/>
          </w:tcPr>
          <w:p w14:paraId="5EB5B56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0.125</w:t>
            </w:r>
          </w:p>
        </w:tc>
        <w:tc>
          <w:tcPr>
            <w:tcW w:w="1206" w:type="dxa"/>
            <w:tcBorders>
              <w:top w:val="nil"/>
              <w:left w:val="nil"/>
              <w:bottom w:val="single" w:color="auto" w:sz="4" w:space="0"/>
              <w:right w:val="nil"/>
            </w:tcBorders>
            <w:shd w:val="clear" w:color="auto" w:fill="auto"/>
            <w:noWrap/>
            <w:vAlign w:val="center"/>
          </w:tcPr>
          <w:p w14:paraId="062C8CE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0.025</w:t>
            </w:r>
          </w:p>
        </w:tc>
        <w:tc>
          <w:tcPr>
            <w:tcW w:w="1166" w:type="dxa"/>
            <w:tcBorders>
              <w:top w:val="nil"/>
              <w:left w:val="nil"/>
              <w:bottom w:val="single" w:color="auto" w:sz="4" w:space="0"/>
              <w:right w:val="nil"/>
            </w:tcBorders>
            <w:shd w:val="clear" w:color="auto" w:fill="auto"/>
            <w:noWrap/>
            <w:vAlign w:val="center"/>
          </w:tcPr>
          <w:p w14:paraId="0D8C8C0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0.003</w:t>
            </w:r>
          </w:p>
        </w:tc>
      </w:tr>
    </w:tbl>
    <w:p w14:paraId="3210CF7B">
      <w:pPr>
        <w:jc w:val="both"/>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Notes：AAPC：average annual percentage change；CI：confidence interval.</w:t>
      </w:r>
    </w:p>
    <w:p w14:paraId="2B762655">
      <w:pPr>
        <w:jc w:val="both"/>
        <w:rPr>
          <w:rFonts w:hint="eastAsia" w:ascii="Times New Roman" w:hAnsi="Times New Roman" w:eastAsia="宋体" w:cs="Times New Roman"/>
          <w:sz w:val="24"/>
          <w:szCs w:val="32"/>
        </w:rPr>
      </w:pPr>
    </w:p>
    <w:p w14:paraId="09181361">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楷体" w:hAnsi="楷体" w:eastAsia="楷体" w:cs="楷体"/>
          <w:kern w:val="0"/>
          <w:sz w:val="24"/>
          <w:szCs w:val="20"/>
          <w:lang w:val="en-US" w:eastAsia="zh-CN" w:bidi="ar-SA"/>
        </w:rPr>
      </w:pPr>
      <w:r>
        <w:rPr>
          <w:rFonts w:hint="eastAsia" w:ascii="楷体" w:hAnsi="楷体" w:eastAsia="楷体" w:cs="楷体"/>
          <w:kern w:val="0"/>
          <w:sz w:val="24"/>
          <w:szCs w:val="20"/>
          <w:lang w:val="en-US" w:eastAsia="zh-CN" w:bidi="ar-SA"/>
        </w:rPr>
        <w:t>2.4 2018—2023年宿迁市结直肠癌死亡率及其变化趋势</w:t>
      </w:r>
    </w:p>
    <w:p w14:paraId="069F6CED">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2018—2023年宿迁市结直肠癌死亡率呈上升趋势（AAPC=9.36%，</w:t>
      </w:r>
      <w:r>
        <w:rPr>
          <w:rFonts w:hint="eastAsia" w:ascii="Times New Roman" w:hAnsi="Times New Roman" w:eastAsia="宋体" w:cs="Times New Roman"/>
          <w:i/>
          <w:iCs/>
          <w:kern w:val="0"/>
          <w:sz w:val="24"/>
          <w:szCs w:val="20"/>
          <w:lang w:val="en-US" w:eastAsia="zh-CN" w:bidi="ar-SA"/>
        </w:rPr>
        <w:t>P</w:t>
      </w:r>
      <w:r>
        <w:rPr>
          <w:rFonts w:hint="eastAsia" w:ascii="Times New Roman" w:hAnsi="Times New Roman" w:eastAsia="宋体" w:cs="Times New Roman"/>
          <w:kern w:val="0"/>
          <w:sz w:val="24"/>
          <w:szCs w:val="20"/>
          <w:lang w:val="en-US" w:eastAsia="zh-CN" w:bidi="ar-SA"/>
        </w:rPr>
        <w:t>&lt;0.05）。</w:t>
      </w:r>
      <w:r>
        <w:rPr>
          <w:rFonts w:hint="eastAsia" w:ascii="Times New Roman" w:hAnsi="Times New Roman" w:eastAsia="宋体" w:cs="Times New Roman"/>
          <w:kern w:val="0"/>
          <w:sz w:val="24"/>
          <w:szCs w:val="20"/>
          <w:highlight w:val="yellow"/>
          <w:lang w:val="en-US" w:eastAsia="zh-CN" w:bidi="ar-SA"/>
        </w:rPr>
        <w:t>男性死亡率、男性中标死亡率和女性死亡率</w:t>
      </w:r>
      <w:r>
        <w:rPr>
          <w:rFonts w:hint="eastAsia" w:ascii="Times New Roman" w:hAnsi="Times New Roman" w:eastAsia="宋体" w:cs="Times New Roman"/>
          <w:kern w:val="0"/>
          <w:sz w:val="24"/>
          <w:szCs w:val="20"/>
          <w:lang w:val="en-US" w:eastAsia="zh-CN" w:bidi="ar-SA"/>
        </w:rPr>
        <w:t>都呈现上升趋势，AAPC分别为9.97%、5.51%和8.43%，P值均小于0.05。合计死亡率和女性中标死亡率同样呈现上升趋势，AAPC分别为4.18%和1.87%，但无统计学意义（</w:t>
      </w:r>
      <w:r>
        <w:rPr>
          <w:rFonts w:hint="eastAsia" w:ascii="Times New Roman" w:hAnsi="Times New Roman" w:eastAsia="宋体" w:cs="Times New Roman"/>
          <w:i/>
          <w:iCs/>
          <w:kern w:val="0"/>
          <w:sz w:val="24"/>
          <w:szCs w:val="20"/>
          <w:lang w:val="en-US" w:eastAsia="zh-CN" w:bidi="ar-SA"/>
        </w:rPr>
        <w:t>P</w:t>
      </w:r>
      <w:r>
        <w:rPr>
          <w:rFonts w:hint="eastAsia" w:ascii="Times New Roman" w:hAnsi="Times New Roman" w:eastAsia="宋体" w:cs="Times New Roman"/>
          <w:kern w:val="0"/>
          <w:sz w:val="24"/>
          <w:szCs w:val="20"/>
          <w:lang w:val="en-US" w:eastAsia="zh-CN" w:bidi="ar-SA"/>
        </w:rPr>
        <w:t>&gt;0.05）（Table5）。分年龄组结果显示，65~74、75~84及85岁及以上年龄组结直肠癌死亡率也均呈上升趋势（</w:t>
      </w:r>
      <w:r>
        <w:rPr>
          <w:rFonts w:hint="eastAsia" w:ascii="Times New Roman" w:hAnsi="Times New Roman" w:eastAsia="宋体" w:cs="Times New Roman"/>
          <w:i/>
          <w:iCs/>
          <w:kern w:val="0"/>
          <w:sz w:val="24"/>
          <w:szCs w:val="20"/>
          <w:lang w:val="en-US" w:eastAsia="zh-CN" w:bidi="ar-SA"/>
        </w:rPr>
        <w:t>P</w:t>
      </w:r>
      <w:r>
        <w:rPr>
          <w:rFonts w:hint="eastAsia" w:ascii="Times New Roman" w:hAnsi="Times New Roman" w:eastAsia="宋体" w:cs="Times New Roman"/>
          <w:kern w:val="0"/>
          <w:sz w:val="24"/>
          <w:szCs w:val="20"/>
          <w:lang w:val="en-US" w:eastAsia="zh-CN" w:bidi="ar-SA"/>
        </w:rPr>
        <w:t>&lt;0.05）（Table 6）。</w:t>
      </w:r>
    </w:p>
    <w:p w14:paraId="0A7218B7">
      <w:pPr>
        <w:jc w:val="both"/>
        <w:rPr>
          <w:rFonts w:hint="eastAsia" w:ascii="Times New Roman" w:hAnsi="Times New Roman" w:eastAsia="宋体" w:cs="Times New Roman"/>
          <w:sz w:val="24"/>
          <w:szCs w:val="32"/>
        </w:rPr>
      </w:pPr>
      <w:r>
        <w:rPr>
          <w:rFonts w:hint="eastAsia" w:ascii="Times New Roman" w:hAnsi="Times New Roman" w:eastAsia="宋体" w:cs="Times New Roman"/>
          <w:sz w:val="24"/>
          <w:szCs w:val="32"/>
          <w:lang w:val="en-US" w:eastAsia="zh-CN"/>
        </w:rPr>
        <w:t>Table</w:t>
      </w:r>
      <w:r>
        <w:rPr>
          <w:rFonts w:hint="eastAsia" w:ascii="Times New Roman" w:hAnsi="Times New Roman" w:eastAsia="宋体" w:cs="Times New Roman"/>
          <w:sz w:val="24"/>
          <w:szCs w:val="32"/>
        </w:rPr>
        <w:t xml:space="preserve"> </w:t>
      </w:r>
      <w:r>
        <w:rPr>
          <w:rFonts w:hint="eastAsia" w:ascii="Times New Roman" w:hAnsi="Times New Roman" w:eastAsia="宋体" w:cs="Times New Roman"/>
          <w:sz w:val="24"/>
          <w:szCs w:val="32"/>
          <w:lang w:val="en-US" w:eastAsia="zh-CN"/>
        </w:rPr>
        <w:t>5</w:t>
      </w:r>
      <w:r>
        <w:rPr>
          <w:rFonts w:hint="eastAsia" w:ascii="Times New Roman" w:hAnsi="Times New Roman" w:eastAsia="宋体" w:cs="Times New Roman"/>
          <w:sz w:val="24"/>
          <w:szCs w:val="32"/>
        </w:rPr>
        <w:t xml:space="preserve"> Mortality trends of colorectal cancers in </w:t>
      </w:r>
      <w:r>
        <w:rPr>
          <w:rFonts w:hint="eastAsia" w:ascii="Times New Roman" w:hAnsi="Times New Roman" w:eastAsia="宋体" w:cs="Times New Roman"/>
          <w:sz w:val="24"/>
          <w:szCs w:val="32"/>
          <w:lang w:val="en-US" w:eastAsia="zh-CN"/>
        </w:rPr>
        <w:t>Suqian</w:t>
      </w:r>
      <w:r>
        <w:rPr>
          <w:rFonts w:hint="eastAsia" w:ascii="Times New Roman" w:hAnsi="Times New Roman" w:eastAsia="宋体" w:cs="Times New Roman"/>
          <w:sz w:val="24"/>
          <w:szCs w:val="32"/>
        </w:rPr>
        <w:t xml:space="preserve"> City</w:t>
      </w:r>
      <w:r>
        <w:rPr>
          <w:rFonts w:hint="eastAsia" w:ascii="Times New Roman" w:hAnsi="Times New Roman" w:eastAsia="宋体" w:cs="Times New Roman"/>
          <w:sz w:val="24"/>
          <w:szCs w:val="32"/>
          <w:lang w:val="en-US" w:eastAsia="zh-CN"/>
        </w:rPr>
        <w:t xml:space="preserve"> </w:t>
      </w:r>
      <w:r>
        <w:rPr>
          <w:rFonts w:hint="eastAsia" w:ascii="Times New Roman" w:hAnsi="Times New Roman" w:eastAsia="宋体" w:cs="Times New Roman"/>
          <w:sz w:val="24"/>
          <w:szCs w:val="32"/>
        </w:rPr>
        <w:t>from 201</w:t>
      </w:r>
      <w:r>
        <w:rPr>
          <w:rFonts w:hint="eastAsia" w:ascii="Times New Roman" w:hAnsi="Times New Roman" w:eastAsia="宋体" w:cs="Times New Roman"/>
          <w:sz w:val="24"/>
          <w:szCs w:val="32"/>
          <w:lang w:val="en-US" w:eastAsia="zh-CN"/>
        </w:rPr>
        <w:t>8</w:t>
      </w:r>
      <w:r>
        <w:rPr>
          <w:rFonts w:hint="eastAsia" w:ascii="Times New Roman" w:hAnsi="Times New Roman" w:eastAsia="宋体" w:cs="Times New Roman"/>
          <w:sz w:val="24"/>
          <w:szCs w:val="32"/>
        </w:rPr>
        <w:t xml:space="preserve"> to 202</w:t>
      </w:r>
      <w:r>
        <w:rPr>
          <w:rFonts w:hint="eastAsia" w:ascii="Times New Roman" w:hAnsi="Times New Roman" w:eastAsia="宋体" w:cs="Times New Roman"/>
          <w:sz w:val="24"/>
          <w:szCs w:val="32"/>
          <w:lang w:val="en-US" w:eastAsia="zh-CN"/>
        </w:rPr>
        <w:t>3</w:t>
      </w:r>
      <w:r>
        <w:rPr>
          <w:rFonts w:hint="eastAsia" w:ascii="Times New Roman" w:hAnsi="Times New Roman" w:eastAsia="宋体" w:cs="Times New Roman"/>
          <w:sz w:val="24"/>
          <w:szCs w:val="32"/>
        </w:rPr>
        <w:t>（1/10</w:t>
      </w:r>
      <w:r>
        <w:rPr>
          <w:rFonts w:hint="eastAsia" w:ascii="Times New Roman" w:hAnsi="Times New Roman" w:eastAsia="宋体" w:cs="Times New Roman"/>
          <w:sz w:val="24"/>
          <w:szCs w:val="32"/>
          <w:vertAlign w:val="superscript"/>
        </w:rPr>
        <w:t>5</w:t>
      </w:r>
      <w:r>
        <w:rPr>
          <w:rFonts w:hint="eastAsia" w:ascii="Times New Roman" w:hAnsi="Times New Roman" w:eastAsia="宋体" w:cs="Times New Roman"/>
          <w:sz w:val="24"/>
          <w:szCs w:val="32"/>
        </w:rPr>
        <w:t>）</w:t>
      </w:r>
    </w:p>
    <w:tbl>
      <w:tblPr>
        <w:tblStyle w:val="2"/>
        <w:tblW w:w="84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40" w:type="dxa"/>
          <w:left w:w="64" w:type="dxa"/>
          <w:bottom w:w="40" w:type="dxa"/>
          <w:right w:w="64" w:type="dxa"/>
        </w:tblCellMar>
      </w:tblPr>
      <w:tblGrid>
        <w:gridCol w:w="1468"/>
        <w:gridCol w:w="1206"/>
        <w:gridCol w:w="1090"/>
        <w:gridCol w:w="1206"/>
        <w:gridCol w:w="1090"/>
        <w:gridCol w:w="1206"/>
        <w:gridCol w:w="1166"/>
      </w:tblGrid>
      <w:tr w14:paraId="2AA6B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tblHeader/>
          <w:jc w:val="center"/>
        </w:trPr>
        <w:tc>
          <w:tcPr>
            <w:tcW w:w="1468" w:type="dxa"/>
            <w:vMerge w:val="restart"/>
            <w:tcBorders>
              <w:top w:val="single" w:color="auto" w:sz="4" w:space="0"/>
              <w:left w:val="nil"/>
              <w:right w:val="nil"/>
            </w:tcBorders>
            <w:shd w:val="clear" w:color="auto" w:fill="auto"/>
            <w:noWrap/>
            <w:vAlign w:val="center"/>
          </w:tcPr>
          <w:p w14:paraId="56B2F253">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Year</w:t>
            </w:r>
          </w:p>
        </w:tc>
        <w:tc>
          <w:tcPr>
            <w:tcW w:w="1090" w:type="dxa"/>
            <w:gridSpan w:val="2"/>
            <w:tcBorders>
              <w:top w:val="single" w:color="auto" w:sz="4" w:space="0"/>
              <w:left w:val="nil"/>
              <w:bottom w:val="nil"/>
              <w:right w:val="nil"/>
            </w:tcBorders>
            <w:shd w:val="clear" w:color="auto" w:fill="auto"/>
            <w:noWrap/>
            <w:vAlign w:val="center"/>
          </w:tcPr>
          <w:p w14:paraId="047AFB4B">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Both</w:t>
            </w:r>
          </w:p>
        </w:tc>
        <w:tc>
          <w:tcPr>
            <w:tcW w:w="1090" w:type="dxa"/>
            <w:gridSpan w:val="2"/>
            <w:tcBorders>
              <w:top w:val="single" w:color="auto" w:sz="4" w:space="0"/>
              <w:left w:val="nil"/>
              <w:bottom w:val="nil"/>
              <w:right w:val="nil"/>
            </w:tcBorders>
            <w:shd w:val="clear" w:color="auto" w:fill="auto"/>
            <w:noWrap/>
            <w:vAlign w:val="center"/>
          </w:tcPr>
          <w:p w14:paraId="055AABB0">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default" w:ascii="Times New Roman" w:hAnsi="Times New Roman" w:eastAsia="宋体" w:cs="Times New Roman"/>
                <w:b w:val="0"/>
                <w:bCs/>
                <w:i w:val="0"/>
                <w:iCs w:val="0"/>
                <w:color w:val="000000"/>
                <w:kern w:val="0"/>
                <w:sz w:val="20"/>
                <w:szCs w:val="20"/>
                <w:u w:val="none"/>
                <w:lang w:val="en-US" w:eastAsia="zh-CN" w:bidi="ar"/>
              </w:rPr>
              <w:t>Male</w:t>
            </w:r>
          </w:p>
        </w:tc>
        <w:tc>
          <w:tcPr>
            <w:tcW w:w="1166" w:type="dxa"/>
            <w:gridSpan w:val="2"/>
            <w:tcBorders>
              <w:top w:val="single" w:color="auto" w:sz="4" w:space="0"/>
              <w:left w:val="nil"/>
              <w:bottom w:val="nil"/>
              <w:right w:val="nil"/>
            </w:tcBorders>
            <w:shd w:val="clear" w:color="auto" w:fill="auto"/>
            <w:noWrap/>
            <w:vAlign w:val="center"/>
          </w:tcPr>
          <w:p w14:paraId="4A4CE04D">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default" w:ascii="Times New Roman" w:hAnsi="Times New Roman" w:eastAsia="宋体" w:cs="Times New Roman"/>
                <w:b w:val="0"/>
                <w:bCs/>
                <w:i w:val="0"/>
                <w:iCs w:val="0"/>
                <w:color w:val="000000"/>
                <w:kern w:val="0"/>
                <w:sz w:val="20"/>
                <w:szCs w:val="20"/>
                <w:u w:val="none"/>
                <w:lang w:val="en-US" w:eastAsia="zh-CN" w:bidi="ar"/>
              </w:rPr>
              <w:t>Female</w:t>
            </w:r>
          </w:p>
        </w:tc>
      </w:tr>
      <w:tr w14:paraId="788798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tblHeader/>
          <w:jc w:val="center"/>
        </w:trPr>
        <w:tc>
          <w:tcPr>
            <w:tcW w:w="1468" w:type="dxa"/>
            <w:vMerge w:val="continue"/>
            <w:tcBorders>
              <w:left w:val="nil"/>
              <w:bottom w:val="single" w:color="auto" w:sz="4" w:space="0"/>
              <w:right w:val="nil"/>
            </w:tcBorders>
            <w:shd w:val="clear" w:color="auto" w:fill="auto"/>
            <w:noWrap/>
            <w:vAlign w:val="center"/>
          </w:tcPr>
          <w:p w14:paraId="37484B34">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p>
        </w:tc>
        <w:tc>
          <w:tcPr>
            <w:tcW w:w="1206" w:type="dxa"/>
            <w:tcBorders>
              <w:top w:val="nil"/>
              <w:left w:val="nil"/>
              <w:bottom w:val="single" w:color="auto" w:sz="4" w:space="0"/>
              <w:right w:val="nil"/>
            </w:tcBorders>
            <w:shd w:val="clear" w:color="auto" w:fill="auto"/>
            <w:noWrap/>
            <w:vAlign w:val="center"/>
          </w:tcPr>
          <w:p w14:paraId="2AE0EFB7">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Crude</w:t>
            </w:r>
          </w:p>
          <w:p w14:paraId="66792249">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Mortality</w:t>
            </w:r>
          </w:p>
        </w:tc>
        <w:tc>
          <w:tcPr>
            <w:tcW w:w="1090" w:type="dxa"/>
            <w:tcBorders>
              <w:top w:val="nil"/>
              <w:left w:val="nil"/>
              <w:bottom w:val="single" w:color="auto" w:sz="4" w:space="0"/>
              <w:right w:val="nil"/>
            </w:tcBorders>
            <w:shd w:val="clear" w:color="auto" w:fill="auto"/>
            <w:noWrap/>
            <w:vAlign w:val="center"/>
          </w:tcPr>
          <w:p w14:paraId="1A814FA5">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ASMRC</w:t>
            </w:r>
          </w:p>
        </w:tc>
        <w:tc>
          <w:tcPr>
            <w:tcW w:w="1206" w:type="dxa"/>
            <w:tcBorders>
              <w:top w:val="nil"/>
              <w:left w:val="nil"/>
              <w:bottom w:val="single" w:color="auto" w:sz="4" w:space="0"/>
              <w:right w:val="nil"/>
            </w:tcBorders>
            <w:shd w:val="clear" w:color="auto" w:fill="auto"/>
            <w:noWrap/>
            <w:vAlign w:val="center"/>
          </w:tcPr>
          <w:p w14:paraId="109913DA">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Crude</w:t>
            </w:r>
          </w:p>
          <w:p w14:paraId="7809EF45">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Mortality</w:t>
            </w:r>
          </w:p>
        </w:tc>
        <w:tc>
          <w:tcPr>
            <w:tcW w:w="1090" w:type="dxa"/>
            <w:tcBorders>
              <w:top w:val="nil"/>
              <w:left w:val="nil"/>
              <w:bottom w:val="single" w:color="auto" w:sz="4" w:space="0"/>
              <w:right w:val="nil"/>
            </w:tcBorders>
            <w:shd w:val="clear" w:color="auto" w:fill="auto"/>
            <w:noWrap/>
            <w:vAlign w:val="center"/>
          </w:tcPr>
          <w:p w14:paraId="07FFEBC0">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ASMRC</w:t>
            </w:r>
          </w:p>
        </w:tc>
        <w:tc>
          <w:tcPr>
            <w:tcW w:w="1206" w:type="dxa"/>
            <w:tcBorders>
              <w:top w:val="nil"/>
              <w:left w:val="nil"/>
              <w:bottom w:val="single" w:color="auto" w:sz="4" w:space="0"/>
              <w:right w:val="nil"/>
            </w:tcBorders>
            <w:shd w:val="clear" w:color="auto" w:fill="auto"/>
            <w:noWrap/>
            <w:vAlign w:val="center"/>
          </w:tcPr>
          <w:p w14:paraId="0EEABD94">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Crude</w:t>
            </w:r>
          </w:p>
          <w:p w14:paraId="6630FC79">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Mortality</w:t>
            </w:r>
          </w:p>
        </w:tc>
        <w:tc>
          <w:tcPr>
            <w:tcW w:w="1166" w:type="dxa"/>
            <w:tcBorders>
              <w:top w:val="nil"/>
              <w:left w:val="nil"/>
              <w:bottom w:val="single" w:color="auto" w:sz="4" w:space="0"/>
              <w:right w:val="nil"/>
            </w:tcBorders>
            <w:shd w:val="clear" w:color="auto" w:fill="auto"/>
            <w:noWrap/>
            <w:vAlign w:val="center"/>
          </w:tcPr>
          <w:p w14:paraId="52D588A2">
            <w:pPr>
              <w:keepNext w:val="0"/>
              <w:keepLines w:val="0"/>
              <w:widowControl/>
              <w:suppressLineNumbers w:val="0"/>
              <w:snapToGrid w:val="0"/>
              <w:jc w:val="center"/>
              <w:textAlignment w:val="center"/>
              <w:rPr>
                <w:rFonts w:hint="eastAsia"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ASMRC</w:t>
            </w:r>
          </w:p>
        </w:tc>
      </w:tr>
      <w:tr w14:paraId="7DC337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single" w:color="auto" w:sz="4" w:space="0"/>
              <w:left w:val="nil"/>
              <w:bottom w:val="nil"/>
              <w:right w:val="nil"/>
            </w:tcBorders>
            <w:shd w:val="clear" w:color="auto" w:fill="auto"/>
            <w:noWrap/>
            <w:vAlign w:val="center"/>
          </w:tcPr>
          <w:p w14:paraId="7FA62A1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2018</w:t>
            </w:r>
          </w:p>
        </w:tc>
        <w:tc>
          <w:tcPr>
            <w:tcW w:w="1206" w:type="dxa"/>
            <w:tcBorders>
              <w:top w:val="single" w:color="auto" w:sz="4" w:space="0"/>
              <w:left w:val="nil"/>
              <w:bottom w:val="nil"/>
              <w:right w:val="nil"/>
            </w:tcBorders>
            <w:shd w:val="clear" w:color="auto" w:fill="auto"/>
            <w:noWrap/>
            <w:vAlign w:val="center"/>
          </w:tcPr>
          <w:p w14:paraId="2B0C516E">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7.14</w:t>
            </w:r>
          </w:p>
        </w:tc>
        <w:tc>
          <w:tcPr>
            <w:tcW w:w="1090" w:type="dxa"/>
            <w:tcBorders>
              <w:top w:val="single" w:color="auto" w:sz="4" w:space="0"/>
              <w:left w:val="nil"/>
              <w:bottom w:val="nil"/>
              <w:right w:val="nil"/>
            </w:tcBorders>
            <w:shd w:val="clear" w:color="auto" w:fill="auto"/>
            <w:noWrap/>
            <w:vAlign w:val="center"/>
          </w:tcPr>
          <w:p w14:paraId="7524457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4.51</w:t>
            </w:r>
          </w:p>
        </w:tc>
        <w:tc>
          <w:tcPr>
            <w:tcW w:w="1206" w:type="dxa"/>
            <w:tcBorders>
              <w:top w:val="single" w:color="auto" w:sz="4" w:space="0"/>
              <w:left w:val="nil"/>
              <w:bottom w:val="nil"/>
              <w:right w:val="nil"/>
            </w:tcBorders>
            <w:shd w:val="clear" w:color="auto" w:fill="auto"/>
            <w:noWrap/>
            <w:vAlign w:val="center"/>
          </w:tcPr>
          <w:p w14:paraId="7A2B954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8.35</w:t>
            </w:r>
          </w:p>
        </w:tc>
        <w:tc>
          <w:tcPr>
            <w:tcW w:w="1090" w:type="dxa"/>
            <w:tcBorders>
              <w:top w:val="single" w:color="auto" w:sz="4" w:space="0"/>
              <w:left w:val="nil"/>
              <w:bottom w:val="nil"/>
              <w:right w:val="nil"/>
            </w:tcBorders>
            <w:shd w:val="clear" w:color="auto" w:fill="auto"/>
            <w:noWrap/>
            <w:vAlign w:val="center"/>
          </w:tcPr>
          <w:p w14:paraId="2C338E9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5.66</w:t>
            </w:r>
          </w:p>
        </w:tc>
        <w:tc>
          <w:tcPr>
            <w:tcW w:w="1206" w:type="dxa"/>
            <w:tcBorders>
              <w:top w:val="single" w:color="auto" w:sz="4" w:space="0"/>
              <w:left w:val="nil"/>
              <w:bottom w:val="nil"/>
              <w:right w:val="nil"/>
            </w:tcBorders>
            <w:shd w:val="clear" w:color="auto" w:fill="auto"/>
            <w:noWrap/>
            <w:vAlign w:val="center"/>
          </w:tcPr>
          <w:p w14:paraId="5974F19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5.83</w:t>
            </w:r>
          </w:p>
        </w:tc>
        <w:tc>
          <w:tcPr>
            <w:tcW w:w="1166" w:type="dxa"/>
            <w:tcBorders>
              <w:top w:val="single" w:color="auto" w:sz="4" w:space="0"/>
              <w:left w:val="nil"/>
              <w:bottom w:val="nil"/>
              <w:right w:val="nil"/>
            </w:tcBorders>
            <w:shd w:val="clear" w:color="auto" w:fill="auto"/>
            <w:noWrap/>
            <w:vAlign w:val="center"/>
          </w:tcPr>
          <w:p w14:paraId="5B74FE5D">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3.43</w:t>
            </w:r>
          </w:p>
        </w:tc>
      </w:tr>
      <w:tr w14:paraId="3AB0A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7B1B7C9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2019</w:t>
            </w:r>
          </w:p>
        </w:tc>
        <w:tc>
          <w:tcPr>
            <w:tcW w:w="1206" w:type="dxa"/>
            <w:tcBorders>
              <w:top w:val="nil"/>
              <w:left w:val="nil"/>
              <w:bottom w:val="nil"/>
              <w:right w:val="nil"/>
            </w:tcBorders>
            <w:shd w:val="clear" w:color="auto" w:fill="auto"/>
            <w:noWrap/>
            <w:vAlign w:val="center"/>
          </w:tcPr>
          <w:p w14:paraId="47103C1E">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7.01</w:t>
            </w:r>
          </w:p>
        </w:tc>
        <w:tc>
          <w:tcPr>
            <w:tcW w:w="1090" w:type="dxa"/>
            <w:tcBorders>
              <w:top w:val="nil"/>
              <w:left w:val="nil"/>
              <w:bottom w:val="nil"/>
              <w:right w:val="nil"/>
            </w:tcBorders>
            <w:shd w:val="clear" w:color="auto" w:fill="auto"/>
            <w:noWrap/>
            <w:vAlign w:val="center"/>
          </w:tcPr>
          <w:p w14:paraId="240EB7B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4.43</w:t>
            </w:r>
          </w:p>
        </w:tc>
        <w:tc>
          <w:tcPr>
            <w:tcW w:w="1206" w:type="dxa"/>
            <w:tcBorders>
              <w:top w:val="nil"/>
              <w:left w:val="nil"/>
              <w:bottom w:val="nil"/>
              <w:right w:val="nil"/>
            </w:tcBorders>
            <w:shd w:val="clear" w:color="auto" w:fill="auto"/>
            <w:noWrap/>
            <w:vAlign w:val="center"/>
          </w:tcPr>
          <w:p w14:paraId="5E4D089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7.88</w:t>
            </w:r>
          </w:p>
        </w:tc>
        <w:tc>
          <w:tcPr>
            <w:tcW w:w="1090" w:type="dxa"/>
            <w:tcBorders>
              <w:top w:val="nil"/>
              <w:left w:val="nil"/>
              <w:bottom w:val="nil"/>
              <w:right w:val="nil"/>
            </w:tcBorders>
            <w:shd w:val="clear" w:color="auto" w:fill="auto"/>
            <w:noWrap/>
            <w:vAlign w:val="center"/>
          </w:tcPr>
          <w:p w14:paraId="2CD3AB2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5.41</w:t>
            </w:r>
          </w:p>
        </w:tc>
        <w:tc>
          <w:tcPr>
            <w:tcW w:w="1206" w:type="dxa"/>
            <w:tcBorders>
              <w:top w:val="nil"/>
              <w:left w:val="nil"/>
              <w:bottom w:val="nil"/>
              <w:right w:val="nil"/>
            </w:tcBorders>
            <w:shd w:val="clear" w:color="auto" w:fill="auto"/>
            <w:noWrap/>
            <w:vAlign w:val="center"/>
          </w:tcPr>
          <w:p w14:paraId="351CAFC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6.07</w:t>
            </w:r>
          </w:p>
        </w:tc>
        <w:tc>
          <w:tcPr>
            <w:tcW w:w="1166" w:type="dxa"/>
            <w:tcBorders>
              <w:top w:val="nil"/>
              <w:left w:val="nil"/>
              <w:bottom w:val="nil"/>
              <w:right w:val="nil"/>
            </w:tcBorders>
            <w:shd w:val="clear" w:color="auto" w:fill="auto"/>
            <w:noWrap/>
            <w:vAlign w:val="center"/>
          </w:tcPr>
          <w:p w14:paraId="2525B3F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3.51</w:t>
            </w:r>
          </w:p>
        </w:tc>
      </w:tr>
      <w:tr w14:paraId="4D7D0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2FFCE0E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2020</w:t>
            </w:r>
          </w:p>
        </w:tc>
        <w:tc>
          <w:tcPr>
            <w:tcW w:w="1206" w:type="dxa"/>
            <w:tcBorders>
              <w:top w:val="nil"/>
              <w:left w:val="nil"/>
              <w:bottom w:val="nil"/>
              <w:right w:val="nil"/>
            </w:tcBorders>
            <w:shd w:val="clear" w:color="auto" w:fill="auto"/>
            <w:noWrap/>
            <w:vAlign w:val="center"/>
          </w:tcPr>
          <w:p w14:paraId="5DBBEAB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8.26</w:t>
            </w:r>
          </w:p>
        </w:tc>
        <w:tc>
          <w:tcPr>
            <w:tcW w:w="1090" w:type="dxa"/>
            <w:tcBorders>
              <w:top w:val="nil"/>
              <w:left w:val="nil"/>
              <w:bottom w:val="nil"/>
              <w:right w:val="nil"/>
            </w:tcBorders>
            <w:shd w:val="clear" w:color="auto" w:fill="auto"/>
            <w:noWrap/>
            <w:vAlign w:val="center"/>
          </w:tcPr>
          <w:p w14:paraId="62ADF0E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4.74</w:t>
            </w:r>
          </w:p>
        </w:tc>
        <w:tc>
          <w:tcPr>
            <w:tcW w:w="1206" w:type="dxa"/>
            <w:tcBorders>
              <w:top w:val="nil"/>
              <w:left w:val="nil"/>
              <w:bottom w:val="nil"/>
              <w:right w:val="nil"/>
            </w:tcBorders>
            <w:shd w:val="clear" w:color="auto" w:fill="auto"/>
            <w:noWrap/>
            <w:vAlign w:val="center"/>
          </w:tcPr>
          <w:p w14:paraId="33EBE96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9.38</w:t>
            </w:r>
          </w:p>
        </w:tc>
        <w:tc>
          <w:tcPr>
            <w:tcW w:w="1090" w:type="dxa"/>
            <w:tcBorders>
              <w:top w:val="nil"/>
              <w:left w:val="nil"/>
              <w:bottom w:val="nil"/>
              <w:right w:val="nil"/>
            </w:tcBorders>
            <w:shd w:val="clear" w:color="auto" w:fill="auto"/>
            <w:noWrap/>
            <w:vAlign w:val="center"/>
          </w:tcPr>
          <w:p w14:paraId="21B19ABD">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5.85</w:t>
            </w:r>
          </w:p>
        </w:tc>
        <w:tc>
          <w:tcPr>
            <w:tcW w:w="1206" w:type="dxa"/>
            <w:tcBorders>
              <w:top w:val="nil"/>
              <w:left w:val="nil"/>
              <w:bottom w:val="nil"/>
              <w:right w:val="nil"/>
            </w:tcBorders>
            <w:shd w:val="clear" w:color="auto" w:fill="auto"/>
            <w:noWrap/>
            <w:vAlign w:val="center"/>
          </w:tcPr>
          <w:p w14:paraId="29BFD53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7.05</w:t>
            </w:r>
          </w:p>
        </w:tc>
        <w:tc>
          <w:tcPr>
            <w:tcW w:w="1166" w:type="dxa"/>
            <w:tcBorders>
              <w:top w:val="nil"/>
              <w:left w:val="nil"/>
              <w:bottom w:val="nil"/>
              <w:right w:val="nil"/>
            </w:tcBorders>
            <w:shd w:val="clear" w:color="auto" w:fill="auto"/>
            <w:noWrap/>
            <w:vAlign w:val="center"/>
          </w:tcPr>
          <w:p w14:paraId="49CE394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3.66</w:t>
            </w:r>
          </w:p>
        </w:tc>
      </w:tr>
      <w:tr w14:paraId="30F7BB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119E12C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2021</w:t>
            </w:r>
          </w:p>
        </w:tc>
        <w:tc>
          <w:tcPr>
            <w:tcW w:w="1206" w:type="dxa"/>
            <w:tcBorders>
              <w:top w:val="nil"/>
              <w:left w:val="nil"/>
              <w:bottom w:val="nil"/>
              <w:right w:val="nil"/>
            </w:tcBorders>
            <w:shd w:val="clear" w:color="auto" w:fill="auto"/>
            <w:noWrap/>
            <w:vAlign w:val="center"/>
          </w:tcPr>
          <w:p w14:paraId="144059E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9.53</w:t>
            </w:r>
          </w:p>
        </w:tc>
        <w:tc>
          <w:tcPr>
            <w:tcW w:w="1090" w:type="dxa"/>
            <w:tcBorders>
              <w:top w:val="nil"/>
              <w:left w:val="nil"/>
              <w:bottom w:val="nil"/>
              <w:right w:val="nil"/>
            </w:tcBorders>
            <w:shd w:val="clear" w:color="auto" w:fill="auto"/>
            <w:noWrap/>
            <w:vAlign w:val="center"/>
          </w:tcPr>
          <w:p w14:paraId="540B5EF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5.31</w:t>
            </w:r>
          </w:p>
        </w:tc>
        <w:tc>
          <w:tcPr>
            <w:tcW w:w="1206" w:type="dxa"/>
            <w:tcBorders>
              <w:top w:val="nil"/>
              <w:left w:val="nil"/>
              <w:bottom w:val="nil"/>
              <w:right w:val="nil"/>
            </w:tcBorders>
            <w:shd w:val="clear" w:color="auto" w:fill="auto"/>
            <w:noWrap/>
            <w:vAlign w:val="center"/>
          </w:tcPr>
          <w:p w14:paraId="160D9F1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10.99</w:t>
            </w:r>
          </w:p>
        </w:tc>
        <w:tc>
          <w:tcPr>
            <w:tcW w:w="1090" w:type="dxa"/>
            <w:tcBorders>
              <w:top w:val="nil"/>
              <w:left w:val="nil"/>
              <w:bottom w:val="nil"/>
              <w:right w:val="nil"/>
            </w:tcBorders>
            <w:shd w:val="clear" w:color="auto" w:fill="auto"/>
            <w:noWrap/>
            <w:vAlign w:val="center"/>
          </w:tcPr>
          <w:p w14:paraId="7A0991F1">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6.57</w:t>
            </w:r>
          </w:p>
        </w:tc>
        <w:tc>
          <w:tcPr>
            <w:tcW w:w="1206" w:type="dxa"/>
            <w:tcBorders>
              <w:top w:val="nil"/>
              <w:left w:val="nil"/>
              <w:bottom w:val="nil"/>
              <w:right w:val="nil"/>
            </w:tcBorders>
            <w:shd w:val="clear" w:color="auto" w:fill="auto"/>
            <w:noWrap/>
            <w:vAlign w:val="center"/>
          </w:tcPr>
          <w:p w14:paraId="33201CC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7.95</w:t>
            </w:r>
          </w:p>
        </w:tc>
        <w:tc>
          <w:tcPr>
            <w:tcW w:w="1166" w:type="dxa"/>
            <w:tcBorders>
              <w:top w:val="nil"/>
              <w:left w:val="nil"/>
              <w:bottom w:val="nil"/>
              <w:right w:val="nil"/>
            </w:tcBorders>
            <w:shd w:val="clear" w:color="auto" w:fill="auto"/>
            <w:noWrap/>
            <w:vAlign w:val="center"/>
          </w:tcPr>
          <w:p w14:paraId="770BEFA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4.15</w:t>
            </w:r>
          </w:p>
        </w:tc>
      </w:tr>
      <w:tr w14:paraId="07A2F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4E2369F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2022</w:t>
            </w:r>
          </w:p>
        </w:tc>
        <w:tc>
          <w:tcPr>
            <w:tcW w:w="1206" w:type="dxa"/>
            <w:tcBorders>
              <w:top w:val="nil"/>
              <w:left w:val="nil"/>
              <w:bottom w:val="nil"/>
              <w:right w:val="nil"/>
            </w:tcBorders>
            <w:shd w:val="clear" w:color="auto" w:fill="auto"/>
            <w:noWrap/>
            <w:vAlign w:val="center"/>
          </w:tcPr>
          <w:p w14:paraId="2FEA449D">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10.01</w:t>
            </w:r>
          </w:p>
        </w:tc>
        <w:tc>
          <w:tcPr>
            <w:tcW w:w="1090" w:type="dxa"/>
            <w:tcBorders>
              <w:top w:val="nil"/>
              <w:left w:val="nil"/>
              <w:bottom w:val="nil"/>
              <w:right w:val="nil"/>
            </w:tcBorders>
            <w:shd w:val="clear" w:color="auto" w:fill="auto"/>
            <w:noWrap/>
            <w:vAlign w:val="center"/>
          </w:tcPr>
          <w:p w14:paraId="0C289C8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5.19</w:t>
            </w:r>
          </w:p>
        </w:tc>
        <w:tc>
          <w:tcPr>
            <w:tcW w:w="1206" w:type="dxa"/>
            <w:tcBorders>
              <w:top w:val="nil"/>
              <w:left w:val="nil"/>
              <w:bottom w:val="nil"/>
              <w:right w:val="nil"/>
            </w:tcBorders>
            <w:shd w:val="clear" w:color="auto" w:fill="auto"/>
            <w:noWrap/>
            <w:vAlign w:val="center"/>
          </w:tcPr>
          <w:p w14:paraId="6F31F3B3">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11.49</w:t>
            </w:r>
          </w:p>
        </w:tc>
        <w:tc>
          <w:tcPr>
            <w:tcW w:w="1090" w:type="dxa"/>
            <w:tcBorders>
              <w:top w:val="nil"/>
              <w:left w:val="nil"/>
              <w:bottom w:val="nil"/>
              <w:right w:val="nil"/>
            </w:tcBorders>
            <w:shd w:val="clear" w:color="auto" w:fill="auto"/>
            <w:noWrap/>
            <w:vAlign w:val="center"/>
          </w:tcPr>
          <w:p w14:paraId="0403A5E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6.67</w:t>
            </w:r>
          </w:p>
        </w:tc>
        <w:tc>
          <w:tcPr>
            <w:tcW w:w="1206" w:type="dxa"/>
            <w:tcBorders>
              <w:top w:val="nil"/>
              <w:left w:val="nil"/>
              <w:bottom w:val="nil"/>
              <w:right w:val="nil"/>
            </w:tcBorders>
            <w:shd w:val="clear" w:color="auto" w:fill="auto"/>
            <w:noWrap/>
            <w:vAlign w:val="center"/>
          </w:tcPr>
          <w:p w14:paraId="1EDD408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8.42</w:t>
            </w:r>
          </w:p>
        </w:tc>
        <w:tc>
          <w:tcPr>
            <w:tcW w:w="1166" w:type="dxa"/>
            <w:tcBorders>
              <w:top w:val="nil"/>
              <w:left w:val="nil"/>
              <w:bottom w:val="nil"/>
              <w:right w:val="nil"/>
            </w:tcBorders>
            <w:shd w:val="clear" w:color="auto" w:fill="auto"/>
            <w:noWrap/>
            <w:vAlign w:val="center"/>
          </w:tcPr>
          <w:p w14:paraId="20A3A51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3.80</w:t>
            </w:r>
          </w:p>
        </w:tc>
      </w:tr>
      <w:tr w14:paraId="71E136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1C480AA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2023</w:t>
            </w:r>
          </w:p>
        </w:tc>
        <w:tc>
          <w:tcPr>
            <w:tcW w:w="1206" w:type="dxa"/>
            <w:tcBorders>
              <w:top w:val="nil"/>
              <w:left w:val="nil"/>
              <w:bottom w:val="nil"/>
              <w:right w:val="nil"/>
            </w:tcBorders>
            <w:shd w:val="clear" w:color="auto" w:fill="auto"/>
            <w:noWrap/>
            <w:vAlign w:val="center"/>
          </w:tcPr>
          <w:p w14:paraId="2F249E03">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10.48</w:t>
            </w:r>
          </w:p>
        </w:tc>
        <w:tc>
          <w:tcPr>
            <w:tcW w:w="1090" w:type="dxa"/>
            <w:tcBorders>
              <w:top w:val="nil"/>
              <w:left w:val="nil"/>
              <w:bottom w:val="nil"/>
              <w:right w:val="nil"/>
            </w:tcBorders>
            <w:shd w:val="clear" w:color="auto" w:fill="auto"/>
            <w:noWrap/>
            <w:vAlign w:val="center"/>
          </w:tcPr>
          <w:p w14:paraId="70E8287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5.34</w:t>
            </w:r>
          </w:p>
        </w:tc>
        <w:tc>
          <w:tcPr>
            <w:tcW w:w="1206" w:type="dxa"/>
            <w:tcBorders>
              <w:top w:val="nil"/>
              <w:left w:val="nil"/>
              <w:bottom w:val="nil"/>
              <w:right w:val="nil"/>
            </w:tcBorders>
            <w:shd w:val="clear" w:color="auto" w:fill="auto"/>
            <w:noWrap/>
            <w:vAlign w:val="center"/>
          </w:tcPr>
          <w:p w14:paraId="4A652F0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12.55</w:t>
            </w:r>
          </w:p>
        </w:tc>
        <w:tc>
          <w:tcPr>
            <w:tcW w:w="1090" w:type="dxa"/>
            <w:tcBorders>
              <w:top w:val="nil"/>
              <w:left w:val="nil"/>
              <w:bottom w:val="nil"/>
              <w:right w:val="nil"/>
            </w:tcBorders>
            <w:shd w:val="clear" w:color="auto" w:fill="auto"/>
            <w:noWrap/>
            <w:vAlign w:val="center"/>
          </w:tcPr>
          <w:p w14:paraId="39D3E6E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7.10</w:t>
            </w:r>
          </w:p>
        </w:tc>
        <w:tc>
          <w:tcPr>
            <w:tcW w:w="1206" w:type="dxa"/>
            <w:tcBorders>
              <w:top w:val="nil"/>
              <w:left w:val="nil"/>
              <w:bottom w:val="nil"/>
              <w:right w:val="nil"/>
            </w:tcBorders>
            <w:shd w:val="clear" w:color="auto" w:fill="auto"/>
            <w:noWrap/>
            <w:vAlign w:val="center"/>
          </w:tcPr>
          <w:p w14:paraId="4A3D2DF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8.24</w:t>
            </w:r>
          </w:p>
        </w:tc>
        <w:tc>
          <w:tcPr>
            <w:tcW w:w="1166" w:type="dxa"/>
            <w:tcBorders>
              <w:top w:val="nil"/>
              <w:left w:val="nil"/>
              <w:bottom w:val="nil"/>
              <w:right w:val="nil"/>
            </w:tcBorders>
            <w:shd w:val="clear" w:color="auto" w:fill="auto"/>
            <w:noWrap/>
            <w:vAlign w:val="center"/>
          </w:tcPr>
          <w:p w14:paraId="7E37F17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3.63</w:t>
            </w:r>
          </w:p>
        </w:tc>
      </w:tr>
      <w:tr w14:paraId="78F980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54053FCE">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AAPC（%）</w:t>
            </w:r>
          </w:p>
        </w:tc>
        <w:tc>
          <w:tcPr>
            <w:tcW w:w="1206" w:type="dxa"/>
            <w:tcBorders>
              <w:top w:val="nil"/>
              <w:left w:val="nil"/>
              <w:bottom w:val="nil"/>
              <w:right w:val="nil"/>
            </w:tcBorders>
            <w:shd w:val="clear" w:color="auto" w:fill="auto"/>
            <w:noWrap/>
            <w:vAlign w:val="center"/>
          </w:tcPr>
          <w:p w14:paraId="5F787B1D">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9.36</w:t>
            </w:r>
          </w:p>
        </w:tc>
        <w:tc>
          <w:tcPr>
            <w:tcW w:w="1090" w:type="dxa"/>
            <w:tcBorders>
              <w:top w:val="nil"/>
              <w:left w:val="nil"/>
              <w:bottom w:val="nil"/>
              <w:right w:val="nil"/>
            </w:tcBorders>
            <w:shd w:val="clear" w:color="auto" w:fill="auto"/>
            <w:noWrap/>
            <w:vAlign w:val="center"/>
          </w:tcPr>
          <w:p w14:paraId="725E307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4.18</w:t>
            </w:r>
          </w:p>
        </w:tc>
        <w:tc>
          <w:tcPr>
            <w:tcW w:w="1206" w:type="dxa"/>
            <w:tcBorders>
              <w:top w:val="nil"/>
              <w:left w:val="nil"/>
              <w:bottom w:val="nil"/>
              <w:right w:val="nil"/>
            </w:tcBorders>
            <w:shd w:val="clear" w:color="auto" w:fill="auto"/>
            <w:noWrap/>
            <w:vAlign w:val="center"/>
          </w:tcPr>
          <w:p w14:paraId="2F4EE58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9.97</w:t>
            </w:r>
          </w:p>
        </w:tc>
        <w:tc>
          <w:tcPr>
            <w:tcW w:w="1090" w:type="dxa"/>
            <w:tcBorders>
              <w:top w:val="nil"/>
              <w:left w:val="nil"/>
              <w:bottom w:val="nil"/>
              <w:right w:val="nil"/>
            </w:tcBorders>
            <w:shd w:val="clear" w:color="auto" w:fill="auto"/>
            <w:noWrap/>
            <w:vAlign w:val="center"/>
          </w:tcPr>
          <w:p w14:paraId="475D6A0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5.51</w:t>
            </w:r>
          </w:p>
        </w:tc>
        <w:tc>
          <w:tcPr>
            <w:tcW w:w="1206" w:type="dxa"/>
            <w:tcBorders>
              <w:top w:val="nil"/>
              <w:left w:val="nil"/>
              <w:bottom w:val="nil"/>
              <w:right w:val="nil"/>
            </w:tcBorders>
            <w:shd w:val="clear" w:color="auto" w:fill="auto"/>
            <w:noWrap/>
            <w:vAlign w:val="center"/>
          </w:tcPr>
          <w:p w14:paraId="723FA60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8.43</w:t>
            </w:r>
          </w:p>
        </w:tc>
        <w:tc>
          <w:tcPr>
            <w:tcW w:w="1166" w:type="dxa"/>
            <w:tcBorders>
              <w:top w:val="nil"/>
              <w:left w:val="nil"/>
              <w:bottom w:val="nil"/>
              <w:right w:val="nil"/>
            </w:tcBorders>
            <w:shd w:val="clear" w:color="auto" w:fill="auto"/>
            <w:noWrap/>
            <w:vAlign w:val="center"/>
          </w:tcPr>
          <w:p w14:paraId="09F5D05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1.87</w:t>
            </w:r>
          </w:p>
        </w:tc>
      </w:tr>
      <w:tr w14:paraId="17C287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78A8569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95%CI（%）</w:t>
            </w:r>
          </w:p>
        </w:tc>
        <w:tc>
          <w:tcPr>
            <w:tcW w:w="1206" w:type="dxa"/>
            <w:tcBorders>
              <w:top w:val="nil"/>
              <w:left w:val="nil"/>
              <w:bottom w:val="nil"/>
              <w:right w:val="nil"/>
            </w:tcBorders>
            <w:shd w:val="clear" w:color="auto" w:fill="auto"/>
            <w:noWrap/>
            <w:vAlign w:val="center"/>
          </w:tcPr>
          <w:p w14:paraId="1B124C9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5.68~13.16</w:t>
            </w:r>
          </w:p>
        </w:tc>
        <w:tc>
          <w:tcPr>
            <w:tcW w:w="1090" w:type="dxa"/>
            <w:tcBorders>
              <w:top w:val="nil"/>
              <w:left w:val="nil"/>
              <w:bottom w:val="nil"/>
              <w:right w:val="nil"/>
            </w:tcBorders>
            <w:shd w:val="clear" w:color="auto" w:fill="auto"/>
            <w:noWrap/>
            <w:vAlign w:val="center"/>
          </w:tcPr>
          <w:p w14:paraId="4CFC851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1.55~6.88</w:t>
            </w:r>
          </w:p>
        </w:tc>
        <w:tc>
          <w:tcPr>
            <w:tcW w:w="1206" w:type="dxa"/>
            <w:tcBorders>
              <w:top w:val="nil"/>
              <w:left w:val="nil"/>
              <w:bottom w:val="nil"/>
              <w:right w:val="nil"/>
            </w:tcBorders>
            <w:shd w:val="clear" w:color="auto" w:fill="auto"/>
            <w:noWrap/>
            <w:vAlign w:val="center"/>
          </w:tcPr>
          <w:p w14:paraId="68A4B0F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5.60~14.53</w:t>
            </w:r>
          </w:p>
        </w:tc>
        <w:tc>
          <w:tcPr>
            <w:tcW w:w="1090" w:type="dxa"/>
            <w:tcBorders>
              <w:top w:val="nil"/>
              <w:left w:val="nil"/>
              <w:bottom w:val="nil"/>
              <w:right w:val="nil"/>
            </w:tcBorders>
            <w:shd w:val="clear" w:color="auto" w:fill="auto"/>
            <w:noWrap/>
            <w:vAlign w:val="center"/>
          </w:tcPr>
          <w:p w14:paraId="1B060E1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2.64~8.46</w:t>
            </w:r>
          </w:p>
        </w:tc>
        <w:tc>
          <w:tcPr>
            <w:tcW w:w="1206" w:type="dxa"/>
            <w:tcBorders>
              <w:top w:val="nil"/>
              <w:left w:val="nil"/>
              <w:bottom w:val="nil"/>
              <w:right w:val="nil"/>
            </w:tcBorders>
            <w:shd w:val="clear" w:color="auto" w:fill="auto"/>
            <w:noWrap/>
            <w:vAlign w:val="center"/>
          </w:tcPr>
          <w:p w14:paraId="0F1D4983">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4.54~12.45</w:t>
            </w:r>
          </w:p>
        </w:tc>
        <w:tc>
          <w:tcPr>
            <w:tcW w:w="1166" w:type="dxa"/>
            <w:tcBorders>
              <w:top w:val="nil"/>
              <w:left w:val="nil"/>
              <w:bottom w:val="nil"/>
              <w:right w:val="nil"/>
            </w:tcBorders>
            <w:shd w:val="clear" w:color="auto" w:fill="auto"/>
            <w:noWrap/>
            <w:vAlign w:val="center"/>
          </w:tcPr>
          <w:p w14:paraId="45256B01">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-2.43~6.35</w:t>
            </w:r>
          </w:p>
        </w:tc>
      </w:tr>
      <w:tr w14:paraId="08115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48B19945">
            <w:pPr>
              <w:keepNext w:val="0"/>
              <w:keepLines w:val="0"/>
              <w:widowControl/>
              <w:suppressLineNumbers w:val="0"/>
              <w:snapToGrid w:val="0"/>
              <w:jc w:val="center"/>
              <w:textAlignment w:val="center"/>
              <w:rPr>
                <w:rFonts w:hint="eastAsia" w:ascii="Times New Roman" w:hAnsi="Times New Roman" w:eastAsia="宋体" w:cs="Times New Roman"/>
                <w:i/>
                <w:iCs/>
                <w:color w:val="000000"/>
                <w:kern w:val="0"/>
                <w:sz w:val="20"/>
                <w:szCs w:val="20"/>
                <w:u w:val="none"/>
                <w:lang w:val="en-US" w:eastAsia="zh-CN" w:bidi="ar"/>
              </w:rPr>
            </w:pPr>
            <w:r>
              <w:rPr>
                <w:rFonts w:hint="eastAsia" w:ascii="Times New Roman" w:hAnsi="Times New Roman" w:eastAsia="宋体" w:cs="Times New Roman"/>
                <w:i/>
                <w:iCs/>
                <w:color w:val="000000"/>
                <w:kern w:val="0"/>
                <w:sz w:val="20"/>
                <w:szCs w:val="20"/>
                <w:u w:val="none"/>
                <w:lang w:val="en-US" w:eastAsia="zh-CN" w:bidi="ar"/>
              </w:rPr>
              <w:t>t</w:t>
            </w:r>
          </w:p>
        </w:tc>
        <w:tc>
          <w:tcPr>
            <w:tcW w:w="1206" w:type="dxa"/>
            <w:tcBorders>
              <w:top w:val="nil"/>
              <w:left w:val="nil"/>
              <w:bottom w:val="nil"/>
              <w:right w:val="nil"/>
            </w:tcBorders>
            <w:shd w:val="clear" w:color="auto" w:fill="auto"/>
            <w:noWrap/>
            <w:vAlign w:val="center"/>
          </w:tcPr>
          <w:p w14:paraId="59E7D73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7.26</w:t>
            </w:r>
          </w:p>
        </w:tc>
        <w:tc>
          <w:tcPr>
            <w:tcW w:w="1090" w:type="dxa"/>
            <w:tcBorders>
              <w:top w:val="nil"/>
              <w:left w:val="nil"/>
              <w:bottom w:val="nil"/>
              <w:right w:val="nil"/>
            </w:tcBorders>
            <w:shd w:val="clear" w:color="auto" w:fill="auto"/>
            <w:noWrap/>
            <w:vAlign w:val="center"/>
          </w:tcPr>
          <w:p w14:paraId="2341058D">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4.44</w:t>
            </w:r>
          </w:p>
        </w:tc>
        <w:tc>
          <w:tcPr>
            <w:tcW w:w="1206" w:type="dxa"/>
            <w:tcBorders>
              <w:top w:val="nil"/>
              <w:left w:val="nil"/>
              <w:bottom w:val="nil"/>
              <w:right w:val="nil"/>
            </w:tcBorders>
            <w:shd w:val="clear" w:color="auto" w:fill="auto"/>
            <w:noWrap/>
            <w:vAlign w:val="center"/>
          </w:tcPr>
          <w:p w14:paraId="489426D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6.51</w:t>
            </w:r>
          </w:p>
        </w:tc>
        <w:tc>
          <w:tcPr>
            <w:tcW w:w="1090" w:type="dxa"/>
            <w:tcBorders>
              <w:top w:val="nil"/>
              <w:left w:val="nil"/>
              <w:bottom w:val="nil"/>
              <w:right w:val="nil"/>
            </w:tcBorders>
            <w:shd w:val="clear" w:color="auto" w:fill="auto"/>
            <w:noWrap/>
            <w:vAlign w:val="center"/>
          </w:tcPr>
          <w:p w14:paraId="0A8CF3B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5.40</w:t>
            </w:r>
          </w:p>
        </w:tc>
        <w:tc>
          <w:tcPr>
            <w:tcW w:w="1206" w:type="dxa"/>
            <w:tcBorders>
              <w:top w:val="nil"/>
              <w:left w:val="nil"/>
              <w:bottom w:val="nil"/>
              <w:right w:val="nil"/>
            </w:tcBorders>
            <w:shd w:val="clear" w:color="auto" w:fill="auto"/>
            <w:noWrap/>
            <w:vAlign w:val="center"/>
          </w:tcPr>
          <w:p w14:paraId="352E899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6.16</w:t>
            </w:r>
          </w:p>
        </w:tc>
        <w:tc>
          <w:tcPr>
            <w:tcW w:w="1166" w:type="dxa"/>
            <w:tcBorders>
              <w:top w:val="nil"/>
              <w:left w:val="nil"/>
              <w:bottom w:val="nil"/>
              <w:right w:val="nil"/>
            </w:tcBorders>
            <w:shd w:val="clear" w:color="auto" w:fill="auto"/>
            <w:noWrap/>
            <w:vAlign w:val="center"/>
          </w:tcPr>
          <w:p w14:paraId="5E83084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1.190</w:t>
            </w:r>
          </w:p>
        </w:tc>
      </w:tr>
      <w:tr w14:paraId="19F6C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single" w:color="auto" w:sz="4" w:space="0"/>
              <w:right w:val="nil"/>
            </w:tcBorders>
            <w:shd w:val="clear" w:color="auto" w:fill="auto"/>
            <w:noWrap/>
            <w:vAlign w:val="center"/>
          </w:tcPr>
          <w:p w14:paraId="295954E3">
            <w:pPr>
              <w:keepNext w:val="0"/>
              <w:keepLines w:val="0"/>
              <w:widowControl/>
              <w:suppressLineNumbers w:val="0"/>
              <w:snapToGrid w:val="0"/>
              <w:jc w:val="center"/>
              <w:textAlignment w:val="center"/>
              <w:rPr>
                <w:rFonts w:hint="eastAsia" w:ascii="Times New Roman" w:hAnsi="Times New Roman" w:eastAsia="宋体" w:cs="Times New Roman"/>
                <w:i/>
                <w:iCs/>
                <w:color w:val="000000"/>
                <w:kern w:val="0"/>
                <w:sz w:val="20"/>
                <w:szCs w:val="20"/>
                <w:u w:val="none"/>
                <w:lang w:val="en-US" w:eastAsia="zh-CN" w:bidi="ar"/>
              </w:rPr>
            </w:pPr>
            <w:r>
              <w:rPr>
                <w:rFonts w:hint="eastAsia" w:ascii="Times New Roman" w:hAnsi="Times New Roman" w:eastAsia="宋体" w:cs="Times New Roman"/>
                <w:i/>
                <w:iCs/>
                <w:color w:val="000000"/>
                <w:kern w:val="0"/>
                <w:sz w:val="20"/>
                <w:szCs w:val="20"/>
                <w:u w:val="none"/>
                <w:lang w:val="en-US" w:eastAsia="zh-CN" w:bidi="ar"/>
              </w:rPr>
              <w:t>P</w:t>
            </w:r>
          </w:p>
        </w:tc>
        <w:tc>
          <w:tcPr>
            <w:tcW w:w="1206" w:type="dxa"/>
            <w:tcBorders>
              <w:top w:val="nil"/>
              <w:left w:val="nil"/>
              <w:bottom w:val="single" w:color="auto" w:sz="4" w:space="0"/>
              <w:right w:val="nil"/>
            </w:tcBorders>
            <w:shd w:val="clear" w:color="auto" w:fill="auto"/>
            <w:noWrap/>
            <w:vAlign w:val="center"/>
          </w:tcPr>
          <w:p w14:paraId="5F69F38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0.002</w:t>
            </w:r>
          </w:p>
        </w:tc>
        <w:tc>
          <w:tcPr>
            <w:tcW w:w="1090" w:type="dxa"/>
            <w:tcBorders>
              <w:top w:val="nil"/>
              <w:left w:val="nil"/>
              <w:bottom w:val="single" w:color="auto" w:sz="4" w:space="0"/>
              <w:right w:val="nil"/>
            </w:tcBorders>
            <w:shd w:val="clear" w:color="auto" w:fill="auto"/>
            <w:noWrap/>
            <w:vAlign w:val="center"/>
          </w:tcPr>
          <w:p w14:paraId="3094EBF3">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0.110</w:t>
            </w:r>
          </w:p>
        </w:tc>
        <w:tc>
          <w:tcPr>
            <w:tcW w:w="1206" w:type="dxa"/>
            <w:tcBorders>
              <w:top w:val="nil"/>
              <w:left w:val="nil"/>
              <w:bottom w:val="single" w:color="auto" w:sz="4" w:space="0"/>
              <w:right w:val="nil"/>
            </w:tcBorders>
            <w:shd w:val="clear" w:color="auto" w:fill="auto"/>
            <w:noWrap/>
            <w:vAlign w:val="center"/>
          </w:tcPr>
          <w:p w14:paraId="412AEB6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0.003</w:t>
            </w:r>
          </w:p>
        </w:tc>
        <w:tc>
          <w:tcPr>
            <w:tcW w:w="1090" w:type="dxa"/>
            <w:tcBorders>
              <w:top w:val="nil"/>
              <w:left w:val="nil"/>
              <w:bottom w:val="single" w:color="auto" w:sz="4" w:space="0"/>
              <w:right w:val="nil"/>
            </w:tcBorders>
            <w:shd w:val="clear" w:color="auto" w:fill="auto"/>
            <w:noWrap/>
            <w:vAlign w:val="center"/>
          </w:tcPr>
          <w:p w14:paraId="3683AD1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0.006</w:t>
            </w:r>
          </w:p>
        </w:tc>
        <w:tc>
          <w:tcPr>
            <w:tcW w:w="1206" w:type="dxa"/>
            <w:tcBorders>
              <w:top w:val="nil"/>
              <w:left w:val="nil"/>
              <w:bottom w:val="single" w:color="auto" w:sz="4" w:space="0"/>
              <w:right w:val="nil"/>
            </w:tcBorders>
            <w:shd w:val="clear" w:color="auto" w:fill="auto"/>
            <w:noWrap/>
            <w:vAlign w:val="center"/>
          </w:tcPr>
          <w:p w14:paraId="69C8643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0.004</w:t>
            </w:r>
          </w:p>
        </w:tc>
        <w:tc>
          <w:tcPr>
            <w:tcW w:w="1166" w:type="dxa"/>
            <w:tcBorders>
              <w:top w:val="nil"/>
              <w:left w:val="nil"/>
              <w:bottom w:val="single" w:color="auto" w:sz="4" w:space="0"/>
              <w:right w:val="nil"/>
            </w:tcBorders>
            <w:shd w:val="clear" w:color="auto" w:fill="auto"/>
            <w:noWrap/>
            <w:vAlign w:val="center"/>
          </w:tcPr>
          <w:p w14:paraId="79ECC7C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0.299</w:t>
            </w:r>
          </w:p>
        </w:tc>
      </w:tr>
    </w:tbl>
    <w:p w14:paraId="72F33F72">
      <w:pPr>
        <w:jc w:val="both"/>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Notes：AS</w:t>
      </w:r>
      <w:r>
        <w:rPr>
          <w:rFonts w:hint="eastAsia" w:ascii="Times New Roman" w:hAnsi="Times New Roman" w:eastAsia="宋体" w:cs="Times New Roman"/>
          <w:sz w:val="24"/>
          <w:szCs w:val="32"/>
          <w:lang w:val="en-US" w:eastAsia="zh-CN"/>
        </w:rPr>
        <w:t>M</w:t>
      </w:r>
      <w:r>
        <w:rPr>
          <w:rFonts w:hint="eastAsia" w:ascii="Times New Roman" w:hAnsi="Times New Roman" w:eastAsia="宋体" w:cs="Times New Roman"/>
          <w:sz w:val="24"/>
          <w:szCs w:val="32"/>
        </w:rPr>
        <w:t xml:space="preserve">RC：age-standardized </w:t>
      </w:r>
      <w:r>
        <w:rPr>
          <w:rFonts w:hint="eastAsia" w:ascii="Times New Roman" w:hAnsi="Times New Roman" w:eastAsia="宋体" w:cs="Times New Roman"/>
          <w:sz w:val="24"/>
          <w:szCs w:val="32"/>
          <w:lang w:val="en-US" w:eastAsia="zh-CN"/>
        </w:rPr>
        <w:t>m</w:t>
      </w:r>
      <w:r>
        <w:rPr>
          <w:rFonts w:hint="eastAsia" w:ascii="Times New Roman" w:hAnsi="Times New Roman" w:eastAsia="宋体" w:cs="Times New Roman"/>
          <w:sz w:val="24"/>
          <w:szCs w:val="32"/>
        </w:rPr>
        <w:t>ortality rate by Chinese standard population；AAPC：average annual percentage change；CI：confidence interval.</w:t>
      </w:r>
    </w:p>
    <w:p w14:paraId="49C2B19F">
      <w:pPr>
        <w:jc w:val="both"/>
        <w:rPr>
          <w:rFonts w:hint="eastAsia" w:ascii="Times New Roman" w:hAnsi="Times New Roman" w:eastAsia="宋体" w:cs="Times New Roman"/>
          <w:sz w:val="24"/>
          <w:szCs w:val="32"/>
        </w:rPr>
      </w:pPr>
    </w:p>
    <w:p w14:paraId="63117BBD">
      <w:pPr>
        <w:jc w:val="center"/>
        <w:rPr>
          <w:rFonts w:hint="eastAsia" w:ascii="Times New Roman" w:hAnsi="Times New Roman" w:eastAsia="宋体" w:cs="Times New Roman"/>
          <w:sz w:val="24"/>
          <w:szCs w:val="32"/>
        </w:rPr>
      </w:pPr>
      <w:r>
        <w:rPr>
          <w:rFonts w:hint="eastAsia" w:ascii="Times New Roman" w:hAnsi="Times New Roman" w:eastAsia="宋体" w:cs="Times New Roman"/>
          <w:sz w:val="24"/>
          <w:szCs w:val="32"/>
          <w:lang w:val="en-US" w:eastAsia="zh-CN"/>
        </w:rPr>
        <w:t xml:space="preserve">Table 6 </w:t>
      </w:r>
      <w:r>
        <w:rPr>
          <w:rFonts w:hint="eastAsia" w:ascii="Times New Roman" w:hAnsi="Times New Roman" w:eastAsia="宋体" w:cs="Times New Roman"/>
          <w:sz w:val="24"/>
          <w:szCs w:val="32"/>
        </w:rPr>
        <w:t xml:space="preserve">Trends in </w:t>
      </w:r>
      <w:r>
        <w:rPr>
          <w:rFonts w:hint="eastAsia" w:ascii="Times New Roman" w:hAnsi="Times New Roman" w:eastAsia="宋体" w:cs="Times New Roman"/>
          <w:sz w:val="24"/>
          <w:szCs w:val="32"/>
          <w:lang w:val="en-US" w:eastAsia="zh-CN"/>
        </w:rPr>
        <w:t>c</w:t>
      </w:r>
      <w:r>
        <w:rPr>
          <w:rFonts w:hint="eastAsia" w:ascii="Times New Roman" w:hAnsi="Times New Roman" w:eastAsia="宋体" w:cs="Times New Roman"/>
          <w:sz w:val="24"/>
          <w:szCs w:val="32"/>
        </w:rPr>
        <w:t xml:space="preserve">olorectal </w:t>
      </w:r>
      <w:r>
        <w:rPr>
          <w:rFonts w:hint="eastAsia" w:ascii="Times New Roman" w:hAnsi="Times New Roman" w:eastAsia="宋体" w:cs="Times New Roman"/>
          <w:sz w:val="24"/>
          <w:szCs w:val="32"/>
          <w:lang w:val="en-US" w:eastAsia="zh-CN"/>
        </w:rPr>
        <w:t>c</w:t>
      </w:r>
      <w:r>
        <w:rPr>
          <w:rFonts w:hint="eastAsia" w:ascii="Times New Roman" w:hAnsi="Times New Roman" w:eastAsia="宋体" w:cs="Times New Roman"/>
          <w:sz w:val="24"/>
          <w:szCs w:val="32"/>
        </w:rPr>
        <w:t xml:space="preserve">ancer </w:t>
      </w:r>
      <w:r>
        <w:rPr>
          <w:rFonts w:hint="eastAsia" w:ascii="Times New Roman" w:hAnsi="Times New Roman" w:eastAsia="宋体" w:cs="Times New Roman"/>
          <w:sz w:val="24"/>
          <w:szCs w:val="32"/>
          <w:lang w:val="en-US" w:eastAsia="zh-CN"/>
        </w:rPr>
        <w:t>m</w:t>
      </w:r>
      <w:r>
        <w:rPr>
          <w:rFonts w:hint="eastAsia" w:ascii="Times New Roman" w:hAnsi="Times New Roman" w:eastAsia="宋体" w:cs="Times New Roman"/>
          <w:sz w:val="24"/>
          <w:szCs w:val="32"/>
        </w:rPr>
        <w:t xml:space="preserve">ortality by </w:t>
      </w:r>
      <w:r>
        <w:rPr>
          <w:rFonts w:hint="eastAsia" w:ascii="Times New Roman" w:hAnsi="Times New Roman" w:eastAsia="宋体" w:cs="Times New Roman"/>
          <w:sz w:val="24"/>
          <w:szCs w:val="32"/>
          <w:lang w:val="en-US" w:eastAsia="zh-CN"/>
        </w:rPr>
        <w:t>a</w:t>
      </w:r>
      <w:r>
        <w:rPr>
          <w:rFonts w:hint="eastAsia" w:ascii="Times New Roman" w:hAnsi="Times New Roman" w:eastAsia="宋体" w:cs="Times New Roman"/>
          <w:sz w:val="24"/>
          <w:szCs w:val="32"/>
        </w:rPr>
        <w:t xml:space="preserve">ge </w:t>
      </w:r>
      <w:r>
        <w:rPr>
          <w:rFonts w:hint="eastAsia" w:ascii="Times New Roman" w:hAnsi="Times New Roman" w:eastAsia="宋体" w:cs="Times New Roman"/>
          <w:sz w:val="24"/>
          <w:szCs w:val="32"/>
          <w:lang w:val="en-US" w:eastAsia="zh-CN"/>
        </w:rPr>
        <w:t>g</w:t>
      </w:r>
      <w:r>
        <w:rPr>
          <w:rFonts w:hint="eastAsia" w:ascii="Times New Roman" w:hAnsi="Times New Roman" w:eastAsia="宋体" w:cs="Times New Roman"/>
          <w:sz w:val="24"/>
          <w:szCs w:val="32"/>
        </w:rPr>
        <w:t>roup in Suqian City from 2018 to 2023（1/10</w:t>
      </w:r>
      <w:r>
        <w:rPr>
          <w:rFonts w:hint="eastAsia" w:ascii="Times New Roman" w:hAnsi="Times New Roman" w:eastAsia="宋体" w:cs="Times New Roman"/>
          <w:sz w:val="24"/>
          <w:szCs w:val="32"/>
          <w:vertAlign w:val="superscript"/>
        </w:rPr>
        <w:t>5</w:t>
      </w:r>
      <w:r>
        <w:rPr>
          <w:rFonts w:hint="eastAsia" w:ascii="Times New Roman" w:hAnsi="Times New Roman" w:eastAsia="宋体" w:cs="Times New Roman"/>
          <w:sz w:val="24"/>
          <w:szCs w:val="32"/>
        </w:rPr>
        <w:t>）</w:t>
      </w:r>
    </w:p>
    <w:tbl>
      <w:tblPr>
        <w:tblStyle w:val="2"/>
        <w:tblW w:w="84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40" w:type="dxa"/>
          <w:left w:w="64" w:type="dxa"/>
          <w:bottom w:w="40" w:type="dxa"/>
          <w:right w:w="64" w:type="dxa"/>
        </w:tblCellMar>
      </w:tblPr>
      <w:tblGrid>
        <w:gridCol w:w="1468"/>
        <w:gridCol w:w="1206"/>
        <w:gridCol w:w="1211"/>
        <w:gridCol w:w="1085"/>
        <w:gridCol w:w="1090"/>
        <w:gridCol w:w="1206"/>
        <w:gridCol w:w="1166"/>
      </w:tblGrid>
      <w:tr w14:paraId="54FC4D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tblHeader/>
          <w:jc w:val="center"/>
        </w:trPr>
        <w:tc>
          <w:tcPr>
            <w:tcW w:w="1468" w:type="dxa"/>
            <w:tcBorders>
              <w:top w:val="single" w:color="auto" w:sz="4" w:space="0"/>
              <w:left w:val="nil"/>
              <w:bottom w:val="single" w:color="auto" w:sz="4" w:space="0"/>
              <w:right w:val="nil"/>
            </w:tcBorders>
            <w:shd w:val="clear" w:color="auto" w:fill="auto"/>
            <w:noWrap/>
            <w:vAlign w:val="center"/>
          </w:tcPr>
          <w:p w14:paraId="3D084494">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u w:val="none"/>
                <w:lang w:val="en-US" w:eastAsia="zh-CN" w:bidi="ar"/>
              </w:rPr>
            </w:pPr>
            <w:r>
              <w:rPr>
                <w:rFonts w:hint="eastAsia" w:ascii="Times New Roman" w:hAnsi="Times New Roman" w:eastAsia="宋体" w:cs="Times New Roman"/>
                <w:b w:val="0"/>
                <w:bCs/>
                <w:i w:val="0"/>
                <w:iCs w:val="0"/>
                <w:color w:val="000000"/>
                <w:kern w:val="0"/>
                <w:sz w:val="20"/>
                <w:szCs w:val="20"/>
                <w:u w:val="none"/>
                <w:lang w:val="en-US" w:eastAsia="zh-CN" w:bidi="ar"/>
              </w:rPr>
              <w:t>Year</w:t>
            </w:r>
          </w:p>
        </w:tc>
        <w:tc>
          <w:tcPr>
            <w:tcW w:w="1206" w:type="dxa"/>
            <w:tcBorders>
              <w:top w:val="single" w:color="auto" w:sz="4" w:space="0"/>
              <w:left w:val="nil"/>
              <w:bottom w:val="single" w:color="auto" w:sz="4" w:space="0"/>
              <w:right w:val="nil"/>
            </w:tcBorders>
            <w:shd w:val="clear" w:color="auto" w:fill="auto"/>
            <w:noWrap/>
            <w:vAlign w:val="center"/>
          </w:tcPr>
          <w:p w14:paraId="1776141F">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0-44 years old</w:t>
            </w:r>
          </w:p>
        </w:tc>
        <w:tc>
          <w:tcPr>
            <w:tcW w:w="1211" w:type="dxa"/>
            <w:tcBorders>
              <w:top w:val="single" w:color="auto" w:sz="4" w:space="0"/>
              <w:left w:val="nil"/>
              <w:bottom w:val="single" w:color="auto" w:sz="4" w:space="0"/>
              <w:right w:val="nil"/>
            </w:tcBorders>
            <w:shd w:val="clear" w:color="auto" w:fill="auto"/>
            <w:noWrap/>
            <w:vAlign w:val="center"/>
          </w:tcPr>
          <w:p w14:paraId="4665E00B">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45-54 years old</w:t>
            </w:r>
          </w:p>
        </w:tc>
        <w:tc>
          <w:tcPr>
            <w:tcW w:w="1085" w:type="dxa"/>
            <w:tcBorders>
              <w:top w:val="single" w:color="auto" w:sz="4" w:space="0"/>
              <w:left w:val="nil"/>
              <w:bottom w:val="single" w:color="auto" w:sz="4" w:space="0"/>
              <w:right w:val="nil"/>
            </w:tcBorders>
            <w:shd w:val="clear" w:color="auto" w:fill="auto"/>
            <w:noWrap/>
            <w:vAlign w:val="center"/>
          </w:tcPr>
          <w:p w14:paraId="6EAC9ABB">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55-64 years old</w:t>
            </w:r>
          </w:p>
        </w:tc>
        <w:tc>
          <w:tcPr>
            <w:tcW w:w="1090" w:type="dxa"/>
            <w:tcBorders>
              <w:top w:val="single" w:color="auto" w:sz="4" w:space="0"/>
              <w:left w:val="nil"/>
              <w:bottom w:val="single" w:color="auto" w:sz="4" w:space="0"/>
              <w:right w:val="nil"/>
            </w:tcBorders>
            <w:shd w:val="clear" w:color="auto" w:fill="auto"/>
            <w:noWrap/>
            <w:vAlign w:val="center"/>
          </w:tcPr>
          <w:p w14:paraId="24CF206D">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65-74 years old</w:t>
            </w:r>
          </w:p>
        </w:tc>
        <w:tc>
          <w:tcPr>
            <w:tcW w:w="1206" w:type="dxa"/>
            <w:tcBorders>
              <w:top w:val="single" w:color="auto" w:sz="4" w:space="0"/>
              <w:left w:val="nil"/>
              <w:bottom w:val="single" w:color="auto" w:sz="4" w:space="0"/>
              <w:right w:val="nil"/>
            </w:tcBorders>
            <w:shd w:val="clear" w:color="auto" w:fill="auto"/>
            <w:noWrap/>
            <w:vAlign w:val="center"/>
          </w:tcPr>
          <w:p w14:paraId="7A4C33F6">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75-84 years old</w:t>
            </w:r>
          </w:p>
        </w:tc>
        <w:tc>
          <w:tcPr>
            <w:tcW w:w="1166" w:type="dxa"/>
            <w:tcBorders>
              <w:top w:val="single" w:color="auto" w:sz="4" w:space="0"/>
              <w:left w:val="nil"/>
              <w:bottom w:val="single" w:color="auto" w:sz="4" w:space="0"/>
              <w:right w:val="nil"/>
            </w:tcBorders>
            <w:shd w:val="clear" w:color="auto" w:fill="auto"/>
            <w:noWrap/>
            <w:vAlign w:val="center"/>
          </w:tcPr>
          <w:p w14:paraId="20D40D12">
            <w:pPr>
              <w:keepNext w:val="0"/>
              <w:keepLines w:val="0"/>
              <w:widowControl/>
              <w:suppressLineNumbers w:val="0"/>
              <w:snapToGrid w:val="0"/>
              <w:jc w:val="center"/>
              <w:textAlignment w:val="center"/>
              <w:rPr>
                <w:rFonts w:hint="default" w:ascii="Times New Roman" w:hAnsi="Times New Roman" w:eastAsia="宋体" w:cs="Times New Roman"/>
                <w:b w:val="0"/>
                <w:bCs/>
                <w:i w:val="0"/>
                <w:iCs w:val="0"/>
                <w:color w:val="000000"/>
                <w:kern w:val="0"/>
                <w:sz w:val="20"/>
                <w:szCs w:val="20"/>
                <w:highlight w:val="yellow"/>
                <w:u w:val="none"/>
                <w:lang w:val="en-US" w:eastAsia="zh-CN" w:bidi="ar"/>
              </w:rPr>
            </w:pPr>
            <w:r>
              <w:rPr>
                <w:rFonts w:hint="eastAsia" w:ascii="Times New Roman" w:hAnsi="Times New Roman" w:eastAsia="宋体" w:cs="Times New Roman"/>
                <w:b w:val="0"/>
                <w:bCs/>
                <w:i w:val="0"/>
                <w:iCs w:val="0"/>
                <w:color w:val="000000"/>
                <w:kern w:val="0"/>
                <w:sz w:val="20"/>
                <w:szCs w:val="20"/>
                <w:highlight w:val="yellow"/>
                <w:u w:val="none"/>
                <w:lang w:val="en-US" w:eastAsia="zh-CN" w:bidi="ar"/>
              </w:rPr>
              <w:t>85+ years old</w:t>
            </w:r>
          </w:p>
        </w:tc>
      </w:tr>
      <w:tr w14:paraId="56E46C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single" w:color="auto" w:sz="4" w:space="0"/>
              <w:left w:val="nil"/>
              <w:bottom w:val="nil"/>
              <w:right w:val="nil"/>
            </w:tcBorders>
            <w:shd w:val="clear" w:color="auto" w:fill="auto"/>
            <w:noWrap/>
            <w:vAlign w:val="center"/>
          </w:tcPr>
          <w:p w14:paraId="72999C7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2018</w:t>
            </w:r>
          </w:p>
        </w:tc>
        <w:tc>
          <w:tcPr>
            <w:tcW w:w="1206" w:type="dxa"/>
            <w:tcBorders>
              <w:top w:val="single" w:color="auto" w:sz="4" w:space="0"/>
              <w:left w:val="nil"/>
              <w:bottom w:val="nil"/>
              <w:right w:val="nil"/>
            </w:tcBorders>
            <w:shd w:val="clear" w:color="auto" w:fill="auto"/>
            <w:noWrap/>
            <w:vAlign w:val="center"/>
          </w:tcPr>
          <w:p w14:paraId="7BEC84F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0.55 </w:t>
            </w:r>
          </w:p>
        </w:tc>
        <w:tc>
          <w:tcPr>
            <w:tcW w:w="1211" w:type="dxa"/>
            <w:tcBorders>
              <w:top w:val="single" w:color="auto" w:sz="4" w:space="0"/>
              <w:left w:val="nil"/>
              <w:bottom w:val="nil"/>
              <w:right w:val="nil"/>
            </w:tcBorders>
            <w:shd w:val="clear" w:color="auto" w:fill="auto"/>
            <w:noWrap/>
            <w:vAlign w:val="center"/>
          </w:tcPr>
          <w:p w14:paraId="5ECD572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5.65 </w:t>
            </w:r>
          </w:p>
        </w:tc>
        <w:tc>
          <w:tcPr>
            <w:tcW w:w="1085" w:type="dxa"/>
            <w:tcBorders>
              <w:top w:val="single" w:color="auto" w:sz="4" w:space="0"/>
              <w:left w:val="nil"/>
              <w:bottom w:val="nil"/>
              <w:right w:val="nil"/>
            </w:tcBorders>
            <w:shd w:val="clear" w:color="auto" w:fill="auto"/>
            <w:noWrap/>
            <w:vAlign w:val="center"/>
          </w:tcPr>
          <w:p w14:paraId="4CF8372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11.56 </w:t>
            </w:r>
          </w:p>
        </w:tc>
        <w:tc>
          <w:tcPr>
            <w:tcW w:w="1090" w:type="dxa"/>
            <w:tcBorders>
              <w:top w:val="single" w:color="auto" w:sz="4" w:space="0"/>
              <w:left w:val="nil"/>
              <w:bottom w:val="nil"/>
              <w:right w:val="nil"/>
            </w:tcBorders>
            <w:shd w:val="clear" w:color="auto" w:fill="auto"/>
            <w:noWrap/>
            <w:vAlign w:val="center"/>
          </w:tcPr>
          <w:p w14:paraId="6008CA0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22.41 </w:t>
            </w:r>
          </w:p>
        </w:tc>
        <w:tc>
          <w:tcPr>
            <w:tcW w:w="1206" w:type="dxa"/>
            <w:tcBorders>
              <w:top w:val="single" w:color="auto" w:sz="4" w:space="0"/>
              <w:left w:val="nil"/>
              <w:bottom w:val="nil"/>
              <w:right w:val="nil"/>
            </w:tcBorders>
            <w:shd w:val="clear" w:color="auto" w:fill="auto"/>
            <w:noWrap/>
            <w:vAlign w:val="center"/>
          </w:tcPr>
          <w:p w14:paraId="55C7857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65.34 </w:t>
            </w:r>
          </w:p>
        </w:tc>
        <w:tc>
          <w:tcPr>
            <w:tcW w:w="1166" w:type="dxa"/>
            <w:tcBorders>
              <w:top w:val="single" w:color="auto" w:sz="4" w:space="0"/>
              <w:left w:val="nil"/>
              <w:bottom w:val="nil"/>
              <w:right w:val="nil"/>
            </w:tcBorders>
            <w:shd w:val="clear" w:color="auto" w:fill="auto"/>
            <w:noWrap/>
            <w:vAlign w:val="center"/>
          </w:tcPr>
          <w:p w14:paraId="58417E3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76.05 </w:t>
            </w:r>
          </w:p>
        </w:tc>
      </w:tr>
      <w:tr w14:paraId="5FB84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0171AD5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2019</w:t>
            </w:r>
          </w:p>
        </w:tc>
        <w:tc>
          <w:tcPr>
            <w:tcW w:w="1206" w:type="dxa"/>
            <w:tcBorders>
              <w:top w:val="nil"/>
              <w:left w:val="nil"/>
              <w:bottom w:val="nil"/>
              <w:right w:val="nil"/>
            </w:tcBorders>
            <w:shd w:val="clear" w:color="auto" w:fill="auto"/>
            <w:noWrap/>
            <w:vAlign w:val="center"/>
          </w:tcPr>
          <w:p w14:paraId="125F459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0.60 </w:t>
            </w:r>
          </w:p>
        </w:tc>
        <w:tc>
          <w:tcPr>
            <w:tcW w:w="1211" w:type="dxa"/>
            <w:tcBorders>
              <w:top w:val="nil"/>
              <w:left w:val="nil"/>
              <w:bottom w:val="nil"/>
              <w:right w:val="nil"/>
            </w:tcBorders>
            <w:shd w:val="clear" w:color="auto" w:fill="auto"/>
            <w:noWrap/>
            <w:vAlign w:val="center"/>
          </w:tcPr>
          <w:p w14:paraId="7645675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4.49 </w:t>
            </w:r>
          </w:p>
        </w:tc>
        <w:tc>
          <w:tcPr>
            <w:tcW w:w="1085" w:type="dxa"/>
            <w:tcBorders>
              <w:top w:val="nil"/>
              <w:left w:val="nil"/>
              <w:bottom w:val="nil"/>
              <w:right w:val="nil"/>
            </w:tcBorders>
            <w:shd w:val="clear" w:color="auto" w:fill="auto"/>
            <w:noWrap/>
            <w:vAlign w:val="center"/>
          </w:tcPr>
          <w:p w14:paraId="71670EE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10.91 </w:t>
            </w:r>
          </w:p>
        </w:tc>
        <w:tc>
          <w:tcPr>
            <w:tcW w:w="1090" w:type="dxa"/>
            <w:tcBorders>
              <w:top w:val="nil"/>
              <w:left w:val="nil"/>
              <w:bottom w:val="nil"/>
              <w:right w:val="nil"/>
            </w:tcBorders>
            <w:shd w:val="clear" w:color="auto" w:fill="auto"/>
            <w:noWrap/>
            <w:vAlign w:val="center"/>
          </w:tcPr>
          <w:p w14:paraId="7EC3C992">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25.53 </w:t>
            </w:r>
          </w:p>
        </w:tc>
        <w:tc>
          <w:tcPr>
            <w:tcW w:w="1206" w:type="dxa"/>
            <w:tcBorders>
              <w:top w:val="nil"/>
              <w:left w:val="nil"/>
              <w:bottom w:val="nil"/>
              <w:right w:val="nil"/>
            </w:tcBorders>
            <w:shd w:val="clear" w:color="auto" w:fill="auto"/>
            <w:noWrap/>
            <w:vAlign w:val="center"/>
          </w:tcPr>
          <w:p w14:paraId="7AD9C4E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60.98 </w:t>
            </w:r>
          </w:p>
        </w:tc>
        <w:tc>
          <w:tcPr>
            <w:tcW w:w="1166" w:type="dxa"/>
            <w:tcBorders>
              <w:top w:val="nil"/>
              <w:left w:val="nil"/>
              <w:bottom w:val="nil"/>
              <w:right w:val="nil"/>
            </w:tcBorders>
            <w:shd w:val="clear" w:color="auto" w:fill="auto"/>
            <w:noWrap/>
            <w:vAlign w:val="center"/>
          </w:tcPr>
          <w:p w14:paraId="21DA017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80.07 </w:t>
            </w:r>
          </w:p>
        </w:tc>
      </w:tr>
      <w:tr w14:paraId="649314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50D394E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2020</w:t>
            </w:r>
          </w:p>
        </w:tc>
        <w:tc>
          <w:tcPr>
            <w:tcW w:w="1206" w:type="dxa"/>
            <w:tcBorders>
              <w:top w:val="nil"/>
              <w:left w:val="nil"/>
              <w:bottom w:val="nil"/>
              <w:right w:val="nil"/>
            </w:tcBorders>
            <w:shd w:val="clear" w:color="auto" w:fill="auto"/>
            <w:noWrap/>
            <w:vAlign w:val="center"/>
          </w:tcPr>
          <w:p w14:paraId="754E87C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0.39 </w:t>
            </w:r>
          </w:p>
        </w:tc>
        <w:tc>
          <w:tcPr>
            <w:tcW w:w="1211" w:type="dxa"/>
            <w:tcBorders>
              <w:top w:val="nil"/>
              <w:left w:val="nil"/>
              <w:bottom w:val="nil"/>
              <w:right w:val="nil"/>
            </w:tcBorders>
            <w:shd w:val="clear" w:color="auto" w:fill="auto"/>
            <w:noWrap/>
            <w:vAlign w:val="center"/>
          </w:tcPr>
          <w:p w14:paraId="274FC64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3.93 </w:t>
            </w:r>
          </w:p>
        </w:tc>
        <w:tc>
          <w:tcPr>
            <w:tcW w:w="1085" w:type="dxa"/>
            <w:tcBorders>
              <w:top w:val="nil"/>
              <w:left w:val="nil"/>
              <w:bottom w:val="nil"/>
              <w:right w:val="nil"/>
            </w:tcBorders>
            <w:shd w:val="clear" w:color="auto" w:fill="auto"/>
            <w:noWrap/>
            <w:vAlign w:val="center"/>
          </w:tcPr>
          <w:p w14:paraId="3E71EC3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12.19 </w:t>
            </w:r>
          </w:p>
        </w:tc>
        <w:tc>
          <w:tcPr>
            <w:tcW w:w="1090" w:type="dxa"/>
            <w:tcBorders>
              <w:top w:val="nil"/>
              <w:left w:val="nil"/>
              <w:bottom w:val="nil"/>
              <w:right w:val="nil"/>
            </w:tcBorders>
            <w:shd w:val="clear" w:color="auto" w:fill="auto"/>
            <w:noWrap/>
            <w:vAlign w:val="center"/>
          </w:tcPr>
          <w:p w14:paraId="0B7A5F1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26.41 </w:t>
            </w:r>
          </w:p>
        </w:tc>
        <w:tc>
          <w:tcPr>
            <w:tcW w:w="1206" w:type="dxa"/>
            <w:tcBorders>
              <w:top w:val="nil"/>
              <w:left w:val="nil"/>
              <w:bottom w:val="nil"/>
              <w:right w:val="nil"/>
            </w:tcBorders>
            <w:shd w:val="clear" w:color="auto" w:fill="auto"/>
            <w:noWrap/>
            <w:vAlign w:val="center"/>
          </w:tcPr>
          <w:p w14:paraId="461B0A5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77.02 </w:t>
            </w:r>
          </w:p>
        </w:tc>
        <w:tc>
          <w:tcPr>
            <w:tcW w:w="1166" w:type="dxa"/>
            <w:tcBorders>
              <w:top w:val="nil"/>
              <w:left w:val="nil"/>
              <w:bottom w:val="nil"/>
              <w:right w:val="nil"/>
            </w:tcBorders>
            <w:shd w:val="clear" w:color="auto" w:fill="auto"/>
            <w:noWrap/>
            <w:vAlign w:val="center"/>
          </w:tcPr>
          <w:p w14:paraId="484EFF2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94.00 </w:t>
            </w:r>
          </w:p>
        </w:tc>
      </w:tr>
      <w:tr w14:paraId="491BF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237CC5D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2021</w:t>
            </w:r>
          </w:p>
        </w:tc>
        <w:tc>
          <w:tcPr>
            <w:tcW w:w="1206" w:type="dxa"/>
            <w:tcBorders>
              <w:top w:val="nil"/>
              <w:left w:val="nil"/>
              <w:bottom w:val="nil"/>
              <w:right w:val="nil"/>
            </w:tcBorders>
            <w:shd w:val="clear" w:color="auto" w:fill="auto"/>
            <w:noWrap/>
            <w:vAlign w:val="center"/>
          </w:tcPr>
          <w:p w14:paraId="67C56E3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0.57 </w:t>
            </w:r>
          </w:p>
        </w:tc>
        <w:tc>
          <w:tcPr>
            <w:tcW w:w="1211" w:type="dxa"/>
            <w:tcBorders>
              <w:top w:val="nil"/>
              <w:left w:val="nil"/>
              <w:bottom w:val="nil"/>
              <w:right w:val="nil"/>
            </w:tcBorders>
            <w:shd w:val="clear" w:color="auto" w:fill="auto"/>
            <w:noWrap/>
            <w:vAlign w:val="center"/>
          </w:tcPr>
          <w:p w14:paraId="0B8CD73D">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5.24 </w:t>
            </w:r>
          </w:p>
        </w:tc>
        <w:tc>
          <w:tcPr>
            <w:tcW w:w="1085" w:type="dxa"/>
            <w:tcBorders>
              <w:top w:val="nil"/>
              <w:left w:val="nil"/>
              <w:bottom w:val="nil"/>
              <w:right w:val="nil"/>
            </w:tcBorders>
            <w:shd w:val="clear" w:color="auto" w:fill="auto"/>
            <w:noWrap/>
            <w:vAlign w:val="center"/>
          </w:tcPr>
          <w:p w14:paraId="3BAF407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11.81 </w:t>
            </w:r>
          </w:p>
        </w:tc>
        <w:tc>
          <w:tcPr>
            <w:tcW w:w="1090" w:type="dxa"/>
            <w:tcBorders>
              <w:top w:val="nil"/>
              <w:left w:val="nil"/>
              <w:bottom w:val="nil"/>
              <w:right w:val="nil"/>
            </w:tcBorders>
            <w:shd w:val="clear" w:color="auto" w:fill="auto"/>
            <w:noWrap/>
            <w:vAlign w:val="center"/>
          </w:tcPr>
          <w:p w14:paraId="5F20E1B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27.32 </w:t>
            </w:r>
          </w:p>
        </w:tc>
        <w:tc>
          <w:tcPr>
            <w:tcW w:w="1206" w:type="dxa"/>
            <w:tcBorders>
              <w:top w:val="nil"/>
              <w:left w:val="nil"/>
              <w:bottom w:val="nil"/>
              <w:right w:val="nil"/>
            </w:tcBorders>
            <w:shd w:val="clear" w:color="auto" w:fill="auto"/>
            <w:noWrap/>
            <w:vAlign w:val="center"/>
          </w:tcPr>
          <w:p w14:paraId="543E3D6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88.98 </w:t>
            </w:r>
          </w:p>
        </w:tc>
        <w:tc>
          <w:tcPr>
            <w:tcW w:w="1166" w:type="dxa"/>
            <w:tcBorders>
              <w:top w:val="nil"/>
              <w:left w:val="nil"/>
              <w:bottom w:val="nil"/>
              <w:right w:val="nil"/>
            </w:tcBorders>
            <w:shd w:val="clear" w:color="auto" w:fill="auto"/>
            <w:noWrap/>
            <w:vAlign w:val="center"/>
          </w:tcPr>
          <w:p w14:paraId="667319C4">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107.35 </w:t>
            </w:r>
          </w:p>
        </w:tc>
      </w:tr>
      <w:tr w14:paraId="54D921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0A4A87DB">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2022</w:t>
            </w:r>
          </w:p>
        </w:tc>
        <w:tc>
          <w:tcPr>
            <w:tcW w:w="1206" w:type="dxa"/>
            <w:tcBorders>
              <w:top w:val="nil"/>
              <w:left w:val="nil"/>
              <w:bottom w:val="nil"/>
              <w:right w:val="nil"/>
            </w:tcBorders>
            <w:shd w:val="clear" w:color="auto" w:fill="auto"/>
            <w:noWrap/>
            <w:vAlign w:val="center"/>
          </w:tcPr>
          <w:p w14:paraId="7805AB26">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0.55 </w:t>
            </w:r>
          </w:p>
        </w:tc>
        <w:tc>
          <w:tcPr>
            <w:tcW w:w="1211" w:type="dxa"/>
            <w:tcBorders>
              <w:top w:val="nil"/>
              <w:left w:val="nil"/>
              <w:bottom w:val="nil"/>
              <w:right w:val="nil"/>
            </w:tcBorders>
            <w:shd w:val="clear" w:color="auto" w:fill="auto"/>
            <w:noWrap/>
            <w:vAlign w:val="center"/>
          </w:tcPr>
          <w:p w14:paraId="1D236888">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4.40 </w:t>
            </w:r>
          </w:p>
        </w:tc>
        <w:tc>
          <w:tcPr>
            <w:tcW w:w="1085" w:type="dxa"/>
            <w:tcBorders>
              <w:top w:val="nil"/>
              <w:left w:val="nil"/>
              <w:bottom w:val="nil"/>
              <w:right w:val="nil"/>
            </w:tcBorders>
            <w:shd w:val="clear" w:color="auto" w:fill="auto"/>
            <w:noWrap/>
            <w:vAlign w:val="center"/>
          </w:tcPr>
          <w:p w14:paraId="608CFF73">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10.47 </w:t>
            </w:r>
          </w:p>
        </w:tc>
        <w:tc>
          <w:tcPr>
            <w:tcW w:w="1090" w:type="dxa"/>
            <w:tcBorders>
              <w:top w:val="nil"/>
              <w:left w:val="nil"/>
              <w:bottom w:val="nil"/>
              <w:right w:val="nil"/>
            </w:tcBorders>
            <w:shd w:val="clear" w:color="auto" w:fill="auto"/>
            <w:noWrap/>
            <w:vAlign w:val="center"/>
          </w:tcPr>
          <w:p w14:paraId="1E94DC4C">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28.45 </w:t>
            </w:r>
          </w:p>
        </w:tc>
        <w:tc>
          <w:tcPr>
            <w:tcW w:w="1206" w:type="dxa"/>
            <w:tcBorders>
              <w:top w:val="nil"/>
              <w:left w:val="nil"/>
              <w:bottom w:val="nil"/>
              <w:right w:val="nil"/>
            </w:tcBorders>
            <w:shd w:val="clear" w:color="auto" w:fill="auto"/>
            <w:noWrap/>
            <w:vAlign w:val="center"/>
          </w:tcPr>
          <w:p w14:paraId="0F08B74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93.51 </w:t>
            </w:r>
          </w:p>
        </w:tc>
        <w:tc>
          <w:tcPr>
            <w:tcW w:w="1166" w:type="dxa"/>
            <w:tcBorders>
              <w:top w:val="nil"/>
              <w:left w:val="nil"/>
              <w:bottom w:val="nil"/>
              <w:right w:val="nil"/>
            </w:tcBorders>
            <w:shd w:val="clear" w:color="auto" w:fill="auto"/>
            <w:noWrap/>
            <w:vAlign w:val="center"/>
          </w:tcPr>
          <w:p w14:paraId="47A0E47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145.01 </w:t>
            </w:r>
          </w:p>
        </w:tc>
      </w:tr>
      <w:tr w14:paraId="09AAD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39DD006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2023</w:t>
            </w:r>
          </w:p>
        </w:tc>
        <w:tc>
          <w:tcPr>
            <w:tcW w:w="1206" w:type="dxa"/>
            <w:tcBorders>
              <w:top w:val="nil"/>
              <w:left w:val="nil"/>
              <w:bottom w:val="nil"/>
              <w:right w:val="nil"/>
            </w:tcBorders>
            <w:shd w:val="clear" w:color="auto" w:fill="auto"/>
            <w:noWrap/>
            <w:vAlign w:val="center"/>
          </w:tcPr>
          <w:p w14:paraId="1A626F2A">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0.64 </w:t>
            </w:r>
          </w:p>
        </w:tc>
        <w:tc>
          <w:tcPr>
            <w:tcW w:w="1211" w:type="dxa"/>
            <w:tcBorders>
              <w:top w:val="nil"/>
              <w:left w:val="nil"/>
              <w:bottom w:val="nil"/>
              <w:right w:val="nil"/>
            </w:tcBorders>
            <w:shd w:val="clear" w:color="auto" w:fill="auto"/>
            <w:noWrap/>
            <w:vAlign w:val="center"/>
          </w:tcPr>
          <w:p w14:paraId="1AEB1C0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5.09 </w:t>
            </w:r>
          </w:p>
        </w:tc>
        <w:tc>
          <w:tcPr>
            <w:tcW w:w="1085" w:type="dxa"/>
            <w:tcBorders>
              <w:top w:val="nil"/>
              <w:left w:val="nil"/>
              <w:bottom w:val="nil"/>
              <w:right w:val="nil"/>
            </w:tcBorders>
            <w:shd w:val="clear" w:color="auto" w:fill="auto"/>
            <w:noWrap/>
            <w:vAlign w:val="center"/>
          </w:tcPr>
          <w:p w14:paraId="7AADE2E5">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11.87 </w:t>
            </w:r>
          </w:p>
        </w:tc>
        <w:tc>
          <w:tcPr>
            <w:tcW w:w="1090" w:type="dxa"/>
            <w:tcBorders>
              <w:top w:val="nil"/>
              <w:left w:val="nil"/>
              <w:bottom w:val="nil"/>
              <w:right w:val="nil"/>
            </w:tcBorders>
            <w:shd w:val="clear" w:color="auto" w:fill="auto"/>
            <w:noWrap/>
            <w:vAlign w:val="center"/>
          </w:tcPr>
          <w:p w14:paraId="0022ECBE">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30.00 </w:t>
            </w:r>
          </w:p>
        </w:tc>
        <w:tc>
          <w:tcPr>
            <w:tcW w:w="1206" w:type="dxa"/>
            <w:tcBorders>
              <w:top w:val="nil"/>
              <w:left w:val="nil"/>
              <w:bottom w:val="nil"/>
              <w:right w:val="nil"/>
            </w:tcBorders>
            <w:shd w:val="clear" w:color="auto" w:fill="auto"/>
            <w:noWrap/>
            <w:vAlign w:val="center"/>
          </w:tcPr>
          <w:p w14:paraId="63CAC2AF">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88.96 </w:t>
            </w:r>
          </w:p>
        </w:tc>
        <w:tc>
          <w:tcPr>
            <w:tcW w:w="1166" w:type="dxa"/>
            <w:tcBorders>
              <w:top w:val="nil"/>
              <w:left w:val="nil"/>
              <w:bottom w:val="nil"/>
              <w:right w:val="nil"/>
            </w:tcBorders>
            <w:shd w:val="clear" w:color="auto" w:fill="auto"/>
            <w:noWrap/>
            <w:vAlign w:val="center"/>
          </w:tcPr>
          <w:p w14:paraId="2ED1A1E7">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 xml:space="preserve">134.46 </w:t>
            </w:r>
          </w:p>
        </w:tc>
      </w:tr>
      <w:tr w14:paraId="5ED648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42B298E0">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AAPC（%）</w:t>
            </w:r>
          </w:p>
        </w:tc>
        <w:tc>
          <w:tcPr>
            <w:tcW w:w="1206" w:type="dxa"/>
            <w:tcBorders>
              <w:top w:val="nil"/>
              <w:left w:val="nil"/>
              <w:bottom w:val="nil"/>
              <w:right w:val="nil"/>
            </w:tcBorders>
            <w:shd w:val="clear" w:color="auto" w:fill="auto"/>
            <w:noWrap/>
            <w:vAlign w:val="center"/>
          </w:tcPr>
          <w:p w14:paraId="3A5CA45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2.54</w:t>
            </w:r>
          </w:p>
        </w:tc>
        <w:tc>
          <w:tcPr>
            <w:tcW w:w="1211" w:type="dxa"/>
            <w:tcBorders>
              <w:top w:val="nil"/>
              <w:left w:val="nil"/>
              <w:bottom w:val="nil"/>
              <w:right w:val="nil"/>
            </w:tcBorders>
            <w:shd w:val="clear" w:color="auto" w:fill="auto"/>
            <w:noWrap/>
            <w:vAlign w:val="center"/>
          </w:tcPr>
          <w:p w14:paraId="7BFEA6C3">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-0.84</w:t>
            </w:r>
          </w:p>
        </w:tc>
        <w:tc>
          <w:tcPr>
            <w:tcW w:w="1085" w:type="dxa"/>
            <w:tcBorders>
              <w:top w:val="nil"/>
              <w:left w:val="nil"/>
              <w:bottom w:val="nil"/>
              <w:right w:val="nil"/>
            </w:tcBorders>
            <w:shd w:val="clear" w:color="auto" w:fill="auto"/>
            <w:noWrap/>
            <w:vAlign w:val="center"/>
          </w:tcPr>
          <w:p w14:paraId="3C5FF4F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-0.07</w:t>
            </w:r>
          </w:p>
        </w:tc>
        <w:tc>
          <w:tcPr>
            <w:tcW w:w="1090" w:type="dxa"/>
            <w:tcBorders>
              <w:top w:val="nil"/>
              <w:left w:val="nil"/>
              <w:bottom w:val="nil"/>
              <w:right w:val="nil"/>
            </w:tcBorders>
            <w:shd w:val="clear" w:color="auto" w:fill="auto"/>
            <w:noWrap/>
            <w:vAlign w:val="center"/>
          </w:tcPr>
          <w:p w14:paraId="6B13043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5.33</w:t>
            </w:r>
          </w:p>
        </w:tc>
        <w:tc>
          <w:tcPr>
            <w:tcW w:w="1206" w:type="dxa"/>
            <w:tcBorders>
              <w:top w:val="nil"/>
              <w:left w:val="nil"/>
              <w:bottom w:val="nil"/>
              <w:right w:val="nil"/>
            </w:tcBorders>
            <w:shd w:val="clear" w:color="auto" w:fill="auto"/>
            <w:noWrap/>
            <w:vAlign w:val="center"/>
          </w:tcPr>
          <w:p w14:paraId="3C07E0E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8.86</w:t>
            </w:r>
          </w:p>
        </w:tc>
        <w:tc>
          <w:tcPr>
            <w:tcW w:w="1166" w:type="dxa"/>
            <w:tcBorders>
              <w:top w:val="nil"/>
              <w:left w:val="nil"/>
              <w:bottom w:val="nil"/>
              <w:right w:val="nil"/>
            </w:tcBorders>
            <w:shd w:val="clear" w:color="auto" w:fill="auto"/>
            <w:noWrap/>
            <w:vAlign w:val="center"/>
          </w:tcPr>
          <w:p w14:paraId="10FF9A60">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14.58</w:t>
            </w:r>
          </w:p>
        </w:tc>
      </w:tr>
      <w:tr w14:paraId="3BFC717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70008A09">
            <w:pPr>
              <w:keepNext w:val="0"/>
              <w:keepLines w:val="0"/>
              <w:widowControl/>
              <w:suppressLineNumbers w:val="0"/>
              <w:snapToGrid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95%CI（%）</w:t>
            </w:r>
          </w:p>
        </w:tc>
        <w:tc>
          <w:tcPr>
            <w:tcW w:w="1206" w:type="dxa"/>
            <w:tcBorders>
              <w:top w:val="nil"/>
              <w:left w:val="nil"/>
              <w:bottom w:val="nil"/>
              <w:right w:val="nil"/>
            </w:tcBorders>
            <w:shd w:val="clear" w:color="auto" w:fill="auto"/>
            <w:noWrap/>
            <w:vAlign w:val="center"/>
          </w:tcPr>
          <w:p w14:paraId="31BE6D71">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-9.37~16.00</w:t>
            </w:r>
          </w:p>
        </w:tc>
        <w:tc>
          <w:tcPr>
            <w:tcW w:w="1211" w:type="dxa"/>
            <w:tcBorders>
              <w:top w:val="nil"/>
              <w:left w:val="nil"/>
              <w:bottom w:val="nil"/>
              <w:right w:val="nil"/>
            </w:tcBorders>
            <w:shd w:val="clear" w:color="auto" w:fill="auto"/>
            <w:noWrap/>
            <w:vAlign w:val="center"/>
          </w:tcPr>
          <w:p w14:paraId="6AC1EC8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-10.14~9.43</w:t>
            </w:r>
          </w:p>
        </w:tc>
        <w:tc>
          <w:tcPr>
            <w:tcW w:w="1085" w:type="dxa"/>
            <w:tcBorders>
              <w:top w:val="nil"/>
              <w:left w:val="nil"/>
              <w:bottom w:val="nil"/>
              <w:right w:val="nil"/>
            </w:tcBorders>
            <w:shd w:val="clear" w:color="auto" w:fill="auto"/>
            <w:noWrap/>
            <w:vAlign w:val="center"/>
          </w:tcPr>
          <w:p w14:paraId="454BB8D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-4.25~4.30</w:t>
            </w:r>
          </w:p>
        </w:tc>
        <w:tc>
          <w:tcPr>
            <w:tcW w:w="1090" w:type="dxa"/>
            <w:tcBorders>
              <w:top w:val="nil"/>
              <w:left w:val="nil"/>
              <w:bottom w:val="nil"/>
              <w:right w:val="nil"/>
            </w:tcBorders>
            <w:shd w:val="clear" w:color="auto" w:fill="auto"/>
            <w:noWrap/>
            <w:vAlign w:val="center"/>
          </w:tcPr>
          <w:p w14:paraId="1D758B99">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3.24~7.46</w:t>
            </w:r>
          </w:p>
        </w:tc>
        <w:tc>
          <w:tcPr>
            <w:tcW w:w="1206" w:type="dxa"/>
            <w:tcBorders>
              <w:top w:val="nil"/>
              <w:left w:val="nil"/>
              <w:bottom w:val="nil"/>
              <w:right w:val="nil"/>
            </w:tcBorders>
            <w:shd w:val="clear" w:color="auto" w:fill="auto"/>
            <w:noWrap/>
            <w:vAlign w:val="center"/>
          </w:tcPr>
          <w:p w14:paraId="168DA10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2.43~15.69</w:t>
            </w:r>
          </w:p>
        </w:tc>
        <w:tc>
          <w:tcPr>
            <w:tcW w:w="1166" w:type="dxa"/>
            <w:tcBorders>
              <w:top w:val="nil"/>
              <w:left w:val="nil"/>
              <w:bottom w:val="nil"/>
              <w:right w:val="nil"/>
            </w:tcBorders>
            <w:shd w:val="clear" w:color="auto" w:fill="auto"/>
            <w:noWrap/>
            <w:vAlign w:val="center"/>
          </w:tcPr>
          <w:p w14:paraId="1F4CF6EB">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8.25~21.28</w:t>
            </w:r>
          </w:p>
        </w:tc>
      </w:tr>
      <w:tr w14:paraId="767E58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nil"/>
              <w:right w:val="nil"/>
            </w:tcBorders>
            <w:shd w:val="clear" w:color="auto" w:fill="auto"/>
            <w:noWrap/>
            <w:vAlign w:val="center"/>
          </w:tcPr>
          <w:p w14:paraId="1A501F2E">
            <w:pPr>
              <w:keepNext w:val="0"/>
              <w:keepLines w:val="0"/>
              <w:widowControl/>
              <w:suppressLineNumbers w:val="0"/>
              <w:snapToGrid w:val="0"/>
              <w:jc w:val="center"/>
              <w:textAlignment w:val="center"/>
              <w:rPr>
                <w:rFonts w:hint="eastAsia" w:ascii="Times New Roman" w:hAnsi="Times New Roman" w:eastAsia="宋体" w:cs="Times New Roman"/>
                <w:i/>
                <w:iCs/>
                <w:color w:val="000000"/>
                <w:kern w:val="0"/>
                <w:sz w:val="20"/>
                <w:szCs w:val="20"/>
                <w:u w:val="none"/>
                <w:lang w:val="en-US" w:eastAsia="zh-CN" w:bidi="ar"/>
              </w:rPr>
            </w:pPr>
            <w:r>
              <w:rPr>
                <w:rFonts w:hint="eastAsia" w:ascii="Times New Roman" w:hAnsi="Times New Roman" w:eastAsia="宋体" w:cs="Times New Roman"/>
                <w:i/>
                <w:iCs/>
                <w:color w:val="000000"/>
                <w:kern w:val="0"/>
                <w:sz w:val="20"/>
                <w:szCs w:val="20"/>
                <w:u w:val="none"/>
                <w:lang w:val="en-US" w:eastAsia="zh-CN" w:bidi="ar"/>
              </w:rPr>
              <w:t>t</w:t>
            </w:r>
          </w:p>
        </w:tc>
        <w:tc>
          <w:tcPr>
            <w:tcW w:w="1206" w:type="dxa"/>
            <w:tcBorders>
              <w:top w:val="nil"/>
              <w:left w:val="nil"/>
              <w:bottom w:val="nil"/>
              <w:right w:val="nil"/>
            </w:tcBorders>
            <w:shd w:val="clear" w:color="auto" w:fill="auto"/>
            <w:noWrap/>
            <w:vAlign w:val="center"/>
          </w:tcPr>
          <w:p w14:paraId="1CF2E7C6">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0.56</w:t>
            </w:r>
          </w:p>
        </w:tc>
        <w:tc>
          <w:tcPr>
            <w:tcW w:w="1211" w:type="dxa"/>
            <w:tcBorders>
              <w:top w:val="nil"/>
              <w:left w:val="nil"/>
              <w:bottom w:val="nil"/>
              <w:right w:val="nil"/>
            </w:tcBorders>
            <w:shd w:val="clear" w:color="auto" w:fill="auto"/>
            <w:noWrap/>
            <w:vAlign w:val="center"/>
          </w:tcPr>
          <w:p w14:paraId="4F15A66F">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-0.24</w:t>
            </w:r>
          </w:p>
        </w:tc>
        <w:tc>
          <w:tcPr>
            <w:tcW w:w="1085" w:type="dxa"/>
            <w:tcBorders>
              <w:top w:val="nil"/>
              <w:left w:val="nil"/>
              <w:bottom w:val="nil"/>
              <w:right w:val="nil"/>
            </w:tcBorders>
            <w:shd w:val="clear" w:color="auto" w:fill="auto"/>
            <w:noWrap/>
            <w:vAlign w:val="center"/>
          </w:tcPr>
          <w:p w14:paraId="5088F187">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-0.04</w:t>
            </w:r>
          </w:p>
        </w:tc>
        <w:tc>
          <w:tcPr>
            <w:tcW w:w="1090" w:type="dxa"/>
            <w:tcBorders>
              <w:top w:val="nil"/>
              <w:left w:val="nil"/>
              <w:bottom w:val="nil"/>
              <w:right w:val="nil"/>
            </w:tcBorders>
            <w:shd w:val="clear" w:color="auto" w:fill="auto"/>
            <w:noWrap/>
            <w:vAlign w:val="center"/>
          </w:tcPr>
          <w:p w14:paraId="2863BEA8">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7.20</w:t>
            </w:r>
          </w:p>
        </w:tc>
        <w:tc>
          <w:tcPr>
            <w:tcW w:w="1206" w:type="dxa"/>
            <w:tcBorders>
              <w:top w:val="nil"/>
              <w:left w:val="nil"/>
              <w:bottom w:val="nil"/>
              <w:right w:val="nil"/>
            </w:tcBorders>
            <w:shd w:val="clear" w:color="auto" w:fill="auto"/>
            <w:noWrap/>
            <w:vAlign w:val="center"/>
          </w:tcPr>
          <w:p w14:paraId="408760CC">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3.87</w:t>
            </w:r>
          </w:p>
        </w:tc>
        <w:tc>
          <w:tcPr>
            <w:tcW w:w="1166" w:type="dxa"/>
            <w:tcBorders>
              <w:top w:val="nil"/>
              <w:left w:val="nil"/>
              <w:bottom w:val="nil"/>
              <w:right w:val="nil"/>
            </w:tcBorders>
            <w:shd w:val="clear" w:color="auto" w:fill="auto"/>
            <w:noWrap/>
            <w:vAlign w:val="center"/>
          </w:tcPr>
          <w:p w14:paraId="0BFCD5A5">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6.65</w:t>
            </w:r>
          </w:p>
        </w:tc>
      </w:tr>
      <w:tr w14:paraId="388EBF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0" w:type="dxa"/>
            <w:left w:w="64" w:type="dxa"/>
            <w:bottom w:w="40" w:type="dxa"/>
            <w:right w:w="64" w:type="dxa"/>
          </w:tblCellMar>
        </w:tblPrEx>
        <w:trPr>
          <w:trHeight w:val="0" w:hRule="atLeast"/>
          <w:jc w:val="center"/>
        </w:trPr>
        <w:tc>
          <w:tcPr>
            <w:tcW w:w="1468" w:type="dxa"/>
            <w:tcBorders>
              <w:top w:val="nil"/>
              <w:left w:val="nil"/>
              <w:bottom w:val="single" w:color="auto" w:sz="4" w:space="0"/>
              <w:right w:val="nil"/>
            </w:tcBorders>
            <w:shd w:val="clear" w:color="auto" w:fill="auto"/>
            <w:noWrap/>
            <w:vAlign w:val="center"/>
          </w:tcPr>
          <w:p w14:paraId="14E64179">
            <w:pPr>
              <w:keepNext w:val="0"/>
              <w:keepLines w:val="0"/>
              <w:widowControl/>
              <w:suppressLineNumbers w:val="0"/>
              <w:snapToGrid w:val="0"/>
              <w:jc w:val="center"/>
              <w:textAlignment w:val="center"/>
              <w:rPr>
                <w:rFonts w:hint="eastAsia" w:ascii="Times New Roman" w:hAnsi="Times New Roman" w:eastAsia="宋体" w:cs="Times New Roman"/>
                <w:i/>
                <w:iCs/>
                <w:color w:val="000000"/>
                <w:kern w:val="0"/>
                <w:sz w:val="20"/>
                <w:szCs w:val="20"/>
                <w:u w:val="none"/>
                <w:lang w:val="en-US" w:eastAsia="zh-CN" w:bidi="ar"/>
              </w:rPr>
            </w:pPr>
            <w:r>
              <w:rPr>
                <w:rFonts w:hint="eastAsia" w:ascii="Times New Roman" w:hAnsi="Times New Roman" w:eastAsia="宋体" w:cs="Times New Roman"/>
                <w:i/>
                <w:iCs/>
                <w:color w:val="000000"/>
                <w:kern w:val="0"/>
                <w:sz w:val="20"/>
                <w:szCs w:val="20"/>
                <w:u w:val="none"/>
                <w:lang w:val="en-US" w:eastAsia="zh-CN" w:bidi="ar"/>
              </w:rPr>
              <w:t>P</w:t>
            </w:r>
          </w:p>
        </w:tc>
        <w:tc>
          <w:tcPr>
            <w:tcW w:w="1206" w:type="dxa"/>
            <w:tcBorders>
              <w:top w:val="nil"/>
              <w:left w:val="nil"/>
              <w:bottom w:val="single" w:color="auto" w:sz="4" w:space="0"/>
              <w:right w:val="nil"/>
            </w:tcBorders>
            <w:shd w:val="clear" w:color="auto" w:fill="auto"/>
            <w:noWrap/>
            <w:vAlign w:val="center"/>
          </w:tcPr>
          <w:p w14:paraId="44C9E1E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0.603</w:t>
            </w:r>
          </w:p>
        </w:tc>
        <w:tc>
          <w:tcPr>
            <w:tcW w:w="1211" w:type="dxa"/>
            <w:tcBorders>
              <w:top w:val="nil"/>
              <w:left w:val="nil"/>
              <w:bottom w:val="single" w:color="auto" w:sz="4" w:space="0"/>
              <w:right w:val="nil"/>
            </w:tcBorders>
            <w:shd w:val="clear" w:color="auto" w:fill="auto"/>
            <w:noWrap/>
            <w:vAlign w:val="center"/>
          </w:tcPr>
          <w:p w14:paraId="12DF6DE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0.824</w:t>
            </w:r>
          </w:p>
        </w:tc>
        <w:tc>
          <w:tcPr>
            <w:tcW w:w="1085" w:type="dxa"/>
            <w:tcBorders>
              <w:top w:val="nil"/>
              <w:left w:val="nil"/>
              <w:bottom w:val="single" w:color="auto" w:sz="4" w:space="0"/>
              <w:right w:val="nil"/>
            </w:tcBorders>
            <w:shd w:val="clear" w:color="auto" w:fill="auto"/>
            <w:noWrap/>
            <w:vAlign w:val="center"/>
          </w:tcPr>
          <w:p w14:paraId="6080BBEE">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0.968</w:t>
            </w:r>
          </w:p>
        </w:tc>
        <w:tc>
          <w:tcPr>
            <w:tcW w:w="1090" w:type="dxa"/>
            <w:tcBorders>
              <w:top w:val="nil"/>
              <w:left w:val="nil"/>
              <w:bottom w:val="single" w:color="auto" w:sz="4" w:space="0"/>
              <w:right w:val="nil"/>
            </w:tcBorders>
            <w:shd w:val="clear" w:color="auto" w:fill="auto"/>
            <w:noWrap/>
            <w:vAlign w:val="center"/>
          </w:tcPr>
          <w:p w14:paraId="578F5C64">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0.002</w:t>
            </w:r>
          </w:p>
        </w:tc>
        <w:tc>
          <w:tcPr>
            <w:tcW w:w="1206" w:type="dxa"/>
            <w:tcBorders>
              <w:top w:val="nil"/>
              <w:left w:val="nil"/>
              <w:bottom w:val="single" w:color="auto" w:sz="4" w:space="0"/>
              <w:right w:val="nil"/>
            </w:tcBorders>
            <w:shd w:val="clear" w:color="auto" w:fill="auto"/>
            <w:noWrap/>
            <w:vAlign w:val="center"/>
          </w:tcPr>
          <w:p w14:paraId="70F7AEC2">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0.018</w:t>
            </w:r>
          </w:p>
        </w:tc>
        <w:tc>
          <w:tcPr>
            <w:tcW w:w="1166" w:type="dxa"/>
            <w:tcBorders>
              <w:top w:val="nil"/>
              <w:left w:val="nil"/>
              <w:bottom w:val="single" w:color="auto" w:sz="4" w:space="0"/>
              <w:right w:val="nil"/>
            </w:tcBorders>
            <w:shd w:val="clear" w:color="auto" w:fill="auto"/>
            <w:noWrap/>
            <w:vAlign w:val="center"/>
          </w:tcPr>
          <w:p w14:paraId="056D496D">
            <w:pPr>
              <w:keepNext w:val="0"/>
              <w:keepLines w:val="0"/>
              <w:widowControl/>
              <w:suppressLineNumbers w:val="0"/>
              <w:snapToGrid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0.003</w:t>
            </w:r>
          </w:p>
        </w:tc>
      </w:tr>
    </w:tbl>
    <w:p w14:paraId="5FC1FA30">
      <w:pPr>
        <w:jc w:val="both"/>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Notes：AAPC：average annual percentage change；CI：confidence interval.</w:t>
      </w:r>
    </w:p>
    <w:p w14:paraId="61264DAE">
      <w:pPr>
        <w:jc w:val="both"/>
        <w:rPr>
          <w:rFonts w:hint="eastAsia" w:ascii="Times New Roman" w:hAnsi="Times New Roman" w:eastAsia="宋体" w:cs="Times New Roman"/>
          <w:sz w:val="24"/>
          <w:szCs w:val="32"/>
        </w:rPr>
      </w:pPr>
    </w:p>
    <w:p w14:paraId="74EE21E6">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楷体" w:hAnsi="楷体" w:eastAsia="楷体" w:cs="楷体"/>
          <w:kern w:val="0"/>
          <w:sz w:val="24"/>
          <w:szCs w:val="20"/>
          <w:lang w:val="en-US" w:eastAsia="zh-CN" w:bidi="ar-SA"/>
        </w:rPr>
      </w:pPr>
      <w:r>
        <w:rPr>
          <w:rFonts w:hint="eastAsia" w:ascii="楷体" w:hAnsi="楷体" w:eastAsia="楷体" w:cs="楷体"/>
          <w:kern w:val="0"/>
          <w:sz w:val="24"/>
          <w:szCs w:val="20"/>
          <w:lang w:val="en-US" w:eastAsia="zh-CN" w:bidi="ar-SA"/>
        </w:rPr>
        <w:t>2.5 2024—2026年宿迁市结直肠癌发病率和死亡率预测</w:t>
      </w:r>
    </w:p>
    <w:p w14:paraId="3A89FEE1">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根据2018-2023年宿迁市结直肠癌发病率和死亡率的数据，建立了灰色模型GM（1,1），对宿迁市2024至2026年结直肠癌的发病率和死亡率进行了预测。拟合模型的结果显示，全市发病率、男性发病率、女性发病率、全市死亡率、男性死亡率和女性死亡率的预测模型的MAPE分别为2.41%、2.82%、1.80%、2.99%、2.51%和3.84%，均小于10%；模型的后验差比值C分别为0.22、0.24、0.19、0.24、0.21和0.33，均小于0.35。这表明上述六个模型的预测精度均为优秀。</w:t>
      </w:r>
    </w:p>
    <w:p w14:paraId="059716F8">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highlight w:val="yellow"/>
          <w:lang w:val="en-US" w:eastAsia="zh-CN" w:bidi="ar-SA"/>
        </w:rPr>
      </w:pPr>
      <w:r>
        <w:rPr>
          <w:rFonts w:hint="eastAsia" w:ascii="Times New Roman" w:hAnsi="Times New Roman" w:eastAsia="宋体" w:cs="Times New Roman"/>
          <w:kern w:val="0"/>
          <w:sz w:val="24"/>
          <w:szCs w:val="20"/>
          <w:highlight w:val="yellow"/>
          <w:lang w:val="en-US" w:eastAsia="zh-CN" w:bidi="ar-SA"/>
        </w:rPr>
        <w:t>全市中标发病率、男性中标发病率、女性中标发病率、全市中标死亡率和男性中标死亡率的预测模型的MAPE分别为3.08%、2.40%、3.50%、2.10%和1.44%，均小于10%；模型的后验差比值C分别为0.50、0.42、0.52、0.40和0.21，均小于0.65。这表明上述五个模型的预测精度均基本合格。然而，女性中标死亡率预测模型的后验差比值C为0.84，MAPE为3.64%，模型精度不合格，因此不可用于外推预测。</w:t>
      </w:r>
    </w:p>
    <w:p w14:paraId="68C44F98">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default"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GM（1,1）模型预测结果显示，2024年、2025年和2026年，宿迁市结直肠癌的发病率分别为23.98/10万、25.60/10万和27.32/10万，死亡率则分别为11.87/10万、13.03/10万和14.31/10万，均逐年上升（Table7）。从性别分布来看，男性和女性的发病率和死亡率变化趋势与全市合计情况一致，亦均表现为逐年上升。</w:t>
      </w:r>
      <w:r>
        <w:rPr>
          <w:rFonts w:hint="eastAsia" w:ascii="Times New Roman" w:hAnsi="Times New Roman" w:eastAsia="宋体" w:cs="Times New Roman"/>
          <w:kern w:val="0"/>
          <w:sz w:val="24"/>
          <w:szCs w:val="20"/>
          <w:highlight w:val="yellow"/>
          <w:lang w:val="en-US" w:eastAsia="zh-CN" w:bidi="ar-SA"/>
        </w:rPr>
        <w:t>中标率预测结果显示，2024年、2025年和2026年，宿迁市结直肠癌的中标发病率分别为13.15/10万、14.47/10万和13.80/10万，死亡率则分别为5.70/10万、5.96/10万和6.23/10万，均逐年上升（Table8）。</w:t>
      </w:r>
    </w:p>
    <w:p w14:paraId="45E4EB7F">
      <w:pPr>
        <w:jc w:val="both"/>
        <w:rPr>
          <w:rFonts w:hint="eastAsia" w:ascii="Times New Roman" w:hAnsi="Times New Roman" w:eastAsia="宋体" w:cs="Times New Roman"/>
          <w:sz w:val="24"/>
          <w:szCs w:val="32"/>
        </w:rPr>
      </w:pPr>
      <w:r>
        <w:rPr>
          <w:rFonts w:hint="eastAsia" w:ascii="Times New Roman" w:hAnsi="Times New Roman" w:eastAsia="宋体" w:cs="Times New Roman"/>
          <w:sz w:val="24"/>
          <w:szCs w:val="32"/>
          <w:lang w:val="en-US" w:eastAsia="zh-CN"/>
        </w:rPr>
        <w:t xml:space="preserve">Table 7 </w:t>
      </w:r>
      <w:r>
        <w:rPr>
          <w:rFonts w:hint="eastAsia" w:ascii="Times New Roman" w:hAnsi="Times New Roman" w:eastAsia="宋体" w:cs="Times New Roman"/>
          <w:sz w:val="24"/>
          <w:szCs w:val="32"/>
        </w:rPr>
        <w:t>The GM(1,1) model predicts the incidence and mortality of colorectal cancer</w:t>
      </w:r>
    </w:p>
    <w:tbl>
      <w:tblPr>
        <w:tblStyle w:val="2"/>
        <w:tblW w:w="8297"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33"/>
        <w:gridCol w:w="1135"/>
        <w:gridCol w:w="873"/>
        <w:gridCol w:w="960"/>
        <w:gridCol w:w="922"/>
        <w:gridCol w:w="833"/>
        <w:gridCol w:w="851"/>
        <w:gridCol w:w="793"/>
        <w:gridCol w:w="797"/>
      </w:tblGrid>
      <w:tr w14:paraId="620C333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1133" w:type="dxa"/>
            <w:vMerge w:val="restart"/>
            <w:tcBorders>
              <w:top w:val="single" w:color="auto" w:sz="4" w:space="0"/>
              <w:left w:val="nil"/>
              <w:right w:val="nil"/>
            </w:tcBorders>
            <w:shd w:val="clear" w:color="auto" w:fill="auto"/>
            <w:noWrap/>
            <w:vAlign w:val="center"/>
          </w:tcPr>
          <w:p w14:paraId="74A7D7D9">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Index</w:t>
            </w:r>
          </w:p>
        </w:tc>
        <w:tc>
          <w:tcPr>
            <w:tcW w:w="1135" w:type="dxa"/>
            <w:vMerge w:val="restart"/>
            <w:tcBorders>
              <w:top w:val="single" w:color="auto" w:sz="4" w:space="0"/>
              <w:left w:val="nil"/>
              <w:right w:val="nil"/>
            </w:tcBorders>
            <w:shd w:val="clear" w:color="auto" w:fill="auto"/>
            <w:noWrap/>
            <w:vAlign w:val="center"/>
          </w:tcPr>
          <w:p w14:paraId="7A4B567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Gender</w:t>
            </w:r>
          </w:p>
        </w:tc>
        <w:tc>
          <w:tcPr>
            <w:tcW w:w="1833" w:type="dxa"/>
            <w:gridSpan w:val="2"/>
            <w:tcBorders>
              <w:top w:val="single" w:color="auto" w:sz="4" w:space="0"/>
              <w:left w:val="nil"/>
              <w:bottom w:val="nil"/>
              <w:right w:val="nil"/>
            </w:tcBorders>
            <w:shd w:val="clear" w:color="auto" w:fill="auto"/>
            <w:noWrap/>
            <w:vAlign w:val="center"/>
          </w:tcPr>
          <w:p w14:paraId="61C18AB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Model Parameters</w:t>
            </w:r>
          </w:p>
        </w:tc>
        <w:tc>
          <w:tcPr>
            <w:tcW w:w="922" w:type="dxa"/>
            <w:vMerge w:val="restart"/>
            <w:tcBorders>
              <w:top w:val="single" w:color="auto" w:sz="4" w:space="0"/>
              <w:left w:val="nil"/>
              <w:right w:val="nil"/>
            </w:tcBorders>
            <w:shd w:val="clear" w:color="auto" w:fill="auto"/>
            <w:noWrap/>
            <w:vAlign w:val="center"/>
          </w:tcPr>
          <w:p w14:paraId="0DA23C6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MAPE（%）</w:t>
            </w:r>
          </w:p>
        </w:tc>
        <w:tc>
          <w:tcPr>
            <w:tcW w:w="833" w:type="dxa"/>
            <w:vMerge w:val="restart"/>
            <w:tcBorders>
              <w:top w:val="single" w:color="auto" w:sz="4" w:space="0"/>
              <w:left w:val="nil"/>
              <w:right w:val="nil"/>
            </w:tcBorders>
            <w:shd w:val="clear" w:color="auto" w:fill="auto"/>
            <w:noWrap/>
            <w:vAlign w:val="center"/>
          </w:tcPr>
          <w:p w14:paraId="649A325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C</w:t>
            </w:r>
          </w:p>
        </w:tc>
        <w:tc>
          <w:tcPr>
            <w:tcW w:w="2441" w:type="dxa"/>
            <w:gridSpan w:val="3"/>
            <w:tcBorders>
              <w:top w:val="single" w:color="auto" w:sz="4" w:space="0"/>
              <w:left w:val="nil"/>
              <w:bottom w:val="nil"/>
              <w:right w:val="nil"/>
            </w:tcBorders>
            <w:shd w:val="clear" w:color="auto" w:fill="auto"/>
            <w:noWrap/>
            <w:vAlign w:val="center"/>
          </w:tcPr>
          <w:p w14:paraId="06538A9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2024–2026 Forecast（1/10</w:t>
            </w:r>
            <w:r>
              <w:rPr>
                <w:rFonts w:hint="default" w:ascii="Times New Roman" w:hAnsi="Times New Roman" w:eastAsia="宋体" w:cs="Times New Roman"/>
                <w:i w:val="0"/>
                <w:iCs w:val="0"/>
                <w:color w:val="000000"/>
                <w:kern w:val="0"/>
                <w:sz w:val="20"/>
                <w:szCs w:val="20"/>
                <w:u w:val="none"/>
                <w:vertAlign w:val="superscript"/>
                <w:lang w:val="en-US" w:eastAsia="zh-CN" w:bidi="ar"/>
              </w:rPr>
              <w:t xml:space="preserve">5 </w:t>
            </w:r>
            <w:r>
              <w:rPr>
                <w:rFonts w:hint="default" w:ascii="Times New Roman" w:hAnsi="Times New Roman" w:eastAsia="宋体" w:cs="Times New Roman"/>
                <w:i w:val="0"/>
                <w:iCs w:val="0"/>
                <w:color w:val="000000"/>
                <w:kern w:val="0"/>
                <w:sz w:val="20"/>
                <w:szCs w:val="20"/>
                <w:u w:val="none"/>
                <w:lang w:val="en-US" w:eastAsia="zh-CN" w:bidi="ar"/>
              </w:rPr>
              <w:t>）</w:t>
            </w:r>
          </w:p>
        </w:tc>
      </w:tr>
      <w:tr w14:paraId="0B6B3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1133" w:type="dxa"/>
            <w:vMerge w:val="continue"/>
            <w:tcBorders>
              <w:left w:val="nil"/>
              <w:bottom w:val="single" w:color="auto" w:sz="4" w:space="0"/>
              <w:right w:val="nil"/>
            </w:tcBorders>
            <w:shd w:val="clear" w:color="auto" w:fill="auto"/>
            <w:noWrap/>
            <w:vAlign w:val="center"/>
          </w:tcPr>
          <w:p w14:paraId="2FBFABF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p>
        </w:tc>
        <w:tc>
          <w:tcPr>
            <w:tcW w:w="1135" w:type="dxa"/>
            <w:vMerge w:val="continue"/>
            <w:tcBorders>
              <w:left w:val="nil"/>
              <w:bottom w:val="single" w:color="auto" w:sz="4" w:space="0"/>
              <w:right w:val="nil"/>
            </w:tcBorders>
            <w:shd w:val="clear" w:color="auto" w:fill="auto"/>
            <w:noWrap/>
            <w:vAlign w:val="center"/>
          </w:tcPr>
          <w:p w14:paraId="43A3858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873" w:type="dxa"/>
            <w:tcBorders>
              <w:top w:val="nil"/>
              <w:left w:val="nil"/>
              <w:bottom w:val="single" w:color="auto" w:sz="4" w:space="0"/>
              <w:right w:val="nil"/>
            </w:tcBorders>
            <w:shd w:val="clear" w:color="auto" w:fill="auto"/>
            <w:noWrap/>
            <w:vAlign w:val="center"/>
          </w:tcPr>
          <w:p w14:paraId="6D9F528A">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α</w:t>
            </w:r>
          </w:p>
        </w:tc>
        <w:tc>
          <w:tcPr>
            <w:tcW w:w="960" w:type="dxa"/>
            <w:tcBorders>
              <w:top w:val="nil"/>
              <w:left w:val="nil"/>
              <w:bottom w:val="single" w:color="auto" w:sz="4" w:space="0"/>
              <w:right w:val="nil"/>
            </w:tcBorders>
            <w:shd w:val="clear" w:color="auto" w:fill="auto"/>
            <w:noWrap/>
            <w:vAlign w:val="center"/>
          </w:tcPr>
          <w:p w14:paraId="1EA8046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μ</w:t>
            </w:r>
          </w:p>
        </w:tc>
        <w:tc>
          <w:tcPr>
            <w:tcW w:w="922" w:type="dxa"/>
            <w:vMerge w:val="continue"/>
            <w:tcBorders>
              <w:left w:val="nil"/>
              <w:bottom w:val="single" w:color="auto" w:sz="4" w:space="0"/>
              <w:right w:val="nil"/>
            </w:tcBorders>
            <w:shd w:val="clear" w:color="auto" w:fill="auto"/>
            <w:noWrap/>
            <w:vAlign w:val="center"/>
          </w:tcPr>
          <w:p w14:paraId="0AF6ADE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833" w:type="dxa"/>
            <w:vMerge w:val="continue"/>
            <w:tcBorders>
              <w:left w:val="nil"/>
              <w:bottom w:val="single" w:color="auto" w:sz="4" w:space="0"/>
              <w:right w:val="nil"/>
            </w:tcBorders>
            <w:shd w:val="clear" w:color="auto" w:fill="auto"/>
            <w:noWrap/>
            <w:vAlign w:val="center"/>
          </w:tcPr>
          <w:p w14:paraId="4A53B543">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p>
        </w:tc>
        <w:tc>
          <w:tcPr>
            <w:tcW w:w="851" w:type="dxa"/>
            <w:tcBorders>
              <w:top w:val="nil"/>
              <w:left w:val="nil"/>
              <w:bottom w:val="single" w:color="auto" w:sz="4" w:space="0"/>
              <w:right w:val="nil"/>
            </w:tcBorders>
            <w:shd w:val="clear" w:color="auto" w:fill="auto"/>
            <w:noWrap/>
            <w:vAlign w:val="center"/>
          </w:tcPr>
          <w:p w14:paraId="346E912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2024</w:t>
            </w:r>
          </w:p>
        </w:tc>
        <w:tc>
          <w:tcPr>
            <w:tcW w:w="793" w:type="dxa"/>
            <w:tcBorders>
              <w:top w:val="nil"/>
              <w:left w:val="nil"/>
              <w:bottom w:val="single" w:color="auto" w:sz="4" w:space="0"/>
              <w:right w:val="nil"/>
            </w:tcBorders>
            <w:shd w:val="clear" w:color="auto" w:fill="auto"/>
            <w:noWrap/>
            <w:vAlign w:val="center"/>
          </w:tcPr>
          <w:p w14:paraId="7B1A51E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2025</w:t>
            </w:r>
          </w:p>
        </w:tc>
        <w:tc>
          <w:tcPr>
            <w:tcW w:w="797" w:type="dxa"/>
            <w:tcBorders>
              <w:top w:val="nil"/>
              <w:left w:val="nil"/>
              <w:bottom w:val="single" w:color="auto" w:sz="4" w:space="0"/>
              <w:right w:val="nil"/>
            </w:tcBorders>
            <w:shd w:val="clear" w:color="auto" w:fill="auto"/>
            <w:noWrap/>
            <w:vAlign w:val="center"/>
          </w:tcPr>
          <w:p w14:paraId="7D244671">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2026</w:t>
            </w:r>
          </w:p>
        </w:tc>
      </w:tr>
      <w:tr w14:paraId="583EA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133" w:type="dxa"/>
            <w:tcBorders>
              <w:top w:val="nil"/>
              <w:left w:val="nil"/>
              <w:bottom w:val="nil"/>
              <w:right w:val="nil"/>
            </w:tcBorders>
            <w:shd w:val="clear" w:color="auto" w:fill="auto"/>
            <w:noWrap/>
            <w:vAlign w:val="center"/>
          </w:tcPr>
          <w:p w14:paraId="6390F89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Incidence</w:t>
            </w:r>
          </w:p>
        </w:tc>
        <w:tc>
          <w:tcPr>
            <w:tcW w:w="1135" w:type="dxa"/>
            <w:tcBorders>
              <w:top w:val="nil"/>
              <w:left w:val="nil"/>
              <w:bottom w:val="nil"/>
              <w:right w:val="nil"/>
            </w:tcBorders>
            <w:shd w:val="clear" w:color="auto" w:fill="auto"/>
            <w:noWrap/>
            <w:vAlign w:val="center"/>
          </w:tcPr>
          <w:p w14:paraId="65D0E6F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Male</w:t>
            </w:r>
          </w:p>
        </w:tc>
        <w:tc>
          <w:tcPr>
            <w:tcW w:w="873" w:type="dxa"/>
            <w:tcBorders>
              <w:top w:val="nil"/>
              <w:left w:val="nil"/>
              <w:bottom w:val="nil"/>
              <w:right w:val="nil"/>
            </w:tcBorders>
            <w:shd w:val="clear" w:color="auto" w:fill="auto"/>
            <w:noWrap/>
            <w:vAlign w:val="center"/>
          </w:tcPr>
          <w:p w14:paraId="3B6E7090">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-0.08</w:t>
            </w:r>
          </w:p>
        </w:tc>
        <w:tc>
          <w:tcPr>
            <w:tcW w:w="960" w:type="dxa"/>
            <w:tcBorders>
              <w:top w:val="nil"/>
              <w:left w:val="nil"/>
              <w:bottom w:val="nil"/>
              <w:right w:val="nil"/>
            </w:tcBorders>
            <w:shd w:val="clear" w:color="auto" w:fill="auto"/>
            <w:noWrap/>
            <w:vAlign w:val="center"/>
          </w:tcPr>
          <w:p w14:paraId="2F31AB3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17.45</w:t>
            </w:r>
          </w:p>
        </w:tc>
        <w:tc>
          <w:tcPr>
            <w:tcW w:w="922" w:type="dxa"/>
            <w:tcBorders>
              <w:top w:val="nil"/>
              <w:left w:val="nil"/>
              <w:bottom w:val="nil"/>
              <w:right w:val="nil"/>
            </w:tcBorders>
            <w:shd w:val="clear" w:color="auto" w:fill="auto"/>
            <w:noWrap/>
            <w:vAlign w:val="center"/>
          </w:tcPr>
          <w:p w14:paraId="30DDD67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2.82</w:t>
            </w:r>
          </w:p>
        </w:tc>
        <w:tc>
          <w:tcPr>
            <w:tcW w:w="833" w:type="dxa"/>
            <w:tcBorders>
              <w:top w:val="nil"/>
              <w:left w:val="nil"/>
              <w:bottom w:val="nil"/>
              <w:right w:val="nil"/>
            </w:tcBorders>
            <w:shd w:val="clear" w:color="auto" w:fill="auto"/>
            <w:noWrap/>
            <w:vAlign w:val="center"/>
          </w:tcPr>
          <w:p w14:paraId="01024522">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0.24</w:t>
            </w:r>
          </w:p>
        </w:tc>
        <w:tc>
          <w:tcPr>
            <w:tcW w:w="851" w:type="dxa"/>
            <w:tcBorders>
              <w:top w:val="nil"/>
              <w:left w:val="nil"/>
              <w:bottom w:val="nil"/>
              <w:right w:val="nil"/>
            </w:tcBorders>
            <w:shd w:val="clear" w:color="auto" w:fill="auto"/>
            <w:noWrap/>
            <w:vAlign w:val="center"/>
          </w:tcPr>
          <w:p w14:paraId="5DC5524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28.53</w:t>
            </w:r>
          </w:p>
        </w:tc>
        <w:tc>
          <w:tcPr>
            <w:tcW w:w="793" w:type="dxa"/>
            <w:tcBorders>
              <w:top w:val="nil"/>
              <w:left w:val="nil"/>
              <w:bottom w:val="nil"/>
              <w:right w:val="nil"/>
            </w:tcBorders>
            <w:shd w:val="clear" w:color="auto" w:fill="auto"/>
            <w:noWrap/>
            <w:vAlign w:val="center"/>
          </w:tcPr>
          <w:p w14:paraId="08F10C6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30.78</w:t>
            </w:r>
          </w:p>
        </w:tc>
        <w:tc>
          <w:tcPr>
            <w:tcW w:w="797" w:type="dxa"/>
            <w:tcBorders>
              <w:top w:val="nil"/>
              <w:left w:val="nil"/>
              <w:bottom w:val="nil"/>
              <w:right w:val="nil"/>
            </w:tcBorders>
            <w:shd w:val="clear" w:color="auto" w:fill="auto"/>
            <w:noWrap/>
            <w:vAlign w:val="center"/>
          </w:tcPr>
          <w:p w14:paraId="10D52E9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33.20</w:t>
            </w:r>
          </w:p>
        </w:tc>
      </w:tr>
      <w:tr w14:paraId="35EF3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1133" w:type="dxa"/>
            <w:tcBorders>
              <w:top w:val="nil"/>
              <w:left w:val="nil"/>
              <w:bottom w:val="nil"/>
              <w:right w:val="nil"/>
            </w:tcBorders>
            <w:shd w:val="clear" w:color="auto" w:fill="auto"/>
            <w:noWrap/>
            <w:vAlign w:val="center"/>
          </w:tcPr>
          <w:p w14:paraId="5208B10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p>
        </w:tc>
        <w:tc>
          <w:tcPr>
            <w:tcW w:w="1135" w:type="dxa"/>
            <w:tcBorders>
              <w:top w:val="nil"/>
              <w:left w:val="nil"/>
              <w:bottom w:val="nil"/>
              <w:right w:val="nil"/>
            </w:tcBorders>
            <w:shd w:val="clear" w:color="auto" w:fill="auto"/>
            <w:noWrap/>
            <w:vAlign w:val="center"/>
          </w:tcPr>
          <w:p w14:paraId="1F0CF03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Female</w:t>
            </w:r>
          </w:p>
        </w:tc>
        <w:tc>
          <w:tcPr>
            <w:tcW w:w="873" w:type="dxa"/>
            <w:tcBorders>
              <w:top w:val="nil"/>
              <w:left w:val="nil"/>
              <w:bottom w:val="nil"/>
              <w:right w:val="nil"/>
            </w:tcBorders>
            <w:shd w:val="clear" w:color="auto" w:fill="auto"/>
            <w:noWrap/>
            <w:vAlign w:val="center"/>
          </w:tcPr>
          <w:p w14:paraId="4DC7C1F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-0.05</w:t>
            </w:r>
          </w:p>
        </w:tc>
        <w:tc>
          <w:tcPr>
            <w:tcW w:w="960" w:type="dxa"/>
            <w:tcBorders>
              <w:top w:val="nil"/>
              <w:left w:val="nil"/>
              <w:bottom w:val="nil"/>
              <w:right w:val="nil"/>
            </w:tcBorders>
            <w:shd w:val="clear" w:color="auto" w:fill="auto"/>
            <w:noWrap/>
            <w:vAlign w:val="center"/>
          </w:tcPr>
          <w:p w14:paraId="203F02F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13.95</w:t>
            </w:r>
          </w:p>
        </w:tc>
        <w:tc>
          <w:tcPr>
            <w:tcW w:w="922" w:type="dxa"/>
            <w:tcBorders>
              <w:top w:val="nil"/>
              <w:left w:val="nil"/>
              <w:bottom w:val="nil"/>
              <w:right w:val="nil"/>
            </w:tcBorders>
            <w:shd w:val="clear" w:color="auto" w:fill="auto"/>
            <w:noWrap/>
            <w:vAlign w:val="center"/>
          </w:tcPr>
          <w:p w14:paraId="02C0441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1.80</w:t>
            </w:r>
          </w:p>
        </w:tc>
        <w:tc>
          <w:tcPr>
            <w:tcW w:w="833" w:type="dxa"/>
            <w:tcBorders>
              <w:top w:val="nil"/>
              <w:left w:val="nil"/>
              <w:bottom w:val="nil"/>
              <w:right w:val="nil"/>
            </w:tcBorders>
            <w:shd w:val="clear" w:color="auto" w:fill="auto"/>
            <w:noWrap/>
            <w:vAlign w:val="center"/>
          </w:tcPr>
          <w:p w14:paraId="361EDD3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0.19</w:t>
            </w:r>
          </w:p>
        </w:tc>
        <w:tc>
          <w:tcPr>
            <w:tcW w:w="851" w:type="dxa"/>
            <w:tcBorders>
              <w:top w:val="nil"/>
              <w:left w:val="nil"/>
              <w:bottom w:val="nil"/>
              <w:right w:val="nil"/>
            </w:tcBorders>
            <w:shd w:val="clear" w:color="auto" w:fill="auto"/>
            <w:noWrap/>
            <w:vAlign w:val="center"/>
          </w:tcPr>
          <w:p w14:paraId="16D585E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19.10</w:t>
            </w:r>
          </w:p>
        </w:tc>
        <w:tc>
          <w:tcPr>
            <w:tcW w:w="793" w:type="dxa"/>
            <w:tcBorders>
              <w:top w:val="nil"/>
              <w:left w:val="nil"/>
              <w:bottom w:val="nil"/>
              <w:right w:val="nil"/>
            </w:tcBorders>
            <w:shd w:val="clear" w:color="auto" w:fill="auto"/>
            <w:noWrap/>
            <w:vAlign w:val="center"/>
          </w:tcPr>
          <w:p w14:paraId="1ADBE13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20.06</w:t>
            </w:r>
          </w:p>
        </w:tc>
        <w:tc>
          <w:tcPr>
            <w:tcW w:w="797" w:type="dxa"/>
            <w:tcBorders>
              <w:top w:val="nil"/>
              <w:left w:val="nil"/>
              <w:bottom w:val="nil"/>
              <w:right w:val="nil"/>
            </w:tcBorders>
            <w:shd w:val="clear" w:color="auto" w:fill="auto"/>
            <w:noWrap/>
            <w:vAlign w:val="center"/>
          </w:tcPr>
          <w:p w14:paraId="6CF0653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21.08</w:t>
            </w:r>
          </w:p>
        </w:tc>
      </w:tr>
      <w:tr w14:paraId="5FB794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1133" w:type="dxa"/>
            <w:tcBorders>
              <w:top w:val="nil"/>
              <w:left w:val="nil"/>
              <w:bottom w:val="nil"/>
              <w:right w:val="nil"/>
            </w:tcBorders>
            <w:shd w:val="clear" w:color="auto" w:fill="auto"/>
            <w:noWrap/>
            <w:vAlign w:val="center"/>
          </w:tcPr>
          <w:p w14:paraId="3C3487C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p>
        </w:tc>
        <w:tc>
          <w:tcPr>
            <w:tcW w:w="1135" w:type="dxa"/>
            <w:tcBorders>
              <w:top w:val="nil"/>
              <w:left w:val="nil"/>
              <w:bottom w:val="nil"/>
              <w:right w:val="nil"/>
            </w:tcBorders>
            <w:shd w:val="clear" w:color="auto" w:fill="auto"/>
            <w:noWrap/>
            <w:vAlign w:val="center"/>
          </w:tcPr>
          <w:p w14:paraId="68CD058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Total</w:t>
            </w:r>
          </w:p>
        </w:tc>
        <w:tc>
          <w:tcPr>
            <w:tcW w:w="873" w:type="dxa"/>
            <w:tcBorders>
              <w:top w:val="nil"/>
              <w:left w:val="nil"/>
              <w:bottom w:val="nil"/>
              <w:right w:val="nil"/>
            </w:tcBorders>
            <w:shd w:val="clear" w:color="auto" w:fill="auto"/>
            <w:noWrap/>
            <w:vAlign w:val="center"/>
          </w:tcPr>
          <w:p w14:paraId="501C636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-0.07</w:t>
            </w:r>
          </w:p>
        </w:tc>
        <w:tc>
          <w:tcPr>
            <w:tcW w:w="960" w:type="dxa"/>
            <w:tcBorders>
              <w:top w:val="nil"/>
              <w:left w:val="nil"/>
              <w:bottom w:val="nil"/>
              <w:right w:val="nil"/>
            </w:tcBorders>
            <w:shd w:val="clear" w:color="auto" w:fill="auto"/>
            <w:noWrap/>
            <w:vAlign w:val="center"/>
          </w:tcPr>
          <w:p w14:paraId="391FC02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15.76</w:t>
            </w:r>
          </w:p>
        </w:tc>
        <w:tc>
          <w:tcPr>
            <w:tcW w:w="922" w:type="dxa"/>
            <w:tcBorders>
              <w:top w:val="nil"/>
              <w:left w:val="nil"/>
              <w:bottom w:val="nil"/>
              <w:right w:val="nil"/>
            </w:tcBorders>
            <w:shd w:val="clear" w:color="auto" w:fill="auto"/>
            <w:noWrap/>
            <w:vAlign w:val="center"/>
          </w:tcPr>
          <w:p w14:paraId="755390C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2.41</w:t>
            </w:r>
          </w:p>
        </w:tc>
        <w:tc>
          <w:tcPr>
            <w:tcW w:w="833" w:type="dxa"/>
            <w:tcBorders>
              <w:top w:val="nil"/>
              <w:left w:val="nil"/>
              <w:bottom w:val="nil"/>
              <w:right w:val="nil"/>
            </w:tcBorders>
            <w:shd w:val="clear" w:color="auto" w:fill="auto"/>
            <w:noWrap/>
            <w:vAlign w:val="center"/>
          </w:tcPr>
          <w:p w14:paraId="414EEA1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0.22</w:t>
            </w:r>
          </w:p>
        </w:tc>
        <w:tc>
          <w:tcPr>
            <w:tcW w:w="851" w:type="dxa"/>
            <w:tcBorders>
              <w:top w:val="nil"/>
              <w:left w:val="nil"/>
              <w:bottom w:val="nil"/>
              <w:right w:val="nil"/>
            </w:tcBorders>
            <w:shd w:val="clear" w:color="auto" w:fill="auto"/>
            <w:noWrap/>
            <w:vAlign w:val="center"/>
          </w:tcPr>
          <w:p w14:paraId="4631A4F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23.98</w:t>
            </w:r>
          </w:p>
        </w:tc>
        <w:tc>
          <w:tcPr>
            <w:tcW w:w="793" w:type="dxa"/>
            <w:tcBorders>
              <w:top w:val="nil"/>
              <w:left w:val="nil"/>
              <w:bottom w:val="nil"/>
              <w:right w:val="nil"/>
            </w:tcBorders>
            <w:shd w:val="clear" w:color="auto" w:fill="auto"/>
            <w:noWrap/>
            <w:vAlign w:val="center"/>
          </w:tcPr>
          <w:p w14:paraId="4006DBC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25.60</w:t>
            </w:r>
          </w:p>
        </w:tc>
        <w:tc>
          <w:tcPr>
            <w:tcW w:w="797" w:type="dxa"/>
            <w:tcBorders>
              <w:top w:val="nil"/>
              <w:left w:val="nil"/>
              <w:bottom w:val="nil"/>
              <w:right w:val="nil"/>
            </w:tcBorders>
            <w:shd w:val="clear" w:color="auto" w:fill="auto"/>
            <w:noWrap/>
            <w:vAlign w:val="center"/>
          </w:tcPr>
          <w:p w14:paraId="1AAA93B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27.32</w:t>
            </w:r>
          </w:p>
        </w:tc>
      </w:tr>
      <w:tr w14:paraId="058F47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1133" w:type="dxa"/>
            <w:tcBorders>
              <w:top w:val="nil"/>
              <w:left w:val="nil"/>
              <w:bottom w:val="nil"/>
              <w:right w:val="nil"/>
            </w:tcBorders>
            <w:shd w:val="clear" w:color="auto" w:fill="auto"/>
            <w:noWrap/>
            <w:vAlign w:val="center"/>
          </w:tcPr>
          <w:p w14:paraId="3894DBB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Mortality</w:t>
            </w:r>
          </w:p>
        </w:tc>
        <w:tc>
          <w:tcPr>
            <w:tcW w:w="1135" w:type="dxa"/>
            <w:tcBorders>
              <w:top w:val="nil"/>
              <w:left w:val="nil"/>
              <w:bottom w:val="nil"/>
              <w:right w:val="nil"/>
            </w:tcBorders>
            <w:shd w:val="clear" w:color="auto" w:fill="auto"/>
            <w:noWrap/>
            <w:vAlign w:val="center"/>
          </w:tcPr>
          <w:p w14:paraId="337AFFA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Male</w:t>
            </w:r>
          </w:p>
        </w:tc>
        <w:tc>
          <w:tcPr>
            <w:tcW w:w="873" w:type="dxa"/>
            <w:tcBorders>
              <w:top w:val="nil"/>
              <w:left w:val="nil"/>
              <w:bottom w:val="nil"/>
              <w:right w:val="nil"/>
            </w:tcBorders>
            <w:shd w:val="clear" w:color="auto" w:fill="auto"/>
            <w:noWrap/>
            <w:vAlign w:val="center"/>
          </w:tcPr>
          <w:p w14:paraId="5212E88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-0.11</w:t>
            </w:r>
          </w:p>
        </w:tc>
        <w:tc>
          <w:tcPr>
            <w:tcW w:w="960" w:type="dxa"/>
            <w:tcBorders>
              <w:top w:val="nil"/>
              <w:left w:val="nil"/>
              <w:bottom w:val="nil"/>
              <w:right w:val="nil"/>
            </w:tcBorders>
            <w:shd w:val="clear" w:color="auto" w:fill="auto"/>
            <w:noWrap/>
            <w:vAlign w:val="center"/>
          </w:tcPr>
          <w:p w14:paraId="2EDB8AD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7.01</w:t>
            </w:r>
          </w:p>
        </w:tc>
        <w:tc>
          <w:tcPr>
            <w:tcW w:w="922" w:type="dxa"/>
            <w:tcBorders>
              <w:top w:val="nil"/>
              <w:left w:val="nil"/>
              <w:bottom w:val="nil"/>
              <w:right w:val="nil"/>
            </w:tcBorders>
            <w:shd w:val="clear" w:color="auto" w:fill="auto"/>
            <w:noWrap/>
            <w:vAlign w:val="center"/>
          </w:tcPr>
          <w:p w14:paraId="4EAFEB8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2.51</w:t>
            </w:r>
          </w:p>
        </w:tc>
        <w:tc>
          <w:tcPr>
            <w:tcW w:w="833" w:type="dxa"/>
            <w:tcBorders>
              <w:top w:val="nil"/>
              <w:left w:val="nil"/>
              <w:bottom w:val="nil"/>
              <w:right w:val="nil"/>
            </w:tcBorders>
            <w:shd w:val="clear" w:color="auto" w:fill="auto"/>
            <w:noWrap/>
            <w:vAlign w:val="center"/>
          </w:tcPr>
          <w:p w14:paraId="00F736E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0.21</w:t>
            </w:r>
          </w:p>
        </w:tc>
        <w:tc>
          <w:tcPr>
            <w:tcW w:w="851" w:type="dxa"/>
            <w:tcBorders>
              <w:top w:val="nil"/>
              <w:left w:val="nil"/>
              <w:bottom w:val="nil"/>
              <w:right w:val="nil"/>
            </w:tcBorders>
            <w:shd w:val="clear" w:color="auto" w:fill="auto"/>
            <w:noWrap/>
            <w:vAlign w:val="center"/>
          </w:tcPr>
          <w:p w14:paraId="42BBC28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14.24</w:t>
            </w:r>
          </w:p>
        </w:tc>
        <w:tc>
          <w:tcPr>
            <w:tcW w:w="793" w:type="dxa"/>
            <w:tcBorders>
              <w:top w:val="nil"/>
              <w:left w:val="nil"/>
              <w:bottom w:val="nil"/>
              <w:right w:val="nil"/>
            </w:tcBorders>
            <w:shd w:val="clear" w:color="auto" w:fill="auto"/>
            <w:noWrap/>
            <w:vAlign w:val="center"/>
          </w:tcPr>
          <w:p w14:paraId="5770F8F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15.85</w:t>
            </w:r>
          </w:p>
        </w:tc>
        <w:tc>
          <w:tcPr>
            <w:tcW w:w="797" w:type="dxa"/>
            <w:tcBorders>
              <w:top w:val="nil"/>
              <w:left w:val="nil"/>
              <w:bottom w:val="nil"/>
              <w:right w:val="nil"/>
            </w:tcBorders>
            <w:shd w:val="clear" w:color="auto" w:fill="auto"/>
            <w:noWrap/>
            <w:vAlign w:val="center"/>
          </w:tcPr>
          <w:p w14:paraId="04979D7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17.64</w:t>
            </w:r>
          </w:p>
        </w:tc>
      </w:tr>
      <w:tr w14:paraId="023F8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1133" w:type="dxa"/>
            <w:tcBorders>
              <w:top w:val="nil"/>
              <w:left w:val="nil"/>
              <w:bottom w:val="nil"/>
              <w:right w:val="nil"/>
            </w:tcBorders>
            <w:shd w:val="clear" w:color="auto" w:fill="auto"/>
            <w:noWrap/>
            <w:vAlign w:val="center"/>
          </w:tcPr>
          <w:p w14:paraId="65CFD93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p>
        </w:tc>
        <w:tc>
          <w:tcPr>
            <w:tcW w:w="1135" w:type="dxa"/>
            <w:tcBorders>
              <w:top w:val="nil"/>
              <w:left w:val="nil"/>
              <w:bottom w:val="nil"/>
              <w:right w:val="nil"/>
            </w:tcBorders>
            <w:shd w:val="clear" w:color="auto" w:fill="auto"/>
            <w:noWrap/>
            <w:vAlign w:val="center"/>
          </w:tcPr>
          <w:p w14:paraId="7E634BA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Female</w:t>
            </w:r>
          </w:p>
        </w:tc>
        <w:tc>
          <w:tcPr>
            <w:tcW w:w="873" w:type="dxa"/>
            <w:tcBorders>
              <w:top w:val="nil"/>
              <w:left w:val="nil"/>
              <w:bottom w:val="nil"/>
              <w:right w:val="nil"/>
            </w:tcBorders>
            <w:shd w:val="clear" w:color="auto" w:fill="auto"/>
            <w:noWrap/>
            <w:vAlign w:val="center"/>
          </w:tcPr>
          <w:p w14:paraId="5437332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-0.07</w:t>
            </w:r>
          </w:p>
        </w:tc>
        <w:tc>
          <w:tcPr>
            <w:tcW w:w="960" w:type="dxa"/>
            <w:tcBorders>
              <w:top w:val="nil"/>
              <w:left w:val="nil"/>
              <w:bottom w:val="nil"/>
              <w:right w:val="nil"/>
            </w:tcBorders>
            <w:shd w:val="clear" w:color="auto" w:fill="auto"/>
            <w:noWrap/>
            <w:vAlign w:val="center"/>
          </w:tcPr>
          <w:p w14:paraId="1D664331">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5.83</w:t>
            </w:r>
          </w:p>
        </w:tc>
        <w:tc>
          <w:tcPr>
            <w:tcW w:w="922" w:type="dxa"/>
            <w:tcBorders>
              <w:top w:val="nil"/>
              <w:left w:val="nil"/>
              <w:bottom w:val="nil"/>
              <w:right w:val="nil"/>
            </w:tcBorders>
            <w:shd w:val="clear" w:color="auto" w:fill="auto"/>
            <w:noWrap/>
            <w:vAlign w:val="center"/>
          </w:tcPr>
          <w:p w14:paraId="451AB45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3.84</w:t>
            </w:r>
          </w:p>
        </w:tc>
        <w:tc>
          <w:tcPr>
            <w:tcW w:w="833" w:type="dxa"/>
            <w:tcBorders>
              <w:top w:val="nil"/>
              <w:left w:val="nil"/>
              <w:bottom w:val="nil"/>
              <w:right w:val="nil"/>
            </w:tcBorders>
            <w:shd w:val="clear" w:color="auto" w:fill="auto"/>
            <w:noWrap/>
            <w:vAlign w:val="center"/>
          </w:tcPr>
          <w:p w14:paraId="7008E25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0.33</w:t>
            </w:r>
          </w:p>
        </w:tc>
        <w:tc>
          <w:tcPr>
            <w:tcW w:w="851" w:type="dxa"/>
            <w:tcBorders>
              <w:top w:val="nil"/>
              <w:left w:val="nil"/>
              <w:bottom w:val="nil"/>
              <w:right w:val="nil"/>
            </w:tcBorders>
            <w:shd w:val="clear" w:color="auto" w:fill="auto"/>
            <w:noWrap/>
            <w:vAlign w:val="center"/>
          </w:tcPr>
          <w:p w14:paraId="041B103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9.34</w:t>
            </w:r>
          </w:p>
        </w:tc>
        <w:tc>
          <w:tcPr>
            <w:tcW w:w="793" w:type="dxa"/>
            <w:tcBorders>
              <w:top w:val="nil"/>
              <w:left w:val="nil"/>
              <w:bottom w:val="nil"/>
              <w:right w:val="nil"/>
            </w:tcBorders>
            <w:shd w:val="clear" w:color="auto" w:fill="auto"/>
            <w:noWrap/>
            <w:vAlign w:val="center"/>
          </w:tcPr>
          <w:p w14:paraId="373CCFE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10.05</w:t>
            </w:r>
          </w:p>
        </w:tc>
        <w:tc>
          <w:tcPr>
            <w:tcW w:w="797" w:type="dxa"/>
            <w:tcBorders>
              <w:top w:val="nil"/>
              <w:left w:val="nil"/>
              <w:bottom w:val="nil"/>
              <w:right w:val="nil"/>
            </w:tcBorders>
            <w:shd w:val="clear" w:color="auto" w:fill="auto"/>
            <w:noWrap/>
            <w:vAlign w:val="center"/>
          </w:tcPr>
          <w:p w14:paraId="238000B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10.81</w:t>
            </w:r>
          </w:p>
        </w:tc>
      </w:tr>
      <w:tr w14:paraId="60322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133" w:type="dxa"/>
            <w:tcBorders>
              <w:top w:val="nil"/>
              <w:left w:val="nil"/>
              <w:bottom w:val="single" w:color="auto" w:sz="4" w:space="0"/>
              <w:right w:val="nil"/>
            </w:tcBorders>
            <w:shd w:val="clear" w:color="auto" w:fill="auto"/>
            <w:noWrap/>
            <w:vAlign w:val="center"/>
          </w:tcPr>
          <w:p w14:paraId="2F13A8F1">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p>
        </w:tc>
        <w:tc>
          <w:tcPr>
            <w:tcW w:w="1135" w:type="dxa"/>
            <w:tcBorders>
              <w:top w:val="nil"/>
              <w:left w:val="nil"/>
              <w:bottom w:val="single" w:color="auto" w:sz="4" w:space="0"/>
              <w:right w:val="nil"/>
            </w:tcBorders>
            <w:shd w:val="clear" w:color="auto" w:fill="auto"/>
            <w:noWrap/>
            <w:vAlign w:val="center"/>
          </w:tcPr>
          <w:p w14:paraId="3513A37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default" w:ascii="Times New Roman" w:hAnsi="Times New Roman" w:eastAsia="宋体" w:cs="Times New Roman"/>
                <w:i w:val="0"/>
                <w:iCs w:val="0"/>
                <w:color w:val="000000"/>
                <w:kern w:val="0"/>
                <w:sz w:val="20"/>
                <w:szCs w:val="20"/>
                <w:u w:val="none"/>
                <w:lang w:val="en-US" w:eastAsia="zh-CN" w:bidi="ar"/>
              </w:rPr>
              <w:t>Total</w:t>
            </w:r>
          </w:p>
        </w:tc>
        <w:tc>
          <w:tcPr>
            <w:tcW w:w="873" w:type="dxa"/>
            <w:tcBorders>
              <w:top w:val="nil"/>
              <w:left w:val="nil"/>
              <w:bottom w:val="single" w:color="auto" w:sz="4" w:space="0"/>
              <w:right w:val="nil"/>
            </w:tcBorders>
            <w:shd w:val="clear" w:color="auto" w:fill="auto"/>
            <w:noWrap/>
            <w:vAlign w:val="center"/>
          </w:tcPr>
          <w:p w14:paraId="2FA2ADE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-0.09</w:t>
            </w:r>
          </w:p>
        </w:tc>
        <w:tc>
          <w:tcPr>
            <w:tcW w:w="960" w:type="dxa"/>
            <w:tcBorders>
              <w:top w:val="nil"/>
              <w:left w:val="nil"/>
              <w:bottom w:val="single" w:color="auto" w:sz="4" w:space="0"/>
              <w:right w:val="nil"/>
            </w:tcBorders>
            <w:shd w:val="clear" w:color="auto" w:fill="auto"/>
            <w:noWrap/>
            <w:vAlign w:val="center"/>
          </w:tcPr>
          <w:p w14:paraId="7FDE8A8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6.44</w:t>
            </w:r>
          </w:p>
        </w:tc>
        <w:tc>
          <w:tcPr>
            <w:tcW w:w="922" w:type="dxa"/>
            <w:tcBorders>
              <w:top w:val="nil"/>
              <w:left w:val="nil"/>
              <w:bottom w:val="single" w:color="auto" w:sz="4" w:space="0"/>
              <w:right w:val="nil"/>
            </w:tcBorders>
            <w:shd w:val="clear" w:color="auto" w:fill="auto"/>
            <w:noWrap/>
            <w:vAlign w:val="center"/>
          </w:tcPr>
          <w:p w14:paraId="3414BC7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2.99</w:t>
            </w:r>
          </w:p>
        </w:tc>
        <w:tc>
          <w:tcPr>
            <w:tcW w:w="833" w:type="dxa"/>
            <w:tcBorders>
              <w:top w:val="nil"/>
              <w:left w:val="nil"/>
              <w:bottom w:val="single" w:color="auto" w:sz="4" w:space="0"/>
              <w:right w:val="nil"/>
            </w:tcBorders>
            <w:shd w:val="clear" w:color="auto" w:fill="auto"/>
            <w:noWrap/>
            <w:vAlign w:val="center"/>
          </w:tcPr>
          <w:p w14:paraId="2B7DEE8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0.24</w:t>
            </w:r>
          </w:p>
        </w:tc>
        <w:tc>
          <w:tcPr>
            <w:tcW w:w="851" w:type="dxa"/>
            <w:tcBorders>
              <w:top w:val="nil"/>
              <w:left w:val="nil"/>
              <w:bottom w:val="single" w:color="auto" w:sz="4" w:space="0"/>
              <w:right w:val="nil"/>
            </w:tcBorders>
            <w:shd w:val="clear" w:color="auto" w:fill="auto"/>
            <w:noWrap/>
            <w:vAlign w:val="center"/>
          </w:tcPr>
          <w:p w14:paraId="2E9D2CA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11.87</w:t>
            </w:r>
          </w:p>
        </w:tc>
        <w:tc>
          <w:tcPr>
            <w:tcW w:w="793" w:type="dxa"/>
            <w:tcBorders>
              <w:top w:val="nil"/>
              <w:left w:val="nil"/>
              <w:bottom w:val="single" w:color="auto" w:sz="4" w:space="0"/>
              <w:right w:val="nil"/>
            </w:tcBorders>
            <w:shd w:val="clear" w:color="auto" w:fill="auto"/>
            <w:noWrap/>
            <w:vAlign w:val="center"/>
          </w:tcPr>
          <w:p w14:paraId="14C6EF0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13.03</w:t>
            </w:r>
          </w:p>
        </w:tc>
        <w:tc>
          <w:tcPr>
            <w:tcW w:w="797" w:type="dxa"/>
            <w:tcBorders>
              <w:top w:val="nil"/>
              <w:left w:val="nil"/>
              <w:bottom w:val="single" w:color="auto" w:sz="4" w:space="0"/>
              <w:right w:val="nil"/>
            </w:tcBorders>
            <w:shd w:val="clear" w:color="auto" w:fill="auto"/>
            <w:noWrap/>
            <w:vAlign w:val="center"/>
          </w:tcPr>
          <w:p w14:paraId="051B448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u w:val="none"/>
                <w:lang w:val="en-US" w:eastAsia="zh-CN" w:bidi="ar"/>
              </w:rPr>
            </w:pPr>
            <w:r>
              <w:rPr>
                <w:rFonts w:hint="eastAsia" w:ascii="Times New Roman" w:hAnsi="Times New Roman" w:eastAsia="宋体" w:cs="Times New Roman"/>
                <w:i w:val="0"/>
                <w:iCs w:val="0"/>
                <w:color w:val="000000"/>
                <w:kern w:val="0"/>
                <w:sz w:val="20"/>
                <w:szCs w:val="20"/>
                <w:u w:val="none"/>
                <w:lang w:val="en-US" w:eastAsia="zh-CN" w:bidi="ar"/>
              </w:rPr>
              <w:t>14.31</w:t>
            </w:r>
          </w:p>
        </w:tc>
      </w:tr>
    </w:tbl>
    <w:p w14:paraId="16DDD0E9">
      <w:pPr>
        <w:jc w:val="both"/>
        <w:rPr>
          <w:rFonts w:hint="eastAsia" w:ascii="Times New Roman" w:hAnsi="Times New Roman" w:eastAsia="宋体" w:cs="Times New Roman"/>
          <w:sz w:val="24"/>
          <w:szCs w:val="32"/>
        </w:rPr>
      </w:pPr>
      <w:r>
        <w:rPr>
          <w:rFonts w:hint="eastAsia" w:ascii="Times New Roman" w:hAnsi="Times New Roman" w:eastAsia="宋体" w:cs="Times New Roman"/>
          <w:sz w:val="24"/>
          <w:szCs w:val="32"/>
        </w:rPr>
        <w:t>Notes：</w:t>
      </w:r>
      <w:r>
        <w:rPr>
          <w:rFonts w:hint="default" w:ascii="Times New Roman" w:hAnsi="Times New Roman" w:eastAsia="宋体" w:cs="Times New Roman"/>
          <w:sz w:val="24"/>
          <w:szCs w:val="32"/>
          <w:lang w:val="en-US" w:eastAsia="zh-CN"/>
        </w:rPr>
        <w:t>MAPE</w:t>
      </w:r>
      <w:r>
        <w:rPr>
          <w:rFonts w:hint="eastAsia" w:ascii="Times New Roman" w:hAnsi="Times New Roman" w:eastAsia="宋体" w:cs="Times New Roman"/>
          <w:sz w:val="24"/>
          <w:szCs w:val="32"/>
          <w:lang w:val="en-US" w:eastAsia="zh-CN"/>
        </w:rPr>
        <w:t>：m</w:t>
      </w:r>
      <w:r>
        <w:rPr>
          <w:rFonts w:hint="eastAsia" w:ascii="Times New Roman" w:hAnsi="Times New Roman" w:eastAsia="宋体" w:cs="Times New Roman"/>
          <w:sz w:val="24"/>
          <w:szCs w:val="32"/>
        </w:rPr>
        <w:t xml:space="preserve">ean </w:t>
      </w:r>
      <w:r>
        <w:rPr>
          <w:rFonts w:hint="eastAsia" w:ascii="Times New Roman" w:hAnsi="Times New Roman" w:eastAsia="宋体" w:cs="Times New Roman"/>
          <w:sz w:val="24"/>
          <w:szCs w:val="32"/>
          <w:lang w:val="en-US" w:eastAsia="zh-CN"/>
        </w:rPr>
        <w:t>a</w:t>
      </w:r>
      <w:r>
        <w:rPr>
          <w:rFonts w:hint="eastAsia" w:ascii="Times New Roman" w:hAnsi="Times New Roman" w:eastAsia="宋体" w:cs="Times New Roman"/>
          <w:sz w:val="24"/>
          <w:szCs w:val="32"/>
        </w:rPr>
        <w:t xml:space="preserve">bsolute </w:t>
      </w:r>
      <w:r>
        <w:rPr>
          <w:rFonts w:hint="eastAsia" w:ascii="Times New Roman" w:hAnsi="Times New Roman" w:eastAsia="宋体" w:cs="Times New Roman"/>
          <w:sz w:val="24"/>
          <w:szCs w:val="32"/>
          <w:lang w:val="en-US" w:eastAsia="zh-CN"/>
        </w:rPr>
        <w:t>p</w:t>
      </w:r>
      <w:r>
        <w:rPr>
          <w:rFonts w:hint="eastAsia" w:ascii="Times New Roman" w:hAnsi="Times New Roman" w:eastAsia="宋体" w:cs="Times New Roman"/>
          <w:sz w:val="24"/>
          <w:szCs w:val="32"/>
        </w:rPr>
        <w:t xml:space="preserve">ercentage </w:t>
      </w:r>
      <w:r>
        <w:rPr>
          <w:rFonts w:hint="eastAsia" w:ascii="Times New Roman" w:hAnsi="Times New Roman" w:eastAsia="宋体" w:cs="Times New Roman"/>
          <w:sz w:val="24"/>
          <w:szCs w:val="32"/>
          <w:lang w:val="en-US" w:eastAsia="zh-CN"/>
        </w:rPr>
        <w:t>e</w:t>
      </w:r>
      <w:r>
        <w:rPr>
          <w:rFonts w:hint="eastAsia" w:ascii="Times New Roman" w:hAnsi="Times New Roman" w:eastAsia="宋体" w:cs="Times New Roman"/>
          <w:sz w:val="24"/>
          <w:szCs w:val="32"/>
        </w:rPr>
        <w:t>rror</w:t>
      </w:r>
    </w:p>
    <w:p w14:paraId="099D7029">
      <w:pPr>
        <w:jc w:val="both"/>
        <w:rPr>
          <w:rFonts w:hint="eastAsia" w:ascii="Times New Roman" w:hAnsi="Times New Roman" w:eastAsia="宋体" w:cs="Times New Roman"/>
          <w:sz w:val="24"/>
          <w:szCs w:val="32"/>
        </w:rPr>
      </w:pPr>
    </w:p>
    <w:p w14:paraId="22D9DEBE">
      <w:pPr>
        <w:jc w:val="both"/>
        <w:rPr>
          <w:rFonts w:hint="eastAsia" w:ascii="Times New Roman" w:hAnsi="Times New Roman" w:eastAsia="宋体" w:cs="Times New Roman"/>
          <w:sz w:val="24"/>
          <w:szCs w:val="32"/>
          <w:highlight w:val="yellow"/>
        </w:rPr>
      </w:pPr>
      <w:r>
        <w:rPr>
          <w:rFonts w:hint="eastAsia" w:ascii="Times New Roman" w:hAnsi="Times New Roman" w:eastAsia="宋体" w:cs="Times New Roman"/>
          <w:sz w:val="24"/>
          <w:szCs w:val="32"/>
          <w:highlight w:val="yellow"/>
          <w:lang w:val="en-US" w:eastAsia="zh-CN"/>
        </w:rPr>
        <w:t xml:space="preserve">Table 8 </w:t>
      </w:r>
      <w:r>
        <w:rPr>
          <w:rFonts w:hint="eastAsia" w:ascii="Times New Roman" w:hAnsi="Times New Roman" w:eastAsia="宋体" w:cs="Times New Roman"/>
          <w:sz w:val="24"/>
          <w:szCs w:val="32"/>
          <w:highlight w:val="yellow"/>
        </w:rPr>
        <w:t>The GM(1,1) model predicts the ASIRC and AS</w:t>
      </w:r>
      <w:r>
        <w:rPr>
          <w:rFonts w:hint="eastAsia" w:ascii="Times New Roman" w:hAnsi="Times New Roman" w:eastAsia="宋体" w:cs="Times New Roman"/>
          <w:sz w:val="24"/>
          <w:szCs w:val="32"/>
          <w:highlight w:val="yellow"/>
          <w:lang w:val="en-US" w:eastAsia="zh-CN"/>
        </w:rPr>
        <w:t>M</w:t>
      </w:r>
      <w:r>
        <w:rPr>
          <w:rFonts w:hint="eastAsia" w:ascii="Times New Roman" w:hAnsi="Times New Roman" w:eastAsia="宋体" w:cs="Times New Roman"/>
          <w:sz w:val="24"/>
          <w:szCs w:val="32"/>
          <w:highlight w:val="yellow"/>
        </w:rPr>
        <w:t>RC of colorectal cancer</w:t>
      </w:r>
    </w:p>
    <w:tbl>
      <w:tblPr>
        <w:tblStyle w:val="2"/>
        <w:tblW w:w="8297" w:type="dxa"/>
        <w:tblInd w:w="10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133"/>
        <w:gridCol w:w="1135"/>
        <w:gridCol w:w="873"/>
        <w:gridCol w:w="960"/>
        <w:gridCol w:w="922"/>
        <w:gridCol w:w="833"/>
        <w:gridCol w:w="851"/>
        <w:gridCol w:w="793"/>
        <w:gridCol w:w="797"/>
      </w:tblGrid>
      <w:tr w14:paraId="77338F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0" w:hRule="atLeast"/>
        </w:trPr>
        <w:tc>
          <w:tcPr>
            <w:tcW w:w="1133" w:type="dxa"/>
            <w:vMerge w:val="restart"/>
            <w:tcBorders>
              <w:top w:val="single" w:color="auto" w:sz="4" w:space="0"/>
              <w:left w:val="nil"/>
              <w:right w:val="nil"/>
            </w:tcBorders>
            <w:shd w:val="clear" w:color="auto" w:fill="auto"/>
            <w:noWrap/>
            <w:vAlign w:val="center"/>
          </w:tcPr>
          <w:p w14:paraId="7C2CA9F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Index</w:t>
            </w:r>
          </w:p>
        </w:tc>
        <w:tc>
          <w:tcPr>
            <w:tcW w:w="1135" w:type="dxa"/>
            <w:vMerge w:val="restart"/>
            <w:tcBorders>
              <w:top w:val="single" w:color="auto" w:sz="4" w:space="0"/>
              <w:left w:val="nil"/>
              <w:right w:val="nil"/>
            </w:tcBorders>
            <w:shd w:val="clear" w:color="auto" w:fill="auto"/>
            <w:noWrap/>
            <w:vAlign w:val="center"/>
          </w:tcPr>
          <w:p w14:paraId="0814900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Gender</w:t>
            </w:r>
          </w:p>
        </w:tc>
        <w:tc>
          <w:tcPr>
            <w:tcW w:w="1833" w:type="dxa"/>
            <w:gridSpan w:val="2"/>
            <w:tcBorders>
              <w:top w:val="single" w:color="auto" w:sz="4" w:space="0"/>
              <w:left w:val="nil"/>
              <w:bottom w:val="nil"/>
              <w:right w:val="nil"/>
            </w:tcBorders>
            <w:shd w:val="clear" w:color="auto" w:fill="auto"/>
            <w:noWrap/>
            <w:vAlign w:val="center"/>
          </w:tcPr>
          <w:p w14:paraId="2790937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Model Parameters</w:t>
            </w:r>
          </w:p>
        </w:tc>
        <w:tc>
          <w:tcPr>
            <w:tcW w:w="922" w:type="dxa"/>
            <w:vMerge w:val="restart"/>
            <w:tcBorders>
              <w:top w:val="single" w:color="auto" w:sz="4" w:space="0"/>
              <w:left w:val="nil"/>
              <w:right w:val="nil"/>
            </w:tcBorders>
            <w:shd w:val="clear" w:color="auto" w:fill="auto"/>
            <w:noWrap/>
            <w:vAlign w:val="center"/>
          </w:tcPr>
          <w:p w14:paraId="56281A36">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MAPE（%）</w:t>
            </w:r>
          </w:p>
        </w:tc>
        <w:tc>
          <w:tcPr>
            <w:tcW w:w="833" w:type="dxa"/>
            <w:vMerge w:val="restart"/>
            <w:tcBorders>
              <w:top w:val="single" w:color="auto" w:sz="4" w:space="0"/>
              <w:left w:val="nil"/>
              <w:right w:val="nil"/>
            </w:tcBorders>
            <w:shd w:val="clear" w:color="auto" w:fill="auto"/>
            <w:noWrap/>
            <w:vAlign w:val="center"/>
          </w:tcPr>
          <w:p w14:paraId="5A95CBA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C</w:t>
            </w:r>
          </w:p>
        </w:tc>
        <w:tc>
          <w:tcPr>
            <w:tcW w:w="2441" w:type="dxa"/>
            <w:gridSpan w:val="3"/>
            <w:tcBorders>
              <w:top w:val="single" w:color="auto" w:sz="4" w:space="0"/>
              <w:left w:val="nil"/>
              <w:bottom w:val="nil"/>
              <w:right w:val="nil"/>
            </w:tcBorders>
            <w:shd w:val="clear" w:color="auto" w:fill="auto"/>
            <w:noWrap/>
            <w:vAlign w:val="center"/>
          </w:tcPr>
          <w:p w14:paraId="54F368D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2024–2026 Forecast（1/10</w:t>
            </w:r>
            <w:r>
              <w:rPr>
                <w:rFonts w:hint="default" w:ascii="Times New Roman" w:hAnsi="Times New Roman" w:eastAsia="宋体" w:cs="Times New Roman"/>
                <w:i w:val="0"/>
                <w:iCs w:val="0"/>
                <w:color w:val="000000"/>
                <w:kern w:val="0"/>
                <w:sz w:val="20"/>
                <w:szCs w:val="20"/>
                <w:highlight w:val="yellow"/>
                <w:u w:val="none"/>
                <w:vertAlign w:val="superscript"/>
                <w:lang w:val="en-US" w:eastAsia="zh-CN" w:bidi="ar"/>
              </w:rPr>
              <w:t xml:space="preserve">5 </w:t>
            </w:r>
            <w:r>
              <w:rPr>
                <w:rFonts w:hint="default" w:ascii="Times New Roman" w:hAnsi="Times New Roman" w:eastAsia="宋体" w:cs="Times New Roman"/>
                <w:i w:val="0"/>
                <w:iCs w:val="0"/>
                <w:color w:val="000000"/>
                <w:kern w:val="0"/>
                <w:sz w:val="20"/>
                <w:szCs w:val="20"/>
                <w:highlight w:val="yellow"/>
                <w:u w:val="none"/>
                <w:lang w:val="en-US" w:eastAsia="zh-CN" w:bidi="ar"/>
              </w:rPr>
              <w:t>）</w:t>
            </w:r>
          </w:p>
        </w:tc>
      </w:tr>
      <w:tr w14:paraId="544E976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1133" w:type="dxa"/>
            <w:vMerge w:val="continue"/>
            <w:tcBorders>
              <w:left w:val="nil"/>
              <w:bottom w:val="single" w:color="auto" w:sz="4" w:space="0"/>
              <w:right w:val="nil"/>
            </w:tcBorders>
            <w:shd w:val="clear" w:color="auto" w:fill="auto"/>
            <w:noWrap/>
            <w:vAlign w:val="center"/>
          </w:tcPr>
          <w:p w14:paraId="1045C4C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p>
        </w:tc>
        <w:tc>
          <w:tcPr>
            <w:tcW w:w="1135" w:type="dxa"/>
            <w:vMerge w:val="continue"/>
            <w:tcBorders>
              <w:left w:val="nil"/>
              <w:bottom w:val="single" w:color="auto" w:sz="4" w:space="0"/>
              <w:right w:val="nil"/>
            </w:tcBorders>
            <w:shd w:val="clear" w:color="auto" w:fill="auto"/>
            <w:noWrap/>
            <w:vAlign w:val="center"/>
          </w:tcPr>
          <w:p w14:paraId="426863CF">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p>
        </w:tc>
        <w:tc>
          <w:tcPr>
            <w:tcW w:w="873" w:type="dxa"/>
            <w:tcBorders>
              <w:top w:val="nil"/>
              <w:left w:val="nil"/>
              <w:bottom w:val="single" w:color="auto" w:sz="4" w:space="0"/>
              <w:right w:val="nil"/>
            </w:tcBorders>
            <w:shd w:val="clear" w:color="auto" w:fill="auto"/>
            <w:noWrap/>
            <w:vAlign w:val="center"/>
          </w:tcPr>
          <w:p w14:paraId="061ADF6B">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α</w:t>
            </w:r>
          </w:p>
        </w:tc>
        <w:tc>
          <w:tcPr>
            <w:tcW w:w="960" w:type="dxa"/>
            <w:tcBorders>
              <w:top w:val="nil"/>
              <w:left w:val="nil"/>
              <w:bottom w:val="single" w:color="auto" w:sz="4" w:space="0"/>
              <w:right w:val="nil"/>
            </w:tcBorders>
            <w:shd w:val="clear" w:color="auto" w:fill="auto"/>
            <w:noWrap/>
            <w:vAlign w:val="center"/>
          </w:tcPr>
          <w:p w14:paraId="1575CD6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μ</w:t>
            </w:r>
          </w:p>
        </w:tc>
        <w:tc>
          <w:tcPr>
            <w:tcW w:w="922" w:type="dxa"/>
            <w:vMerge w:val="continue"/>
            <w:tcBorders>
              <w:left w:val="nil"/>
              <w:bottom w:val="single" w:color="auto" w:sz="4" w:space="0"/>
              <w:right w:val="nil"/>
            </w:tcBorders>
            <w:shd w:val="clear" w:color="auto" w:fill="auto"/>
            <w:noWrap/>
            <w:vAlign w:val="center"/>
          </w:tcPr>
          <w:p w14:paraId="5CB22F3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p>
        </w:tc>
        <w:tc>
          <w:tcPr>
            <w:tcW w:w="833" w:type="dxa"/>
            <w:vMerge w:val="continue"/>
            <w:tcBorders>
              <w:left w:val="nil"/>
              <w:bottom w:val="single" w:color="auto" w:sz="4" w:space="0"/>
              <w:right w:val="nil"/>
            </w:tcBorders>
            <w:shd w:val="clear" w:color="auto" w:fill="auto"/>
            <w:noWrap/>
            <w:vAlign w:val="center"/>
          </w:tcPr>
          <w:p w14:paraId="4251A57C">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p>
        </w:tc>
        <w:tc>
          <w:tcPr>
            <w:tcW w:w="851" w:type="dxa"/>
            <w:tcBorders>
              <w:top w:val="nil"/>
              <w:left w:val="nil"/>
              <w:bottom w:val="single" w:color="auto" w:sz="4" w:space="0"/>
              <w:right w:val="nil"/>
            </w:tcBorders>
            <w:shd w:val="clear" w:color="auto" w:fill="auto"/>
            <w:noWrap/>
            <w:vAlign w:val="center"/>
          </w:tcPr>
          <w:p w14:paraId="6C878731">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2024</w:t>
            </w:r>
          </w:p>
        </w:tc>
        <w:tc>
          <w:tcPr>
            <w:tcW w:w="793" w:type="dxa"/>
            <w:tcBorders>
              <w:top w:val="nil"/>
              <w:left w:val="nil"/>
              <w:bottom w:val="single" w:color="auto" w:sz="4" w:space="0"/>
              <w:right w:val="nil"/>
            </w:tcBorders>
            <w:shd w:val="clear" w:color="auto" w:fill="auto"/>
            <w:noWrap/>
            <w:vAlign w:val="center"/>
          </w:tcPr>
          <w:p w14:paraId="7A8D0C3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2025</w:t>
            </w:r>
          </w:p>
        </w:tc>
        <w:tc>
          <w:tcPr>
            <w:tcW w:w="797" w:type="dxa"/>
            <w:tcBorders>
              <w:top w:val="nil"/>
              <w:left w:val="nil"/>
              <w:bottom w:val="single" w:color="auto" w:sz="4" w:space="0"/>
              <w:right w:val="nil"/>
            </w:tcBorders>
            <w:shd w:val="clear" w:color="auto" w:fill="auto"/>
            <w:noWrap/>
            <w:vAlign w:val="center"/>
          </w:tcPr>
          <w:p w14:paraId="087A0D2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2026</w:t>
            </w:r>
          </w:p>
        </w:tc>
      </w:tr>
      <w:tr w14:paraId="686453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1" w:hRule="atLeast"/>
        </w:trPr>
        <w:tc>
          <w:tcPr>
            <w:tcW w:w="1133" w:type="dxa"/>
            <w:tcBorders>
              <w:top w:val="nil"/>
              <w:left w:val="nil"/>
              <w:bottom w:val="nil"/>
              <w:right w:val="nil"/>
            </w:tcBorders>
            <w:shd w:val="clear" w:color="auto" w:fill="auto"/>
            <w:noWrap/>
            <w:vAlign w:val="center"/>
          </w:tcPr>
          <w:p w14:paraId="27FA419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sz w:val="24"/>
                <w:szCs w:val="32"/>
                <w:highlight w:val="yellow"/>
              </w:rPr>
              <w:t>ASIRC</w:t>
            </w:r>
          </w:p>
        </w:tc>
        <w:tc>
          <w:tcPr>
            <w:tcW w:w="1135" w:type="dxa"/>
            <w:tcBorders>
              <w:top w:val="nil"/>
              <w:left w:val="nil"/>
              <w:bottom w:val="nil"/>
              <w:right w:val="nil"/>
            </w:tcBorders>
            <w:shd w:val="clear" w:color="auto" w:fill="auto"/>
            <w:noWrap/>
            <w:vAlign w:val="center"/>
          </w:tcPr>
          <w:p w14:paraId="66DDF401">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Male</w:t>
            </w:r>
          </w:p>
        </w:tc>
        <w:tc>
          <w:tcPr>
            <w:tcW w:w="873" w:type="dxa"/>
            <w:tcBorders>
              <w:top w:val="nil"/>
              <w:left w:val="nil"/>
              <w:bottom w:val="nil"/>
              <w:right w:val="nil"/>
            </w:tcBorders>
            <w:shd w:val="clear" w:color="auto" w:fill="auto"/>
            <w:noWrap/>
            <w:vAlign w:val="center"/>
          </w:tcPr>
          <w:p w14:paraId="40D7CA18">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-0.04 </w:t>
            </w:r>
          </w:p>
        </w:tc>
        <w:tc>
          <w:tcPr>
            <w:tcW w:w="960" w:type="dxa"/>
            <w:tcBorders>
              <w:top w:val="nil"/>
              <w:left w:val="nil"/>
              <w:bottom w:val="nil"/>
              <w:right w:val="nil"/>
            </w:tcBorders>
            <w:shd w:val="clear" w:color="auto" w:fill="auto"/>
            <w:noWrap/>
            <w:vAlign w:val="center"/>
          </w:tcPr>
          <w:p w14:paraId="59ADA824">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13.02 </w:t>
            </w:r>
          </w:p>
        </w:tc>
        <w:tc>
          <w:tcPr>
            <w:tcW w:w="922" w:type="dxa"/>
            <w:tcBorders>
              <w:top w:val="nil"/>
              <w:left w:val="nil"/>
              <w:bottom w:val="nil"/>
              <w:right w:val="nil"/>
            </w:tcBorders>
            <w:shd w:val="clear" w:color="auto" w:fill="auto"/>
            <w:noWrap/>
            <w:vAlign w:val="center"/>
          </w:tcPr>
          <w:p w14:paraId="6E3DA19E">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3.50 </w:t>
            </w:r>
          </w:p>
        </w:tc>
        <w:tc>
          <w:tcPr>
            <w:tcW w:w="833" w:type="dxa"/>
            <w:tcBorders>
              <w:top w:val="nil"/>
              <w:left w:val="nil"/>
              <w:bottom w:val="nil"/>
              <w:right w:val="nil"/>
            </w:tcBorders>
            <w:shd w:val="clear" w:color="auto" w:fill="auto"/>
            <w:noWrap/>
            <w:vAlign w:val="center"/>
          </w:tcPr>
          <w:p w14:paraId="5EB0EDFD">
            <w:pPr>
              <w:keepNext w:val="0"/>
              <w:keepLines w:val="0"/>
              <w:widowControl/>
              <w:suppressLineNumbers w:val="0"/>
              <w:jc w:val="center"/>
              <w:textAlignment w:val="center"/>
              <w:rPr>
                <w:rFonts w:hint="default"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0.52 </w:t>
            </w:r>
          </w:p>
        </w:tc>
        <w:tc>
          <w:tcPr>
            <w:tcW w:w="851" w:type="dxa"/>
            <w:tcBorders>
              <w:top w:val="nil"/>
              <w:left w:val="nil"/>
              <w:bottom w:val="nil"/>
              <w:right w:val="nil"/>
            </w:tcBorders>
            <w:shd w:val="clear" w:color="auto" w:fill="auto"/>
            <w:noWrap/>
            <w:vAlign w:val="center"/>
          </w:tcPr>
          <w:p w14:paraId="4A8E43C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16.48 </w:t>
            </w:r>
          </w:p>
        </w:tc>
        <w:tc>
          <w:tcPr>
            <w:tcW w:w="793" w:type="dxa"/>
            <w:tcBorders>
              <w:top w:val="nil"/>
              <w:left w:val="nil"/>
              <w:bottom w:val="nil"/>
              <w:right w:val="nil"/>
            </w:tcBorders>
            <w:shd w:val="clear" w:color="auto" w:fill="auto"/>
            <w:noWrap/>
            <w:vAlign w:val="center"/>
          </w:tcPr>
          <w:p w14:paraId="4898B5F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17.09 </w:t>
            </w:r>
          </w:p>
        </w:tc>
        <w:tc>
          <w:tcPr>
            <w:tcW w:w="797" w:type="dxa"/>
            <w:tcBorders>
              <w:top w:val="nil"/>
              <w:left w:val="nil"/>
              <w:bottom w:val="nil"/>
              <w:right w:val="nil"/>
            </w:tcBorders>
            <w:shd w:val="clear" w:color="auto" w:fill="auto"/>
            <w:noWrap/>
            <w:vAlign w:val="center"/>
          </w:tcPr>
          <w:p w14:paraId="426F61B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17.73 </w:t>
            </w:r>
          </w:p>
        </w:tc>
      </w:tr>
      <w:tr w14:paraId="762575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1133" w:type="dxa"/>
            <w:tcBorders>
              <w:top w:val="nil"/>
              <w:left w:val="nil"/>
              <w:bottom w:val="nil"/>
              <w:right w:val="nil"/>
            </w:tcBorders>
            <w:shd w:val="clear" w:color="auto" w:fill="auto"/>
            <w:noWrap/>
            <w:vAlign w:val="center"/>
          </w:tcPr>
          <w:p w14:paraId="68FD397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p>
        </w:tc>
        <w:tc>
          <w:tcPr>
            <w:tcW w:w="1135" w:type="dxa"/>
            <w:tcBorders>
              <w:top w:val="nil"/>
              <w:left w:val="nil"/>
              <w:bottom w:val="nil"/>
              <w:right w:val="nil"/>
            </w:tcBorders>
            <w:shd w:val="clear" w:color="auto" w:fill="auto"/>
            <w:noWrap/>
            <w:vAlign w:val="center"/>
          </w:tcPr>
          <w:p w14:paraId="6133F5D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Female</w:t>
            </w:r>
          </w:p>
        </w:tc>
        <w:tc>
          <w:tcPr>
            <w:tcW w:w="873" w:type="dxa"/>
            <w:tcBorders>
              <w:top w:val="nil"/>
              <w:left w:val="nil"/>
              <w:bottom w:val="nil"/>
              <w:right w:val="nil"/>
            </w:tcBorders>
            <w:shd w:val="clear" w:color="auto" w:fill="auto"/>
            <w:noWrap/>
            <w:vAlign w:val="center"/>
          </w:tcPr>
          <w:p w14:paraId="3AE1C7B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-0.01 </w:t>
            </w:r>
          </w:p>
        </w:tc>
        <w:tc>
          <w:tcPr>
            <w:tcW w:w="960" w:type="dxa"/>
            <w:tcBorders>
              <w:top w:val="nil"/>
              <w:left w:val="nil"/>
              <w:bottom w:val="nil"/>
              <w:right w:val="nil"/>
            </w:tcBorders>
            <w:shd w:val="clear" w:color="auto" w:fill="auto"/>
            <w:noWrap/>
            <w:vAlign w:val="center"/>
          </w:tcPr>
          <w:p w14:paraId="052027D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9.54 </w:t>
            </w:r>
          </w:p>
        </w:tc>
        <w:tc>
          <w:tcPr>
            <w:tcW w:w="922" w:type="dxa"/>
            <w:tcBorders>
              <w:top w:val="nil"/>
              <w:left w:val="nil"/>
              <w:bottom w:val="nil"/>
              <w:right w:val="nil"/>
            </w:tcBorders>
            <w:shd w:val="clear" w:color="auto" w:fill="auto"/>
            <w:noWrap/>
            <w:vAlign w:val="center"/>
          </w:tcPr>
          <w:p w14:paraId="4BC8E96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2.40 </w:t>
            </w:r>
          </w:p>
        </w:tc>
        <w:tc>
          <w:tcPr>
            <w:tcW w:w="833" w:type="dxa"/>
            <w:tcBorders>
              <w:top w:val="nil"/>
              <w:left w:val="nil"/>
              <w:bottom w:val="nil"/>
              <w:right w:val="nil"/>
            </w:tcBorders>
            <w:shd w:val="clear" w:color="auto" w:fill="auto"/>
            <w:noWrap/>
            <w:vAlign w:val="center"/>
          </w:tcPr>
          <w:p w14:paraId="156705E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0.42 </w:t>
            </w:r>
          </w:p>
        </w:tc>
        <w:tc>
          <w:tcPr>
            <w:tcW w:w="851" w:type="dxa"/>
            <w:tcBorders>
              <w:top w:val="nil"/>
              <w:left w:val="nil"/>
              <w:bottom w:val="nil"/>
              <w:right w:val="nil"/>
            </w:tcBorders>
            <w:shd w:val="clear" w:color="auto" w:fill="auto"/>
            <w:noWrap/>
            <w:vAlign w:val="center"/>
          </w:tcPr>
          <w:p w14:paraId="5CB7391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9.90 </w:t>
            </w:r>
          </w:p>
        </w:tc>
        <w:tc>
          <w:tcPr>
            <w:tcW w:w="793" w:type="dxa"/>
            <w:tcBorders>
              <w:top w:val="nil"/>
              <w:left w:val="nil"/>
              <w:bottom w:val="nil"/>
              <w:right w:val="nil"/>
            </w:tcBorders>
            <w:shd w:val="clear" w:color="auto" w:fill="auto"/>
            <w:noWrap/>
            <w:vAlign w:val="center"/>
          </w:tcPr>
          <w:p w14:paraId="79F5A10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9.96 </w:t>
            </w:r>
          </w:p>
        </w:tc>
        <w:tc>
          <w:tcPr>
            <w:tcW w:w="797" w:type="dxa"/>
            <w:tcBorders>
              <w:top w:val="nil"/>
              <w:left w:val="nil"/>
              <w:bottom w:val="nil"/>
              <w:right w:val="nil"/>
            </w:tcBorders>
            <w:shd w:val="clear" w:color="auto" w:fill="auto"/>
            <w:noWrap/>
            <w:vAlign w:val="center"/>
          </w:tcPr>
          <w:p w14:paraId="61A5D33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10.02 </w:t>
            </w:r>
          </w:p>
        </w:tc>
      </w:tr>
      <w:tr w14:paraId="2EBB7D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0" w:hRule="atLeast"/>
        </w:trPr>
        <w:tc>
          <w:tcPr>
            <w:tcW w:w="1133" w:type="dxa"/>
            <w:tcBorders>
              <w:top w:val="nil"/>
              <w:left w:val="nil"/>
              <w:bottom w:val="nil"/>
              <w:right w:val="nil"/>
            </w:tcBorders>
            <w:shd w:val="clear" w:color="auto" w:fill="auto"/>
            <w:noWrap/>
            <w:vAlign w:val="center"/>
          </w:tcPr>
          <w:p w14:paraId="1D9CAF4C">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p>
        </w:tc>
        <w:tc>
          <w:tcPr>
            <w:tcW w:w="1135" w:type="dxa"/>
            <w:tcBorders>
              <w:top w:val="nil"/>
              <w:left w:val="nil"/>
              <w:bottom w:val="nil"/>
              <w:right w:val="nil"/>
            </w:tcBorders>
            <w:shd w:val="clear" w:color="auto" w:fill="auto"/>
            <w:noWrap/>
            <w:vAlign w:val="center"/>
          </w:tcPr>
          <w:p w14:paraId="59F86AE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Total</w:t>
            </w:r>
          </w:p>
        </w:tc>
        <w:tc>
          <w:tcPr>
            <w:tcW w:w="873" w:type="dxa"/>
            <w:tcBorders>
              <w:top w:val="nil"/>
              <w:left w:val="nil"/>
              <w:bottom w:val="nil"/>
              <w:right w:val="nil"/>
            </w:tcBorders>
            <w:shd w:val="clear" w:color="auto" w:fill="auto"/>
            <w:noWrap/>
            <w:vAlign w:val="center"/>
          </w:tcPr>
          <w:p w14:paraId="4661BF9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-0.02 </w:t>
            </w:r>
          </w:p>
        </w:tc>
        <w:tc>
          <w:tcPr>
            <w:tcW w:w="960" w:type="dxa"/>
            <w:tcBorders>
              <w:top w:val="nil"/>
              <w:left w:val="nil"/>
              <w:bottom w:val="nil"/>
              <w:right w:val="nil"/>
            </w:tcBorders>
            <w:shd w:val="clear" w:color="auto" w:fill="auto"/>
            <w:noWrap/>
            <w:vAlign w:val="center"/>
          </w:tcPr>
          <w:p w14:paraId="64E9C94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11.28 </w:t>
            </w:r>
          </w:p>
        </w:tc>
        <w:tc>
          <w:tcPr>
            <w:tcW w:w="922" w:type="dxa"/>
            <w:tcBorders>
              <w:top w:val="nil"/>
              <w:left w:val="nil"/>
              <w:bottom w:val="nil"/>
              <w:right w:val="nil"/>
            </w:tcBorders>
            <w:shd w:val="clear" w:color="auto" w:fill="auto"/>
            <w:noWrap/>
            <w:vAlign w:val="center"/>
          </w:tcPr>
          <w:p w14:paraId="44D8345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3.08 </w:t>
            </w:r>
          </w:p>
        </w:tc>
        <w:tc>
          <w:tcPr>
            <w:tcW w:w="833" w:type="dxa"/>
            <w:tcBorders>
              <w:top w:val="nil"/>
              <w:left w:val="nil"/>
              <w:bottom w:val="nil"/>
              <w:right w:val="nil"/>
            </w:tcBorders>
            <w:shd w:val="clear" w:color="auto" w:fill="auto"/>
            <w:noWrap/>
            <w:vAlign w:val="center"/>
          </w:tcPr>
          <w:p w14:paraId="5AF4D05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0.50 </w:t>
            </w:r>
          </w:p>
        </w:tc>
        <w:tc>
          <w:tcPr>
            <w:tcW w:w="851" w:type="dxa"/>
            <w:tcBorders>
              <w:top w:val="nil"/>
              <w:left w:val="nil"/>
              <w:bottom w:val="nil"/>
              <w:right w:val="nil"/>
            </w:tcBorders>
            <w:shd w:val="clear" w:color="auto" w:fill="auto"/>
            <w:noWrap/>
            <w:vAlign w:val="center"/>
          </w:tcPr>
          <w:p w14:paraId="6AF59C1F">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13.15 </w:t>
            </w:r>
          </w:p>
        </w:tc>
        <w:tc>
          <w:tcPr>
            <w:tcW w:w="793" w:type="dxa"/>
            <w:tcBorders>
              <w:top w:val="nil"/>
              <w:left w:val="nil"/>
              <w:bottom w:val="nil"/>
              <w:right w:val="nil"/>
            </w:tcBorders>
            <w:shd w:val="clear" w:color="auto" w:fill="auto"/>
            <w:noWrap/>
            <w:vAlign w:val="center"/>
          </w:tcPr>
          <w:p w14:paraId="349A6CA1">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13.47 </w:t>
            </w:r>
          </w:p>
        </w:tc>
        <w:tc>
          <w:tcPr>
            <w:tcW w:w="797" w:type="dxa"/>
            <w:tcBorders>
              <w:top w:val="nil"/>
              <w:left w:val="nil"/>
              <w:bottom w:val="nil"/>
              <w:right w:val="nil"/>
            </w:tcBorders>
            <w:shd w:val="clear" w:color="auto" w:fill="auto"/>
            <w:noWrap/>
            <w:vAlign w:val="center"/>
          </w:tcPr>
          <w:p w14:paraId="21A625C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13.80 </w:t>
            </w:r>
          </w:p>
        </w:tc>
      </w:tr>
      <w:tr w14:paraId="6D11F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1133" w:type="dxa"/>
            <w:tcBorders>
              <w:top w:val="nil"/>
              <w:left w:val="nil"/>
              <w:bottom w:val="nil"/>
              <w:right w:val="nil"/>
            </w:tcBorders>
            <w:shd w:val="clear" w:color="auto" w:fill="auto"/>
            <w:noWrap/>
            <w:vAlign w:val="center"/>
          </w:tcPr>
          <w:p w14:paraId="6DA39E0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sz w:val="24"/>
                <w:szCs w:val="32"/>
                <w:highlight w:val="yellow"/>
              </w:rPr>
              <w:t>AS</w:t>
            </w:r>
            <w:r>
              <w:rPr>
                <w:rFonts w:hint="eastAsia" w:ascii="Times New Roman" w:hAnsi="Times New Roman" w:eastAsia="宋体" w:cs="Times New Roman"/>
                <w:sz w:val="24"/>
                <w:szCs w:val="32"/>
                <w:highlight w:val="yellow"/>
                <w:lang w:val="en-US" w:eastAsia="zh-CN"/>
              </w:rPr>
              <w:t>M</w:t>
            </w:r>
            <w:r>
              <w:rPr>
                <w:rFonts w:hint="eastAsia" w:ascii="Times New Roman" w:hAnsi="Times New Roman" w:eastAsia="宋体" w:cs="Times New Roman"/>
                <w:sz w:val="24"/>
                <w:szCs w:val="32"/>
                <w:highlight w:val="yellow"/>
              </w:rPr>
              <w:t>RC</w:t>
            </w:r>
          </w:p>
        </w:tc>
        <w:tc>
          <w:tcPr>
            <w:tcW w:w="1135" w:type="dxa"/>
            <w:tcBorders>
              <w:top w:val="nil"/>
              <w:left w:val="nil"/>
              <w:bottom w:val="nil"/>
              <w:right w:val="nil"/>
            </w:tcBorders>
            <w:shd w:val="clear" w:color="auto" w:fill="auto"/>
            <w:noWrap/>
            <w:vAlign w:val="center"/>
          </w:tcPr>
          <w:p w14:paraId="3134FC2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Male</w:t>
            </w:r>
          </w:p>
        </w:tc>
        <w:tc>
          <w:tcPr>
            <w:tcW w:w="873" w:type="dxa"/>
            <w:tcBorders>
              <w:top w:val="nil"/>
              <w:left w:val="nil"/>
              <w:bottom w:val="nil"/>
              <w:right w:val="nil"/>
            </w:tcBorders>
            <w:shd w:val="clear" w:color="auto" w:fill="auto"/>
            <w:noWrap/>
            <w:vAlign w:val="center"/>
          </w:tcPr>
          <w:p w14:paraId="054A599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-0.07 </w:t>
            </w:r>
          </w:p>
        </w:tc>
        <w:tc>
          <w:tcPr>
            <w:tcW w:w="960" w:type="dxa"/>
            <w:tcBorders>
              <w:top w:val="nil"/>
              <w:left w:val="nil"/>
              <w:bottom w:val="nil"/>
              <w:right w:val="nil"/>
            </w:tcBorders>
            <w:shd w:val="clear" w:color="auto" w:fill="auto"/>
            <w:noWrap/>
            <w:vAlign w:val="center"/>
          </w:tcPr>
          <w:p w14:paraId="516E4214">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4.96 </w:t>
            </w:r>
          </w:p>
        </w:tc>
        <w:tc>
          <w:tcPr>
            <w:tcW w:w="922" w:type="dxa"/>
            <w:tcBorders>
              <w:top w:val="nil"/>
              <w:left w:val="nil"/>
              <w:bottom w:val="nil"/>
              <w:right w:val="nil"/>
            </w:tcBorders>
            <w:shd w:val="clear" w:color="auto" w:fill="auto"/>
            <w:noWrap/>
            <w:vAlign w:val="center"/>
          </w:tcPr>
          <w:p w14:paraId="78BE8E9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1.44 </w:t>
            </w:r>
          </w:p>
        </w:tc>
        <w:tc>
          <w:tcPr>
            <w:tcW w:w="833" w:type="dxa"/>
            <w:tcBorders>
              <w:top w:val="nil"/>
              <w:left w:val="nil"/>
              <w:bottom w:val="nil"/>
              <w:right w:val="nil"/>
            </w:tcBorders>
            <w:shd w:val="clear" w:color="auto" w:fill="auto"/>
            <w:noWrap/>
            <w:vAlign w:val="center"/>
          </w:tcPr>
          <w:p w14:paraId="2E4E328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0.21 </w:t>
            </w:r>
          </w:p>
        </w:tc>
        <w:tc>
          <w:tcPr>
            <w:tcW w:w="851" w:type="dxa"/>
            <w:tcBorders>
              <w:top w:val="nil"/>
              <w:left w:val="nil"/>
              <w:bottom w:val="nil"/>
              <w:right w:val="nil"/>
            </w:tcBorders>
            <w:shd w:val="clear" w:color="auto" w:fill="auto"/>
            <w:noWrap/>
            <w:vAlign w:val="center"/>
          </w:tcPr>
          <w:p w14:paraId="439B887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7.66 </w:t>
            </w:r>
          </w:p>
        </w:tc>
        <w:tc>
          <w:tcPr>
            <w:tcW w:w="793" w:type="dxa"/>
            <w:tcBorders>
              <w:top w:val="nil"/>
              <w:left w:val="nil"/>
              <w:bottom w:val="nil"/>
              <w:right w:val="nil"/>
            </w:tcBorders>
            <w:shd w:val="clear" w:color="auto" w:fill="auto"/>
            <w:noWrap/>
            <w:vAlign w:val="center"/>
          </w:tcPr>
          <w:p w14:paraId="7BF3861B">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8.17 </w:t>
            </w:r>
          </w:p>
        </w:tc>
        <w:tc>
          <w:tcPr>
            <w:tcW w:w="797" w:type="dxa"/>
            <w:tcBorders>
              <w:top w:val="nil"/>
              <w:left w:val="nil"/>
              <w:bottom w:val="nil"/>
              <w:right w:val="nil"/>
            </w:tcBorders>
            <w:shd w:val="clear" w:color="auto" w:fill="auto"/>
            <w:noWrap/>
            <w:vAlign w:val="center"/>
          </w:tcPr>
          <w:p w14:paraId="6870313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8.73 </w:t>
            </w:r>
          </w:p>
        </w:tc>
      </w:tr>
      <w:tr w14:paraId="6DD16A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1133" w:type="dxa"/>
            <w:tcBorders>
              <w:top w:val="nil"/>
              <w:left w:val="nil"/>
              <w:bottom w:val="nil"/>
              <w:right w:val="nil"/>
            </w:tcBorders>
            <w:shd w:val="clear" w:color="auto" w:fill="auto"/>
            <w:noWrap/>
            <w:vAlign w:val="center"/>
          </w:tcPr>
          <w:p w14:paraId="77BB1F05">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p>
        </w:tc>
        <w:tc>
          <w:tcPr>
            <w:tcW w:w="1135" w:type="dxa"/>
            <w:tcBorders>
              <w:top w:val="nil"/>
              <w:left w:val="nil"/>
              <w:bottom w:val="nil"/>
              <w:right w:val="nil"/>
            </w:tcBorders>
            <w:shd w:val="clear" w:color="auto" w:fill="auto"/>
            <w:noWrap/>
            <w:vAlign w:val="center"/>
          </w:tcPr>
          <w:p w14:paraId="1118F13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Female</w:t>
            </w:r>
          </w:p>
        </w:tc>
        <w:tc>
          <w:tcPr>
            <w:tcW w:w="873" w:type="dxa"/>
            <w:tcBorders>
              <w:top w:val="nil"/>
              <w:left w:val="nil"/>
              <w:bottom w:val="nil"/>
              <w:right w:val="nil"/>
            </w:tcBorders>
            <w:shd w:val="clear" w:color="auto" w:fill="auto"/>
            <w:noWrap/>
            <w:vAlign w:val="center"/>
          </w:tcPr>
          <w:p w14:paraId="54704AA3">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-0.01 </w:t>
            </w:r>
          </w:p>
        </w:tc>
        <w:tc>
          <w:tcPr>
            <w:tcW w:w="960" w:type="dxa"/>
            <w:tcBorders>
              <w:top w:val="nil"/>
              <w:left w:val="nil"/>
              <w:bottom w:val="nil"/>
              <w:right w:val="nil"/>
            </w:tcBorders>
            <w:shd w:val="clear" w:color="auto" w:fill="auto"/>
            <w:noWrap/>
            <w:vAlign w:val="center"/>
          </w:tcPr>
          <w:p w14:paraId="429841A0">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3.62 </w:t>
            </w:r>
          </w:p>
        </w:tc>
        <w:tc>
          <w:tcPr>
            <w:tcW w:w="922" w:type="dxa"/>
            <w:tcBorders>
              <w:top w:val="nil"/>
              <w:left w:val="nil"/>
              <w:bottom w:val="nil"/>
              <w:right w:val="nil"/>
            </w:tcBorders>
            <w:shd w:val="clear" w:color="auto" w:fill="auto"/>
            <w:noWrap/>
            <w:vAlign w:val="center"/>
          </w:tcPr>
          <w:p w14:paraId="6D1D31CD">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3.64 </w:t>
            </w:r>
          </w:p>
        </w:tc>
        <w:tc>
          <w:tcPr>
            <w:tcW w:w="833" w:type="dxa"/>
            <w:tcBorders>
              <w:top w:val="nil"/>
              <w:left w:val="nil"/>
              <w:bottom w:val="nil"/>
              <w:right w:val="nil"/>
            </w:tcBorders>
            <w:shd w:val="clear" w:color="auto" w:fill="auto"/>
            <w:noWrap/>
            <w:vAlign w:val="center"/>
          </w:tcPr>
          <w:p w14:paraId="26094231">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0.84 </w:t>
            </w:r>
          </w:p>
        </w:tc>
        <w:tc>
          <w:tcPr>
            <w:tcW w:w="851" w:type="dxa"/>
            <w:tcBorders>
              <w:top w:val="nil"/>
              <w:left w:val="nil"/>
              <w:bottom w:val="nil"/>
              <w:right w:val="nil"/>
            </w:tcBorders>
            <w:shd w:val="clear" w:color="auto" w:fill="auto"/>
            <w:noWrap/>
            <w:vAlign w:val="center"/>
          </w:tcPr>
          <w:p w14:paraId="3A80AC6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 </w:t>
            </w:r>
          </w:p>
        </w:tc>
        <w:tc>
          <w:tcPr>
            <w:tcW w:w="793" w:type="dxa"/>
            <w:tcBorders>
              <w:top w:val="nil"/>
              <w:left w:val="nil"/>
              <w:bottom w:val="nil"/>
              <w:right w:val="nil"/>
            </w:tcBorders>
            <w:shd w:val="clear" w:color="auto" w:fill="auto"/>
            <w:noWrap/>
            <w:vAlign w:val="center"/>
          </w:tcPr>
          <w:p w14:paraId="5D82E63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 </w:t>
            </w:r>
          </w:p>
        </w:tc>
        <w:tc>
          <w:tcPr>
            <w:tcW w:w="797" w:type="dxa"/>
            <w:tcBorders>
              <w:top w:val="nil"/>
              <w:left w:val="nil"/>
              <w:bottom w:val="nil"/>
              <w:right w:val="nil"/>
            </w:tcBorders>
            <w:shd w:val="clear" w:color="auto" w:fill="auto"/>
            <w:noWrap/>
            <w:vAlign w:val="center"/>
          </w:tcPr>
          <w:p w14:paraId="689FFAEA">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 </w:t>
            </w:r>
          </w:p>
        </w:tc>
      </w:tr>
      <w:tr w14:paraId="70C96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1" w:hRule="atLeast"/>
        </w:trPr>
        <w:tc>
          <w:tcPr>
            <w:tcW w:w="1133" w:type="dxa"/>
            <w:tcBorders>
              <w:top w:val="nil"/>
              <w:left w:val="nil"/>
              <w:bottom w:val="single" w:color="auto" w:sz="4" w:space="0"/>
              <w:right w:val="nil"/>
            </w:tcBorders>
            <w:shd w:val="clear" w:color="auto" w:fill="auto"/>
            <w:noWrap/>
            <w:vAlign w:val="center"/>
          </w:tcPr>
          <w:p w14:paraId="4716C362">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p>
        </w:tc>
        <w:tc>
          <w:tcPr>
            <w:tcW w:w="1135" w:type="dxa"/>
            <w:tcBorders>
              <w:top w:val="nil"/>
              <w:left w:val="nil"/>
              <w:bottom w:val="single" w:color="auto" w:sz="4" w:space="0"/>
              <w:right w:val="nil"/>
            </w:tcBorders>
            <w:shd w:val="clear" w:color="auto" w:fill="auto"/>
            <w:noWrap/>
            <w:vAlign w:val="center"/>
          </w:tcPr>
          <w:p w14:paraId="0378DAD8">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default" w:ascii="Times New Roman" w:hAnsi="Times New Roman" w:eastAsia="宋体" w:cs="Times New Roman"/>
                <w:i w:val="0"/>
                <w:iCs w:val="0"/>
                <w:color w:val="000000"/>
                <w:kern w:val="0"/>
                <w:sz w:val="20"/>
                <w:szCs w:val="20"/>
                <w:highlight w:val="yellow"/>
                <w:u w:val="none"/>
                <w:lang w:val="en-US" w:eastAsia="zh-CN" w:bidi="ar"/>
              </w:rPr>
              <w:t>Total</w:t>
            </w:r>
          </w:p>
        </w:tc>
        <w:tc>
          <w:tcPr>
            <w:tcW w:w="873" w:type="dxa"/>
            <w:tcBorders>
              <w:top w:val="nil"/>
              <w:left w:val="nil"/>
              <w:bottom w:val="single" w:color="auto" w:sz="4" w:space="0"/>
              <w:right w:val="nil"/>
            </w:tcBorders>
            <w:shd w:val="clear" w:color="auto" w:fill="auto"/>
            <w:noWrap/>
            <w:vAlign w:val="center"/>
          </w:tcPr>
          <w:p w14:paraId="098D3127">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-0.04 </w:t>
            </w:r>
          </w:p>
        </w:tc>
        <w:tc>
          <w:tcPr>
            <w:tcW w:w="960" w:type="dxa"/>
            <w:tcBorders>
              <w:top w:val="nil"/>
              <w:left w:val="nil"/>
              <w:bottom w:val="single" w:color="auto" w:sz="4" w:space="0"/>
              <w:right w:val="nil"/>
            </w:tcBorders>
            <w:shd w:val="clear" w:color="auto" w:fill="auto"/>
            <w:noWrap/>
            <w:vAlign w:val="center"/>
          </w:tcPr>
          <w:p w14:paraId="423DBB19">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4.27 </w:t>
            </w:r>
          </w:p>
        </w:tc>
        <w:tc>
          <w:tcPr>
            <w:tcW w:w="922" w:type="dxa"/>
            <w:tcBorders>
              <w:top w:val="nil"/>
              <w:left w:val="nil"/>
              <w:bottom w:val="single" w:color="auto" w:sz="4" w:space="0"/>
              <w:right w:val="nil"/>
            </w:tcBorders>
            <w:shd w:val="clear" w:color="auto" w:fill="auto"/>
            <w:noWrap/>
            <w:vAlign w:val="center"/>
          </w:tcPr>
          <w:p w14:paraId="75567E3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2.10 </w:t>
            </w:r>
          </w:p>
        </w:tc>
        <w:tc>
          <w:tcPr>
            <w:tcW w:w="833" w:type="dxa"/>
            <w:tcBorders>
              <w:top w:val="nil"/>
              <w:left w:val="nil"/>
              <w:bottom w:val="single" w:color="auto" w:sz="4" w:space="0"/>
              <w:right w:val="nil"/>
            </w:tcBorders>
            <w:shd w:val="clear" w:color="auto" w:fill="auto"/>
            <w:noWrap/>
            <w:vAlign w:val="center"/>
          </w:tcPr>
          <w:p w14:paraId="64FA2C9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0.40 </w:t>
            </w:r>
          </w:p>
        </w:tc>
        <w:tc>
          <w:tcPr>
            <w:tcW w:w="851" w:type="dxa"/>
            <w:tcBorders>
              <w:top w:val="nil"/>
              <w:left w:val="nil"/>
              <w:bottom w:val="single" w:color="auto" w:sz="4" w:space="0"/>
              <w:right w:val="nil"/>
            </w:tcBorders>
            <w:shd w:val="clear" w:color="auto" w:fill="auto"/>
            <w:noWrap/>
            <w:vAlign w:val="center"/>
          </w:tcPr>
          <w:p w14:paraId="6A9DC64E">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5.70 </w:t>
            </w:r>
          </w:p>
        </w:tc>
        <w:tc>
          <w:tcPr>
            <w:tcW w:w="793" w:type="dxa"/>
            <w:tcBorders>
              <w:top w:val="nil"/>
              <w:left w:val="nil"/>
              <w:bottom w:val="single" w:color="auto" w:sz="4" w:space="0"/>
              <w:right w:val="nil"/>
            </w:tcBorders>
            <w:shd w:val="clear" w:color="auto" w:fill="auto"/>
            <w:noWrap/>
            <w:vAlign w:val="center"/>
          </w:tcPr>
          <w:p w14:paraId="21ACFCA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5.96 </w:t>
            </w:r>
          </w:p>
        </w:tc>
        <w:tc>
          <w:tcPr>
            <w:tcW w:w="797" w:type="dxa"/>
            <w:tcBorders>
              <w:top w:val="nil"/>
              <w:left w:val="nil"/>
              <w:bottom w:val="single" w:color="auto" w:sz="4" w:space="0"/>
              <w:right w:val="nil"/>
            </w:tcBorders>
            <w:shd w:val="clear" w:color="auto" w:fill="auto"/>
            <w:noWrap/>
            <w:vAlign w:val="center"/>
          </w:tcPr>
          <w:p w14:paraId="33ACAF56">
            <w:pPr>
              <w:keepNext w:val="0"/>
              <w:keepLines w:val="0"/>
              <w:widowControl/>
              <w:suppressLineNumbers w:val="0"/>
              <w:jc w:val="center"/>
              <w:textAlignment w:val="center"/>
              <w:rPr>
                <w:rFonts w:hint="eastAsia" w:ascii="Times New Roman" w:hAnsi="Times New Roman" w:eastAsia="宋体" w:cs="Times New Roman"/>
                <w:i w:val="0"/>
                <w:iCs w:val="0"/>
                <w:color w:val="000000"/>
                <w:kern w:val="0"/>
                <w:sz w:val="20"/>
                <w:szCs w:val="20"/>
                <w:highlight w:val="yellow"/>
                <w:u w:val="none"/>
                <w:lang w:val="en-US" w:eastAsia="zh-CN" w:bidi="ar"/>
              </w:rPr>
            </w:pPr>
            <w:r>
              <w:rPr>
                <w:rFonts w:hint="eastAsia" w:ascii="Times New Roman" w:hAnsi="Times New Roman" w:eastAsia="宋体" w:cs="Times New Roman"/>
                <w:i w:val="0"/>
                <w:iCs w:val="0"/>
                <w:color w:val="000000"/>
                <w:kern w:val="0"/>
                <w:sz w:val="20"/>
                <w:szCs w:val="20"/>
                <w:highlight w:val="yellow"/>
                <w:u w:val="none"/>
                <w:lang w:val="en-US" w:eastAsia="zh-CN" w:bidi="ar"/>
              </w:rPr>
              <w:t xml:space="preserve">6.23 </w:t>
            </w:r>
          </w:p>
        </w:tc>
      </w:tr>
    </w:tbl>
    <w:p w14:paraId="4903DB76">
      <w:pPr>
        <w:jc w:val="both"/>
        <w:rPr>
          <w:rFonts w:hint="eastAsia" w:ascii="Times New Roman" w:hAnsi="Times New Roman" w:eastAsia="宋体" w:cs="Times New Roman"/>
          <w:sz w:val="24"/>
          <w:szCs w:val="32"/>
          <w:highlight w:val="yellow"/>
        </w:rPr>
      </w:pPr>
      <w:r>
        <w:rPr>
          <w:rFonts w:hint="eastAsia" w:ascii="Times New Roman" w:hAnsi="Times New Roman" w:eastAsia="宋体" w:cs="Times New Roman"/>
          <w:sz w:val="24"/>
          <w:szCs w:val="32"/>
          <w:highlight w:val="yellow"/>
        </w:rPr>
        <w:t>Notes：</w:t>
      </w:r>
      <w:r>
        <w:rPr>
          <w:rFonts w:hint="default" w:ascii="Times New Roman" w:hAnsi="Times New Roman" w:eastAsia="宋体" w:cs="Times New Roman"/>
          <w:sz w:val="24"/>
          <w:szCs w:val="32"/>
          <w:highlight w:val="yellow"/>
          <w:lang w:val="en-US" w:eastAsia="zh-CN"/>
        </w:rPr>
        <w:t>MAPE</w:t>
      </w:r>
      <w:r>
        <w:rPr>
          <w:rFonts w:hint="eastAsia" w:ascii="Times New Roman" w:hAnsi="Times New Roman" w:eastAsia="宋体" w:cs="Times New Roman"/>
          <w:sz w:val="24"/>
          <w:szCs w:val="32"/>
          <w:highlight w:val="yellow"/>
          <w:lang w:val="en-US" w:eastAsia="zh-CN"/>
        </w:rPr>
        <w:t>：m</w:t>
      </w:r>
      <w:r>
        <w:rPr>
          <w:rFonts w:hint="eastAsia" w:ascii="Times New Roman" w:hAnsi="Times New Roman" w:eastAsia="宋体" w:cs="Times New Roman"/>
          <w:sz w:val="24"/>
          <w:szCs w:val="32"/>
          <w:highlight w:val="yellow"/>
        </w:rPr>
        <w:t xml:space="preserve">ean </w:t>
      </w:r>
      <w:r>
        <w:rPr>
          <w:rFonts w:hint="eastAsia" w:ascii="Times New Roman" w:hAnsi="Times New Roman" w:eastAsia="宋体" w:cs="Times New Roman"/>
          <w:sz w:val="24"/>
          <w:szCs w:val="32"/>
          <w:highlight w:val="yellow"/>
          <w:lang w:val="en-US" w:eastAsia="zh-CN"/>
        </w:rPr>
        <w:t>a</w:t>
      </w:r>
      <w:r>
        <w:rPr>
          <w:rFonts w:hint="eastAsia" w:ascii="Times New Roman" w:hAnsi="Times New Roman" w:eastAsia="宋体" w:cs="Times New Roman"/>
          <w:sz w:val="24"/>
          <w:szCs w:val="32"/>
          <w:highlight w:val="yellow"/>
        </w:rPr>
        <w:t xml:space="preserve">bsolute </w:t>
      </w:r>
      <w:r>
        <w:rPr>
          <w:rFonts w:hint="eastAsia" w:ascii="Times New Roman" w:hAnsi="Times New Roman" w:eastAsia="宋体" w:cs="Times New Roman"/>
          <w:sz w:val="24"/>
          <w:szCs w:val="32"/>
          <w:highlight w:val="yellow"/>
          <w:lang w:val="en-US" w:eastAsia="zh-CN"/>
        </w:rPr>
        <w:t>p</w:t>
      </w:r>
      <w:r>
        <w:rPr>
          <w:rFonts w:hint="eastAsia" w:ascii="Times New Roman" w:hAnsi="Times New Roman" w:eastAsia="宋体" w:cs="Times New Roman"/>
          <w:sz w:val="24"/>
          <w:szCs w:val="32"/>
          <w:highlight w:val="yellow"/>
        </w:rPr>
        <w:t xml:space="preserve">ercentage </w:t>
      </w:r>
      <w:r>
        <w:rPr>
          <w:rFonts w:hint="eastAsia" w:ascii="Times New Roman" w:hAnsi="Times New Roman" w:eastAsia="宋体" w:cs="Times New Roman"/>
          <w:sz w:val="24"/>
          <w:szCs w:val="32"/>
          <w:highlight w:val="yellow"/>
          <w:lang w:val="en-US" w:eastAsia="zh-CN"/>
        </w:rPr>
        <w:t>e</w:t>
      </w:r>
      <w:r>
        <w:rPr>
          <w:rFonts w:hint="eastAsia" w:ascii="Times New Roman" w:hAnsi="Times New Roman" w:eastAsia="宋体" w:cs="Times New Roman"/>
          <w:sz w:val="24"/>
          <w:szCs w:val="32"/>
          <w:highlight w:val="yellow"/>
        </w:rPr>
        <w:t>rror</w:t>
      </w:r>
      <w:r>
        <w:rPr>
          <w:rFonts w:hint="eastAsia" w:ascii="Times New Roman" w:hAnsi="Times New Roman" w:eastAsia="宋体" w:cs="Times New Roman"/>
          <w:sz w:val="24"/>
          <w:szCs w:val="32"/>
          <w:highlight w:val="yellow"/>
          <w:lang w:val="en-US" w:eastAsia="zh-CN"/>
        </w:rPr>
        <w:t xml:space="preserve">; </w:t>
      </w:r>
      <w:r>
        <w:rPr>
          <w:rFonts w:hint="eastAsia" w:ascii="Times New Roman" w:hAnsi="Times New Roman" w:eastAsia="宋体" w:cs="Times New Roman"/>
          <w:sz w:val="24"/>
          <w:szCs w:val="32"/>
          <w:highlight w:val="yellow"/>
        </w:rPr>
        <w:t>ASIRC：age-standardized incidence rate by Chinese standard population</w:t>
      </w:r>
      <w:r>
        <w:rPr>
          <w:rFonts w:hint="eastAsia" w:ascii="Times New Roman" w:hAnsi="Times New Roman" w:eastAsia="宋体" w:cs="Times New Roman"/>
          <w:sz w:val="24"/>
          <w:szCs w:val="32"/>
          <w:highlight w:val="yellow"/>
          <w:lang w:val="en-US" w:eastAsia="zh-CN"/>
        </w:rPr>
        <w:t xml:space="preserve">; </w:t>
      </w:r>
      <w:r>
        <w:rPr>
          <w:rFonts w:hint="eastAsia" w:ascii="Times New Roman" w:hAnsi="Times New Roman" w:eastAsia="宋体" w:cs="Times New Roman"/>
          <w:sz w:val="24"/>
          <w:szCs w:val="32"/>
          <w:highlight w:val="yellow"/>
        </w:rPr>
        <w:t>AS</w:t>
      </w:r>
      <w:r>
        <w:rPr>
          <w:rFonts w:hint="eastAsia" w:ascii="Times New Roman" w:hAnsi="Times New Roman" w:eastAsia="宋体" w:cs="Times New Roman"/>
          <w:sz w:val="24"/>
          <w:szCs w:val="32"/>
          <w:highlight w:val="yellow"/>
          <w:lang w:val="en-US" w:eastAsia="zh-CN"/>
        </w:rPr>
        <w:t>M</w:t>
      </w:r>
      <w:r>
        <w:rPr>
          <w:rFonts w:hint="eastAsia" w:ascii="Times New Roman" w:hAnsi="Times New Roman" w:eastAsia="宋体" w:cs="Times New Roman"/>
          <w:sz w:val="24"/>
          <w:szCs w:val="32"/>
          <w:highlight w:val="yellow"/>
        </w:rPr>
        <w:t xml:space="preserve">RC：age-standardized </w:t>
      </w:r>
      <w:r>
        <w:rPr>
          <w:rFonts w:hint="eastAsia" w:ascii="Times New Roman" w:hAnsi="Times New Roman" w:eastAsia="宋体" w:cs="Times New Roman"/>
          <w:sz w:val="24"/>
          <w:szCs w:val="32"/>
          <w:highlight w:val="yellow"/>
          <w:lang w:val="en-US" w:eastAsia="zh-CN"/>
        </w:rPr>
        <w:t>m</w:t>
      </w:r>
      <w:r>
        <w:rPr>
          <w:rFonts w:hint="eastAsia" w:ascii="Times New Roman" w:hAnsi="Times New Roman" w:eastAsia="宋体" w:cs="Times New Roman"/>
          <w:sz w:val="24"/>
          <w:szCs w:val="32"/>
          <w:highlight w:val="yellow"/>
        </w:rPr>
        <w:t>ortality rate by Chinese standard population</w:t>
      </w:r>
    </w:p>
    <w:p w14:paraId="06A1829B">
      <w:pPr>
        <w:jc w:val="both"/>
        <w:rPr>
          <w:rFonts w:hint="eastAsia" w:ascii="Times New Roman" w:hAnsi="Times New Roman" w:eastAsia="宋体" w:cs="Times New Roman"/>
          <w:sz w:val="24"/>
          <w:szCs w:val="32"/>
          <w:lang w:val="en-US" w:eastAsia="zh-CN"/>
        </w:rPr>
      </w:pPr>
    </w:p>
    <w:p w14:paraId="418353D3">
      <w:pPr>
        <w:keepNext w:val="0"/>
        <w:keepLines w:val="0"/>
        <w:pageBreakBefore w:val="0"/>
        <w:widowControl/>
        <w:kinsoku/>
        <w:wordWrap/>
        <w:overflowPunct/>
        <w:topLinePunct w:val="0"/>
        <w:autoSpaceDE/>
        <w:autoSpaceDN/>
        <w:bidi w:val="0"/>
        <w:adjustRightInd w:val="0"/>
        <w:snapToGrid w:val="0"/>
        <w:spacing w:line="360" w:lineRule="auto"/>
        <w:ind w:firstLine="482"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b/>
          <w:color w:val="000000"/>
          <w:kern w:val="2"/>
          <w:sz w:val="24"/>
          <w:szCs w:val="20"/>
          <w:lang w:val="en-US" w:eastAsia="zh-CN" w:bidi="ar-SA"/>
        </w:rPr>
        <w:t>3</w:t>
      </w:r>
      <w:r>
        <w:rPr>
          <w:rFonts w:hint="default" w:ascii="Times New Roman" w:hAnsi="Times New Roman" w:eastAsia="宋体" w:cs="Times New Roman"/>
          <w:b/>
          <w:color w:val="000000"/>
          <w:kern w:val="2"/>
          <w:sz w:val="24"/>
          <w:szCs w:val="20"/>
          <w:lang w:val="en-US" w:eastAsia="zh-CN" w:bidi="ar-SA"/>
        </w:rPr>
        <w:t xml:space="preserve"> </w:t>
      </w:r>
      <w:r>
        <w:rPr>
          <w:rFonts w:hint="eastAsia" w:ascii="Times New Roman" w:hAnsi="Times New Roman" w:eastAsia="宋体" w:cs="Times New Roman"/>
          <w:b/>
          <w:color w:val="000000"/>
          <w:kern w:val="2"/>
          <w:sz w:val="24"/>
          <w:szCs w:val="20"/>
          <w:lang w:val="en-US" w:eastAsia="zh-CN" w:bidi="ar-SA"/>
        </w:rPr>
        <w:t>讨论</w:t>
      </w:r>
    </w:p>
    <w:p w14:paraId="3371EAA0">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本研究显示，2023年宿迁市结直肠癌发病率为23.00/10万（中标发病率13.34/10万），低于2020年江苏省平均水平（36.00/10万，中标发病率17.69/10万）</w:t>
      </w:r>
      <w:r>
        <w:rPr>
          <w:rFonts w:hint="eastAsia" w:ascii="Times New Roman" w:hAnsi="Times New Roman" w:eastAsia="宋体" w:cs="Times New Roman"/>
          <w:kern w:val="0"/>
          <w:sz w:val="24"/>
          <w:szCs w:val="20"/>
          <w:vertAlign w:val="superscript"/>
          <w:lang w:val="en-US" w:eastAsia="zh-CN" w:bidi="ar-SA"/>
        </w:rPr>
        <w:t>[9]</w:t>
      </w:r>
      <w:r>
        <w:rPr>
          <w:rFonts w:hint="eastAsia" w:ascii="Times New Roman" w:hAnsi="Times New Roman" w:eastAsia="宋体" w:cs="Times New Roman"/>
          <w:kern w:val="0"/>
          <w:sz w:val="24"/>
          <w:szCs w:val="20"/>
          <w:lang w:val="en-US" w:eastAsia="zh-CN" w:bidi="ar-SA"/>
        </w:rPr>
        <w:t>，也显著低于杭州萧山区2024年数据（66.18/10万，中标发病率37.94/10万）</w:t>
      </w:r>
      <w:r>
        <w:rPr>
          <w:rFonts w:hint="eastAsia" w:ascii="Times New Roman" w:hAnsi="Times New Roman" w:eastAsia="宋体" w:cs="Times New Roman"/>
          <w:kern w:val="0"/>
          <w:sz w:val="24"/>
          <w:szCs w:val="20"/>
          <w:vertAlign w:val="superscript"/>
          <w:lang w:val="en-US" w:eastAsia="zh-CN" w:bidi="ar-SA"/>
        </w:rPr>
        <w:t>[10]</w:t>
      </w:r>
      <w:r>
        <w:rPr>
          <w:rFonts w:hint="eastAsia" w:ascii="Times New Roman" w:hAnsi="Times New Roman" w:eastAsia="宋体" w:cs="Times New Roman"/>
          <w:kern w:val="0"/>
          <w:sz w:val="24"/>
          <w:szCs w:val="20"/>
          <w:lang w:val="en-US" w:eastAsia="zh-CN" w:bidi="ar-SA"/>
        </w:rPr>
        <w:t>，同时低于江苏省南部地区启东市2017—2021年平均水平（60.05/10万）</w:t>
      </w:r>
      <w:r>
        <w:rPr>
          <w:rFonts w:hint="eastAsia" w:ascii="Times New Roman" w:hAnsi="Times New Roman" w:eastAsia="宋体" w:cs="Times New Roman"/>
          <w:kern w:val="0"/>
          <w:sz w:val="24"/>
          <w:szCs w:val="20"/>
          <w:vertAlign w:val="superscript"/>
          <w:lang w:val="en-US" w:eastAsia="zh-CN" w:bidi="ar-SA"/>
        </w:rPr>
        <w:t>[11]</w:t>
      </w:r>
      <w:r>
        <w:rPr>
          <w:rFonts w:hint="eastAsia" w:ascii="Times New Roman" w:hAnsi="Times New Roman" w:eastAsia="宋体" w:cs="Times New Roman"/>
          <w:kern w:val="0"/>
          <w:sz w:val="24"/>
          <w:szCs w:val="20"/>
          <w:lang w:val="en-US" w:eastAsia="zh-CN" w:bidi="ar-SA"/>
        </w:rPr>
        <w:t>和张家港市2020年发病率（59.01/10万，中标发病率24.54/10万）</w:t>
      </w:r>
      <w:r>
        <w:rPr>
          <w:rFonts w:hint="eastAsia" w:ascii="Times New Roman" w:hAnsi="Times New Roman" w:eastAsia="宋体" w:cs="Times New Roman"/>
          <w:kern w:val="0"/>
          <w:sz w:val="24"/>
          <w:szCs w:val="20"/>
          <w:vertAlign w:val="superscript"/>
          <w:lang w:val="en-US" w:eastAsia="zh-CN" w:bidi="ar-SA"/>
        </w:rPr>
        <w:t>[12]</w:t>
      </w:r>
      <w:r>
        <w:rPr>
          <w:rFonts w:hint="eastAsia" w:ascii="Times New Roman" w:hAnsi="Times New Roman" w:eastAsia="宋体" w:cs="Times New Roman"/>
          <w:kern w:val="0"/>
          <w:sz w:val="24"/>
          <w:szCs w:val="20"/>
          <w:lang w:val="en-US" w:eastAsia="zh-CN" w:bidi="ar-SA"/>
        </w:rPr>
        <w:t>，而与江苏北部的连云港市2020年发病率（22.17/10万，中标发病率13.83/10万）较为接近</w:t>
      </w:r>
      <w:r>
        <w:rPr>
          <w:rFonts w:hint="eastAsia" w:ascii="Times New Roman" w:hAnsi="Times New Roman" w:eastAsia="宋体" w:cs="Times New Roman"/>
          <w:kern w:val="0"/>
          <w:sz w:val="24"/>
          <w:szCs w:val="20"/>
          <w:vertAlign w:val="superscript"/>
          <w:lang w:val="en-US" w:eastAsia="zh-CN" w:bidi="ar-SA"/>
        </w:rPr>
        <w:t>[13]</w:t>
      </w:r>
      <w:r>
        <w:rPr>
          <w:rFonts w:hint="eastAsia" w:ascii="Times New Roman" w:hAnsi="Times New Roman" w:eastAsia="宋体" w:cs="Times New Roman"/>
          <w:kern w:val="0"/>
          <w:sz w:val="24"/>
          <w:szCs w:val="20"/>
          <w:lang w:val="en-US" w:eastAsia="zh-CN" w:bidi="ar-SA"/>
        </w:rPr>
        <w:t>。在死亡率方面，2023年宿迁市结直肠癌死亡率为10.48/10万（中标死亡率5.34/10万），低于2020年江苏省平均水平（16.61/10万，中标死亡率7.17/10万）</w:t>
      </w:r>
      <w:r>
        <w:rPr>
          <w:rFonts w:hint="eastAsia" w:ascii="Times New Roman" w:hAnsi="Times New Roman" w:eastAsia="宋体" w:cs="Times New Roman"/>
          <w:kern w:val="0"/>
          <w:sz w:val="24"/>
          <w:szCs w:val="20"/>
          <w:vertAlign w:val="superscript"/>
          <w:lang w:val="en-US" w:eastAsia="zh-CN" w:bidi="ar-SA"/>
        </w:rPr>
        <w:t>[9]</w:t>
      </w:r>
      <w:r>
        <w:rPr>
          <w:rFonts w:hint="eastAsia" w:ascii="Times New Roman" w:hAnsi="Times New Roman" w:eastAsia="宋体" w:cs="Times New Roman"/>
          <w:kern w:val="0"/>
          <w:sz w:val="24"/>
          <w:szCs w:val="20"/>
          <w:lang w:val="en-US" w:eastAsia="zh-CN" w:bidi="ar-SA"/>
        </w:rPr>
        <w:t>以及天津市北辰区2021年水平（14.51/10万，中标死亡率7.13/10万）</w:t>
      </w:r>
      <w:r>
        <w:rPr>
          <w:rFonts w:hint="eastAsia" w:ascii="Times New Roman" w:hAnsi="Times New Roman" w:eastAsia="宋体" w:cs="Times New Roman"/>
          <w:kern w:val="0"/>
          <w:sz w:val="24"/>
          <w:szCs w:val="20"/>
          <w:vertAlign w:val="superscript"/>
          <w:lang w:val="en-US" w:eastAsia="zh-CN" w:bidi="ar-SA"/>
        </w:rPr>
        <w:t>[14]</w:t>
      </w:r>
      <w:r>
        <w:rPr>
          <w:rFonts w:hint="eastAsia" w:ascii="Times New Roman" w:hAnsi="Times New Roman" w:eastAsia="宋体" w:cs="Times New Roman"/>
          <w:kern w:val="0"/>
          <w:sz w:val="24"/>
          <w:szCs w:val="20"/>
          <w:lang w:val="en-US" w:eastAsia="zh-CN" w:bidi="ar-SA"/>
        </w:rPr>
        <w:t>。已有研究指出，结直肠癌发病率与人类发展指数呈正相关，经济发展水平较高的地区通常发病率较高</w:t>
      </w:r>
      <w:r>
        <w:rPr>
          <w:rFonts w:hint="eastAsia" w:ascii="Times New Roman" w:hAnsi="Times New Roman" w:eastAsia="宋体" w:cs="Times New Roman"/>
          <w:kern w:val="0"/>
          <w:sz w:val="24"/>
          <w:szCs w:val="20"/>
          <w:vertAlign w:val="superscript"/>
          <w:lang w:val="en-US" w:eastAsia="zh-CN" w:bidi="ar-SA"/>
        </w:rPr>
        <w:t>[13,15]</w:t>
      </w:r>
      <w:r>
        <w:rPr>
          <w:rFonts w:hint="eastAsia" w:ascii="Times New Roman" w:hAnsi="Times New Roman" w:eastAsia="宋体" w:cs="Times New Roman"/>
          <w:kern w:val="0"/>
          <w:sz w:val="24"/>
          <w:szCs w:val="20"/>
          <w:lang w:val="en-US" w:eastAsia="zh-CN" w:bidi="ar-SA"/>
        </w:rPr>
        <w:t>。宿迁市发病率低于全省均值及启东、张家港、萧山等地，可能与其经济发展相对滞后、居民结直肠癌筛查意识不足以及发现率较低有关。</w:t>
      </w:r>
    </w:p>
    <w:p w14:paraId="311F4B3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2018—2023年宿迁市结直肠癌发病和死亡数据均显示男性高于女性，该结果与深圳</w:t>
      </w:r>
      <w:r>
        <w:rPr>
          <w:rFonts w:hint="eastAsia" w:ascii="Times New Roman" w:hAnsi="Times New Roman" w:eastAsia="宋体" w:cs="Times New Roman"/>
          <w:kern w:val="0"/>
          <w:sz w:val="24"/>
          <w:szCs w:val="20"/>
          <w:vertAlign w:val="superscript"/>
          <w:lang w:val="en-US" w:eastAsia="zh-CN" w:bidi="ar-SA"/>
        </w:rPr>
        <w:t>[7]</w:t>
      </w:r>
      <w:r>
        <w:rPr>
          <w:rFonts w:hint="eastAsia" w:ascii="Times New Roman" w:hAnsi="Times New Roman" w:eastAsia="宋体" w:cs="Times New Roman"/>
          <w:kern w:val="0"/>
          <w:sz w:val="24"/>
          <w:szCs w:val="20"/>
          <w:lang w:val="en-US" w:eastAsia="zh-CN" w:bidi="ar-SA"/>
        </w:rPr>
        <w:t>、启东</w:t>
      </w:r>
      <w:r>
        <w:rPr>
          <w:rFonts w:hint="eastAsia" w:ascii="Times New Roman" w:hAnsi="Times New Roman" w:eastAsia="宋体" w:cs="Times New Roman"/>
          <w:kern w:val="0"/>
          <w:sz w:val="24"/>
          <w:szCs w:val="20"/>
          <w:vertAlign w:val="superscript"/>
          <w:lang w:val="en-US" w:eastAsia="zh-CN" w:bidi="ar-SA"/>
        </w:rPr>
        <w:t>[11]</w:t>
      </w:r>
      <w:r>
        <w:rPr>
          <w:rFonts w:hint="eastAsia" w:ascii="Times New Roman" w:hAnsi="Times New Roman" w:eastAsia="宋体" w:cs="Times New Roman"/>
          <w:kern w:val="0"/>
          <w:sz w:val="24"/>
          <w:szCs w:val="20"/>
          <w:lang w:val="en-US" w:eastAsia="zh-CN" w:bidi="ar-SA"/>
        </w:rPr>
        <w:t>、张家港</w:t>
      </w:r>
      <w:r>
        <w:rPr>
          <w:rFonts w:hint="eastAsia" w:ascii="Times New Roman" w:hAnsi="Times New Roman" w:eastAsia="宋体" w:cs="Times New Roman"/>
          <w:kern w:val="0"/>
          <w:sz w:val="24"/>
          <w:szCs w:val="20"/>
          <w:vertAlign w:val="superscript"/>
          <w:lang w:val="en-US" w:eastAsia="zh-CN" w:bidi="ar-SA"/>
        </w:rPr>
        <w:t>[12]</w:t>
      </w:r>
      <w:r>
        <w:rPr>
          <w:rFonts w:hint="eastAsia" w:ascii="Times New Roman" w:hAnsi="Times New Roman" w:eastAsia="宋体" w:cs="Times New Roman"/>
          <w:kern w:val="0"/>
          <w:sz w:val="24"/>
          <w:szCs w:val="20"/>
          <w:lang w:val="en-US" w:eastAsia="zh-CN" w:bidi="ar-SA"/>
        </w:rPr>
        <w:t>及连云港</w:t>
      </w:r>
      <w:r>
        <w:rPr>
          <w:rFonts w:hint="eastAsia" w:ascii="Times New Roman" w:hAnsi="Times New Roman" w:eastAsia="宋体" w:cs="Times New Roman"/>
          <w:kern w:val="0"/>
          <w:sz w:val="24"/>
          <w:szCs w:val="20"/>
          <w:vertAlign w:val="superscript"/>
          <w:lang w:val="en-US" w:eastAsia="zh-CN" w:bidi="ar-SA"/>
        </w:rPr>
        <w:t>[13]</w:t>
      </w:r>
      <w:r>
        <w:rPr>
          <w:rFonts w:hint="eastAsia" w:ascii="Times New Roman" w:hAnsi="Times New Roman" w:eastAsia="宋体" w:cs="Times New Roman"/>
          <w:kern w:val="0"/>
          <w:sz w:val="24"/>
          <w:szCs w:val="20"/>
          <w:lang w:val="en-US" w:eastAsia="zh-CN" w:bidi="ar-SA"/>
        </w:rPr>
        <w:t>等多地研究一致。性别差异可能源于生物学机制与社会行为因素共同作用。研究表明，男性罹患结直肠癌的风险约为女性的1.8倍</w:t>
      </w:r>
      <w:r>
        <w:rPr>
          <w:rFonts w:hint="eastAsia" w:ascii="Times New Roman" w:hAnsi="Times New Roman" w:eastAsia="宋体" w:cs="Times New Roman"/>
          <w:kern w:val="0"/>
          <w:sz w:val="24"/>
          <w:szCs w:val="20"/>
          <w:vertAlign w:val="superscript"/>
          <w:lang w:val="en-US" w:eastAsia="zh-CN" w:bidi="ar-SA"/>
        </w:rPr>
        <w:t>[16-17]</w:t>
      </w:r>
      <w:r>
        <w:rPr>
          <w:rFonts w:hint="eastAsia" w:ascii="Times New Roman" w:hAnsi="Times New Roman" w:eastAsia="宋体" w:cs="Times New Roman"/>
          <w:kern w:val="0"/>
          <w:sz w:val="24"/>
          <w:szCs w:val="20"/>
          <w:lang w:val="en-US" w:eastAsia="zh-CN" w:bidi="ar-SA"/>
        </w:rPr>
        <w:t>。社会行为方面，男性吸烟率、饮酒率及超重肥胖率普遍高于女性，而吸烟、饮酒、缺乏运动、超重肥胖等均为结直肠癌明确的危险因素</w:t>
      </w:r>
      <w:r>
        <w:rPr>
          <w:rFonts w:hint="eastAsia" w:ascii="Times New Roman" w:hAnsi="Times New Roman" w:eastAsia="宋体" w:cs="Times New Roman"/>
          <w:kern w:val="0"/>
          <w:sz w:val="24"/>
          <w:szCs w:val="20"/>
          <w:vertAlign w:val="superscript"/>
          <w:lang w:val="en-US" w:eastAsia="zh-CN" w:bidi="ar-SA"/>
        </w:rPr>
        <w:t>[1,18]</w:t>
      </w:r>
      <w:r>
        <w:rPr>
          <w:rFonts w:hint="eastAsia" w:ascii="Times New Roman" w:hAnsi="Times New Roman" w:eastAsia="宋体" w:cs="Times New Roman"/>
          <w:kern w:val="0"/>
          <w:sz w:val="24"/>
          <w:szCs w:val="20"/>
          <w:lang w:val="en-US" w:eastAsia="zh-CN" w:bidi="ar-SA"/>
        </w:rPr>
        <w:t>。从生物学角度分析，女性可能受益于内源性雌激素的保护作用，雌激素可通过调节抗肿瘤免疫反应等机制降低结直肠癌发生风险</w:t>
      </w:r>
      <w:r>
        <w:rPr>
          <w:rFonts w:hint="eastAsia" w:ascii="Times New Roman" w:hAnsi="Times New Roman" w:eastAsia="宋体" w:cs="Times New Roman"/>
          <w:kern w:val="0"/>
          <w:sz w:val="24"/>
          <w:szCs w:val="20"/>
          <w:vertAlign w:val="superscript"/>
          <w:lang w:val="en-US" w:eastAsia="zh-CN" w:bidi="ar-SA"/>
        </w:rPr>
        <w:t>[19]</w:t>
      </w:r>
      <w:r>
        <w:rPr>
          <w:rFonts w:hint="eastAsia" w:ascii="Times New Roman" w:hAnsi="Times New Roman" w:eastAsia="宋体" w:cs="Times New Roman"/>
          <w:kern w:val="0"/>
          <w:sz w:val="24"/>
          <w:szCs w:val="20"/>
          <w:lang w:val="en-US" w:eastAsia="zh-CN" w:bidi="ar-SA"/>
        </w:rPr>
        <w:t>。</w:t>
      </w:r>
    </w:p>
    <w:p w14:paraId="0697E6A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本研究还发现，宿迁市结直肠癌发病与死亡率随年龄增长而上升，45岁之前处于较低水平，45岁之后显著升高，这一趋势与山东</w:t>
      </w:r>
      <w:r>
        <w:rPr>
          <w:rFonts w:hint="eastAsia" w:ascii="Times New Roman" w:hAnsi="Times New Roman" w:eastAsia="宋体" w:cs="Times New Roman"/>
          <w:kern w:val="0"/>
          <w:sz w:val="24"/>
          <w:szCs w:val="20"/>
          <w:vertAlign w:val="superscript"/>
          <w:lang w:val="en-US" w:eastAsia="zh-CN" w:bidi="ar-SA"/>
        </w:rPr>
        <w:t>[16]</w:t>
      </w:r>
      <w:r>
        <w:rPr>
          <w:rFonts w:hint="eastAsia" w:ascii="Times New Roman" w:hAnsi="Times New Roman" w:eastAsia="宋体" w:cs="Times New Roman"/>
          <w:kern w:val="0"/>
          <w:sz w:val="24"/>
          <w:szCs w:val="20"/>
          <w:lang w:val="en-US" w:eastAsia="zh-CN" w:bidi="ar-SA"/>
        </w:rPr>
        <w:t>、云南</w:t>
      </w:r>
      <w:r>
        <w:rPr>
          <w:rFonts w:hint="eastAsia" w:ascii="Times New Roman" w:hAnsi="Times New Roman" w:eastAsia="宋体" w:cs="Times New Roman"/>
          <w:kern w:val="0"/>
          <w:sz w:val="24"/>
          <w:szCs w:val="20"/>
          <w:vertAlign w:val="superscript"/>
          <w:lang w:val="en-US" w:eastAsia="zh-CN" w:bidi="ar-SA"/>
        </w:rPr>
        <w:t>[20]</w:t>
      </w:r>
      <w:r>
        <w:rPr>
          <w:rFonts w:hint="eastAsia" w:ascii="Times New Roman" w:hAnsi="Times New Roman" w:eastAsia="宋体" w:cs="Times New Roman"/>
          <w:kern w:val="0"/>
          <w:sz w:val="24"/>
          <w:szCs w:val="20"/>
          <w:lang w:val="en-US" w:eastAsia="zh-CN" w:bidi="ar-SA"/>
        </w:rPr>
        <w:t>及张家港</w:t>
      </w:r>
      <w:r>
        <w:rPr>
          <w:rFonts w:hint="eastAsia" w:ascii="Times New Roman" w:hAnsi="Times New Roman" w:eastAsia="宋体" w:cs="Times New Roman"/>
          <w:kern w:val="0"/>
          <w:sz w:val="24"/>
          <w:szCs w:val="20"/>
          <w:vertAlign w:val="superscript"/>
          <w:lang w:val="en-US" w:eastAsia="zh-CN" w:bidi="ar-SA"/>
        </w:rPr>
        <w:t>[12]</w:t>
      </w:r>
      <w:r>
        <w:rPr>
          <w:rFonts w:hint="eastAsia" w:ascii="Times New Roman" w:hAnsi="Times New Roman" w:eastAsia="宋体" w:cs="Times New Roman"/>
          <w:kern w:val="0"/>
          <w:sz w:val="24"/>
          <w:szCs w:val="20"/>
          <w:lang w:val="en-US" w:eastAsia="zh-CN" w:bidi="ar-SA"/>
        </w:rPr>
        <w:t>等地的报告相符，提示应重点关注老年人群的科普宣传与早期筛查工作。2018—2023年间，宿迁市结直肠癌发病与死亡率均呈上升态势，与全国</w:t>
      </w:r>
      <w:r>
        <w:rPr>
          <w:rFonts w:hint="eastAsia" w:ascii="Times New Roman" w:hAnsi="Times New Roman" w:eastAsia="宋体" w:cs="Times New Roman"/>
          <w:kern w:val="0"/>
          <w:sz w:val="24"/>
          <w:szCs w:val="20"/>
          <w:vertAlign w:val="superscript"/>
          <w:lang w:val="en-US" w:eastAsia="zh-CN" w:bidi="ar-SA"/>
        </w:rPr>
        <w:t>[2]</w:t>
      </w:r>
      <w:r>
        <w:rPr>
          <w:rFonts w:hint="eastAsia" w:ascii="Times New Roman" w:hAnsi="Times New Roman" w:eastAsia="宋体" w:cs="Times New Roman"/>
          <w:kern w:val="0"/>
          <w:sz w:val="24"/>
          <w:szCs w:val="20"/>
          <w:lang w:val="en-US" w:eastAsia="zh-CN" w:bidi="ar-SA"/>
        </w:rPr>
        <w:t>、山东省</w:t>
      </w:r>
      <w:r>
        <w:rPr>
          <w:rFonts w:hint="eastAsia" w:ascii="Times New Roman" w:hAnsi="Times New Roman" w:eastAsia="宋体" w:cs="Times New Roman"/>
          <w:kern w:val="0"/>
          <w:sz w:val="24"/>
          <w:szCs w:val="20"/>
          <w:vertAlign w:val="superscript"/>
          <w:lang w:val="en-US" w:eastAsia="zh-CN" w:bidi="ar-SA"/>
        </w:rPr>
        <w:t>[16]</w:t>
      </w:r>
      <w:r>
        <w:rPr>
          <w:rFonts w:hint="eastAsia" w:ascii="Times New Roman" w:hAnsi="Times New Roman" w:eastAsia="宋体" w:cs="Times New Roman"/>
          <w:kern w:val="0"/>
          <w:sz w:val="24"/>
          <w:szCs w:val="20"/>
          <w:lang w:val="en-US" w:eastAsia="zh-CN" w:bidi="ar-SA"/>
        </w:rPr>
        <w:t>及江苏省整体趋势</w:t>
      </w:r>
      <w:r>
        <w:rPr>
          <w:rFonts w:hint="eastAsia" w:ascii="Times New Roman" w:hAnsi="Times New Roman" w:eastAsia="宋体" w:cs="Times New Roman"/>
          <w:kern w:val="0"/>
          <w:sz w:val="24"/>
          <w:szCs w:val="20"/>
          <w:vertAlign w:val="superscript"/>
          <w:lang w:val="en-US" w:eastAsia="zh-CN" w:bidi="ar-SA"/>
        </w:rPr>
        <w:t>[4]</w:t>
      </w:r>
      <w:r>
        <w:rPr>
          <w:rFonts w:hint="eastAsia" w:ascii="Times New Roman" w:hAnsi="Times New Roman" w:eastAsia="宋体" w:cs="Times New Roman"/>
          <w:kern w:val="0"/>
          <w:sz w:val="24"/>
          <w:szCs w:val="20"/>
          <w:lang w:val="en-US" w:eastAsia="zh-CN" w:bidi="ar-SA"/>
        </w:rPr>
        <w:t>一致。各年龄组中，高年龄组增幅普遍大于低年龄组，85岁及以上人群发病和死亡的年度平均变化百分比（AAPC）最高，分别达14.98%和14.58%，P值均小于0.05。结直肠癌发病上升与生活饮食习惯西方化密切相关，包括吸烟、饮酒、超重肥胖、红肉及加工肉摄入过多、长期高血糖、体力活动不足、膳食钙与膳食纤维摄入偏低等</w:t>
      </w:r>
      <w:r>
        <w:rPr>
          <w:rFonts w:hint="eastAsia" w:ascii="Times New Roman" w:hAnsi="Times New Roman" w:eastAsia="宋体" w:cs="Times New Roman"/>
          <w:kern w:val="0"/>
          <w:sz w:val="24"/>
          <w:szCs w:val="20"/>
          <w:vertAlign w:val="superscript"/>
          <w:lang w:val="en-US" w:eastAsia="zh-CN" w:bidi="ar-SA"/>
        </w:rPr>
        <w:t>[21-22]</w:t>
      </w:r>
      <w:r>
        <w:rPr>
          <w:rFonts w:hint="eastAsia" w:ascii="Times New Roman" w:hAnsi="Times New Roman" w:eastAsia="宋体" w:cs="Times New Roman"/>
          <w:kern w:val="0"/>
          <w:sz w:val="24"/>
          <w:szCs w:val="20"/>
          <w:lang w:val="en-US" w:eastAsia="zh-CN" w:bidi="ar-SA"/>
        </w:rPr>
        <w:t>。此外，人口老龄化也是结直肠癌疾病负担加重的重要驱动因素之一</w:t>
      </w:r>
      <w:r>
        <w:rPr>
          <w:rFonts w:hint="eastAsia" w:ascii="Times New Roman" w:hAnsi="Times New Roman" w:eastAsia="宋体" w:cs="Times New Roman"/>
          <w:kern w:val="0"/>
          <w:sz w:val="24"/>
          <w:szCs w:val="20"/>
          <w:vertAlign w:val="superscript"/>
          <w:lang w:val="en-US" w:eastAsia="zh-CN" w:bidi="ar-SA"/>
        </w:rPr>
        <w:t>[23]</w:t>
      </w:r>
      <w:r>
        <w:rPr>
          <w:rFonts w:hint="eastAsia" w:ascii="Times New Roman" w:hAnsi="Times New Roman" w:eastAsia="宋体" w:cs="Times New Roman"/>
          <w:kern w:val="0"/>
          <w:sz w:val="24"/>
          <w:szCs w:val="20"/>
          <w:lang w:val="en-US" w:eastAsia="zh-CN" w:bidi="ar-SA"/>
        </w:rPr>
        <w:t>，</w:t>
      </w:r>
      <w:r>
        <w:rPr>
          <w:rFonts w:hint="eastAsia" w:ascii="Times New Roman" w:hAnsi="Times New Roman" w:eastAsia="宋体" w:cs="Times New Roman"/>
          <w:kern w:val="0"/>
          <w:sz w:val="24"/>
          <w:szCs w:val="20"/>
          <w:highlight w:val="yellow"/>
          <w:lang w:val="en-US" w:eastAsia="zh-CN" w:bidi="ar-SA"/>
        </w:rPr>
        <w:t>结直肠癌死亡率的上升速度略快于发病率，除了考虑老龄患者占比上升的因素外，也提示需进一步加强结直肠癌的早期筛查工作，提高早诊率，从而延长患者的生存周期。</w:t>
      </w:r>
    </w:p>
    <w:p w14:paraId="7DAD2BA7">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基于GM（1,1）模型的预测结果显示，2024—2026年宿迁市结直肠癌发病率和死亡率将继续上升，防控压力可能进一步增大。近年来，在国家财政专项资金的支持下，宿迁市已开展包括结直肠癌在内的肿瘤综合筛查项目，并取得一定成效，但仍需持续加大防治力度。针对44岁及以下人群，应加强防癌知识宣传，倡导健康生活方式，控制吸烟、饮酒、高脂饮食、腌制食品摄入及缺乏运动等危险因素；针对45岁及以上人群，特别是男性，应在健康宣教基础上大力推进结直肠癌</w:t>
      </w:r>
      <w:r>
        <w:rPr>
          <w:rFonts w:hint="eastAsia" w:ascii="Times New Roman" w:hAnsi="Times New Roman" w:eastAsia="宋体" w:cs="Times New Roman"/>
          <w:kern w:val="0"/>
          <w:sz w:val="24"/>
          <w:szCs w:val="20"/>
          <w:highlight w:val="yellow"/>
          <w:lang w:val="en-US" w:eastAsia="zh-CN" w:bidi="ar-SA"/>
        </w:rPr>
        <w:t>早诊早治</w:t>
      </w:r>
      <w:r>
        <w:rPr>
          <w:rFonts w:hint="eastAsia" w:ascii="Times New Roman" w:hAnsi="Times New Roman" w:eastAsia="宋体" w:cs="Times New Roman"/>
          <w:kern w:val="0"/>
          <w:sz w:val="24"/>
          <w:szCs w:val="20"/>
          <w:lang w:val="en-US" w:eastAsia="zh-CN" w:bidi="ar-SA"/>
        </w:rPr>
        <w:t>，实现防控关口前移。</w:t>
      </w:r>
    </w:p>
    <w:p w14:paraId="68FC663B">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综上所述，宿迁市结直肠癌发病与死亡率呈显著上升趋势，防控形势日趋严峻。应在全面普及结直肠癌防治知识、推广健康生活行为的基础上，积极探索符合本地实际的筛查策略，推动高危人群早诊早治，并将45岁及以上人群作为重点防控对象。</w:t>
      </w:r>
    </w:p>
    <w:p w14:paraId="1181BA0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p>
    <w:p w14:paraId="4C1DED22">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第一作者：邱玉保，职务：无，职称：主管医师，工作单位：宿迁市疾病预防控制中心，地址：江苏省宿迁市宿城区人民大道8号，邮编：223800，邮箱：yubao_qiu@foxmail.com</w:t>
      </w:r>
    </w:p>
    <w:p w14:paraId="5E6A3FB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r>
        <w:rPr>
          <w:rFonts w:hint="eastAsia" w:ascii="Times New Roman" w:hAnsi="Times New Roman" w:eastAsia="宋体" w:cs="Times New Roman"/>
          <w:kern w:val="0"/>
          <w:sz w:val="24"/>
          <w:szCs w:val="20"/>
          <w:lang w:val="en-US" w:eastAsia="zh-CN" w:bidi="ar-SA"/>
        </w:rPr>
        <w:t>通讯作者：职务：慢性非传染病防制科科长，职称：研究员，工作单位：宿迁市疾病预防控制中心，地址：江苏省宿迁市宿城区人民大道8号，邮编：223800，邮箱：351120146@qq.com</w:t>
      </w:r>
    </w:p>
    <w:p w14:paraId="35B241FE">
      <w:pPr>
        <w:keepNext w:val="0"/>
        <w:keepLines w:val="0"/>
        <w:pageBreakBefore w:val="0"/>
        <w:widowControl/>
        <w:kinsoku/>
        <w:wordWrap/>
        <w:overflowPunct/>
        <w:topLinePunct w:val="0"/>
        <w:autoSpaceDE/>
        <w:autoSpaceDN/>
        <w:bidi w:val="0"/>
        <w:adjustRightInd w:val="0"/>
        <w:snapToGrid w:val="0"/>
        <w:spacing w:line="360" w:lineRule="auto"/>
        <w:ind w:firstLine="480" w:firstLineChars="200"/>
        <w:jc w:val="both"/>
        <w:textAlignment w:val="auto"/>
        <w:rPr>
          <w:rFonts w:hint="eastAsia" w:ascii="Times New Roman" w:hAnsi="Times New Roman" w:eastAsia="宋体" w:cs="Times New Roman"/>
          <w:kern w:val="0"/>
          <w:sz w:val="24"/>
          <w:szCs w:val="20"/>
          <w:lang w:val="en-US" w:eastAsia="zh-CN" w:bidi="ar-SA"/>
        </w:rPr>
      </w:pPr>
    </w:p>
    <w:p w14:paraId="12AE645C">
      <w:pPr>
        <w:keepNext w:val="0"/>
        <w:keepLines w:val="0"/>
        <w:pageBreakBefore w:val="0"/>
        <w:widowControl/>
        <w:kinsoku/>
        <w:wordWrap/>
        <w:overflowPunct/>
        <w:topLinePunct w:val="0"/>
        <w:autoSpaceDE/>
        <w:autoSpaceDN/>
        <w:bidi w:val="0"/>
        <w:adjustRightInd/>
        <w:snapToGrid/>
        <w:spacing w:line="360" w:lineRule="exact"/>
        <w:ind w:firstLine="482" w:firstLineChars="200"/>
        <w:jc w:val="both"/>
        <w:textAlignment w:val="auto"/>
        <w:rPr>
          <w:rFonts w:hint="default" w:ascii="Times New Roman" w:hAnsi="Times New Roman" w:eastAsia="宋体" w:cs="Times New Roman"/>
          <w:b/>
          <w:color w:val="000000"/>
          <w:kern w:val="2"/>
          <w:sz w:val="24"/>
          <w:szCs w:val="20"/>
          <w:highlight w:val="none"/>
          <w:lang w:val="en-US" w:eastAsia="zh-CN" w:bidi="ar-SA"/>
        </w:rPr>
      </w:pPr>
      <w:r>
        <w:rPr>
          <w:rFonts w:hint="eastAsia" w:ascii="Times New Roman" w:hAnsi="Times New Roman" w:eastAsia="宋体" w:cs="Times New Roman"/>
          <w:b/>
          <w:color w:val="000000"/>
          <w:kern w:val="2"/>
          <w:sz w:val="24"/>
          <w:szCs w:val="20"/>
          <w:highlight w:val="none"/>
          <w:lang w:val="en-US" w:eastAsia="zh-CN" w:bidi="ar-SA"/>
        </w:rPr>
        <w:t>参考文献：</w:t>
      </w:r>
    </w:p>
    <w:p w14:paraId="54F3DE79">
      <w:pPr>
        <w:numPr>
          <w:ilvl w:val="0"/>
          <w:numId w:val="0"/>
        </w:numPr>
        <w:jc w:val="both"/>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[1]</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左婷婷,王嘉琛,李天一,等.1990-2021年中国与全球结直肠癌疾病负担及变化趋势分析[J].中华肿瘤防治杂志,2025,32(18):1092-1098</w:t>
      </w: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w:t>
      </w:r>
    </w:p>
    <w:p w14:paraId="4B04E5A0">
      <w:pPr>
        <w:numPr>
          <w:ilvl w:val="0"/>
          <w:numId w:val="0"/>
        </w:numPr>
        <w:jc w:val="both"/>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ZUO T T, WANG J C, LI T Y, et al. Analysis of the disease burden and trend of colorectal cancer in China and globally from 1990 to 2021[J]. Chinese Journal of Cancer Prevention and Treatment, 2025, 32(18): 1092-1098.</w:t>
      </w:r>
    </w:p>
    <w:p w14:paraId="17DA1E7A">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[2]</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宁思明,孙宝,晋亚楠,等.1990—2021年中国结直肠癌疾病负担研究及2022—2041年变化趋势分析[J].现代肿瘤医学,2025,33(09):1579-1587.</w:t>
      </w:r>
    </w:p>
    <w:p w14:paraId="690AA1E3">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14:textFill>
            <w14:solidFill>
              <w14:schemeClr w14:val="tx1"/>
            </w14:solidFill>
          </w14:textFill>
        </w:rPr>
        <w:t>NING S M, SUN B, JIN Y N, et al. The disease burden of colon and rectum cancer in China from 1990 to 2021 and the predicted trends for 2022—2041[J]. Journal of Modern Oncology, 2025, 33(09): 1579-1587.</w:t>
      </w:r>
    </w:p>
    <w:p w14:paraId="19D70596">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[3]</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郑荣寿,陈茹,韩冰峰,等. 2022年中国恶性肿瘤流行情况分析[J].中华肿瘤杂志,2024,46(3):221-231.</w:t>
      </w:r>
    </w:p>
    <w:p w14:paraId="19681F1E">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14:textFill>
            <w14:solidFill>
              <w14:schemeClr w14:val="tx1"/>
            </w14:solidFill>
          </w14:textFill>
        </w:rPr>
        <w:t>ZHENG R S, CHEN R, HAN B F, et al. Cancer incidence and mortality in China, 2022[J]. Chinese Journal of Oncology, 2024, 46(3): 221-231</w:t>
      </w:r>
    </w:p>
    <w:p w14:paraId="52EB5CF1">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[4]</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罗鹏飞,俞浩,韩仁强,等.1990-2019年江苏省结直肠癌疾病负担与危险因素变化趋势研究[J].中国肿瘤,2022,31(12):967-974.</w:t>
      </w:r>
    </w:p>
    <w:p w14:paraId="79329F87">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14:textFill>
            <w14:solidFill>
              <w14:schemeClr w14:val="tx1"/>
            </w14:solidFill>
          </w14:textFill>
        </w:rPr>
        <w:t>LUO P F，YU H，HAN R Q，et al. Study of disease burden and</w:t>
      </w: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related risk factors of colorectal cancer in Jiangsu Province，1990—2019[J]. China Cancer，2022，31(12)：967-974.</w:t>
      </w:r>
    </w:p>
    <w:p w14:paraId="5D0F8BB4">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[5]</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国家癌症中心.中国肿瘤登记工作指导手册(2016)[M].北京：人民卫生出版社，2016：16-142</w:t>
      </w:r>
    </w:p>
    <w:p w14:paraId="59240214">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14:textFill>
            <w14:solidFill>
              <w14:schemeClr w14:val="tx1"/>
            </w14:solidFill>
          </w14:textFill>
        </w:rPr>
        <w:t>National Cancer Center. Guideline for Chinese cancer registration (2016)[M]. Beijing： People’s Medical Publishing</w:t>
      </w: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House，2016：16-142.</w:t>
      </w:r>
    </w:p>
    <w:p w14:paraId="6C44F974">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[6]</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沈欢,缪丹丹,孙中明,等.2013—2021年江苏省淮安市胃癌发病和死亡趋势分析及预测[J/OL].中国肿瘤外科杂志,1-7[2025-10-29].https://link.cnki.net/urlid/32.1795.R.20250722.0942.012.</w:t>
      </w:r>
    </w:p>
    <w:p w14:paraId="7DF68414">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SHEN H, MIAO D D, SUN Z M, et al. Trend Analysis of Gastric Cancer Incidence and Mortality in Huaian City, Jiangsu Province, from 2013 to 2021 and Prediction[J/OL]. Chinese Journal of Surgical Oncology, 1-7 [2025-10-29]. https://link.cnki.net/urlid/32.1795.R.20250722.0942.012.</w:t>
      </w:r>
    </w:p>
    <w:p w14:paraId="5790EE19">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[7]</w:t>
      </w: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付英斌,魏双翼,廖佳,等.2014-2021年深圳市户籍居民结直肠癌死亡变化情况分析及预测研究[J].实用肿瘤杂志,2023,38(02):122-126.</w:t>
      </w:r>
    </w:p>
    <w:p w14:paraId="4B24614F">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FU Y B, WEI S Y, LIAO J, et al. Analysis and prediction of colorectal cancer death among registered residents in Shenzhen from 2014 to 2021[J]. Journal of Practical Oncology, 2023, 38(02): 122-126.</w:t>
      </w:r>
    </w:p>
    <w:p w14:paraId="43338E3D">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[8]</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寻鲁宁，王冲，沈成凤，等. 1990—2019年中国结直肠癌发病趋势分析及预测模型比较 [J]. 中国肿瘤，2023，32(4)：279-286.</w:t>
      </w:r>
    </w:p>
    <w:p w14:paraId="4BCFEB39">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14:textFill>
            <w14:solidFill>
              <w14:schemeClr w14:val="tx1"/>
            </w14:solidFill>
          </w14:textFill>
        </w:rPr>
        <w:t>XUN L N，WANG C，SHEN C F，et al. Prediction of colorectal cancer incidence in China with three different models based on trends from 1990 to 2019[J]. China Cancer，2023，32(4)：279-286.</w:t>
      </w:r>
    </w:p>
    <w:p w14:paraId="17157263">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[9]韩仁强，缪伟刚，俞浩，等. 2020年江苏省恶性肿瘤发病和死亡现状分析[J].江苏预防医学，2024，35(5)：568-574.</w:t>
      </w:r>
    </w:p>
    <w:p w14:paraId="652193CF">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HAN R Q，MIAO W G，YU H，et al. Incidence and mortality analysis of cancers in Jiangsu Province in 2020 [J].Jiangsu Journal of Preventive Medicine，2024，35(5)：568-574.</w:t>
      </w:r>
    </w:p>
    <w:p w14:paraId="059F1B46">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[10]</w:t>
      </w: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李玉荣,王冬飞,高媛媛,等.2010—2024年萧山区结直肠癌发病趋势分析[J].预防医学,2025,37(09):927-931+936.</w:t>
      </w:r>
    </w:p>
    <w:p w14:paraId="7A3E5DD2">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LI Y R, WANG D F, GAO Y Y, et al. Trend in incidence of colorectal cancer in Xiaoshan District from 2010 to 2024[J]. China Preventive Medicine Journal, 2025, 37(09): 927-931+936.</w:t>
      </w:r>
    </w:p>
    <w:p w14:paraId="6FC78FEB">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[11]</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丁璐璐,陈建国,张永辉,等.1972—2021年江苏省启东市结直肠癌发病流行趋势分析[J].中国肿瘤,2024,33(06):445-450.</w:t>
      </w:r>
    </w:p>
    <w:p w14:paraId="63611625">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14:textFill>
            <w14:solidFill>
              <w14:schemeClr w14:val="tx1"/>
            </w14:solidFill>
          </w14:textFill>
        </w:rPr>
        <w:t>DING L L，CHEN J G，ZHANG Y H，et al. Trends of colorectal cancer incidence in Qidong City of Jiangsu Province</w:t>
      </w: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from 1972 to 2021[J]. China Cancer，2024，33(6)：445-450.</w:t>
      </w:r>
    </w:p>
    <w:p w14:paraId="2B33827E">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[12]</w:t>
      </w: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秦敏晔,王晓飞,邱晶,等.2008—2020年江苏省张家港市结肠癌发病趋势及发病年龄变化特征分析[J].中国慢性病预防与控制,2025,33(02):98-103.</w:t>
      </w:r>
    </w:p>
    <w:p w14:paraId="6DEE0391">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QIN M Y, WANG X F, QIU J, et al. Characteristics of colon cancer incidence trend and change in onset age in Zhangjiagang city of Jiangsu Province from 2008 to 2020[J]. Chinese Journal of Prevention and Control of Chronic Diseases, 2025, 33(02): 98-103.</w:t>
      </w:r>
    </w:p>
    <w:p w14:paraId="336F318A">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[13]</w:t>
      </w:r>
      <w:r>
        <w:rPr>
          <w:rFonts w:hint="default" w:ascii="Times New Roman" w:hAnsi="Times New Roman" w:eastAsia="方正仿宋_GBK" w:cs="Times New Roman"/>
          <w:color w:val="000000" w:themeColor="text1"/>
          <w:sz w:val="21"/>
          <w:szCs w:val="21"/>
          <w:highlight w:val="none"/>
          <w14:textFill>
            <w14:solidFill>
              <w14:schemeClr w14:val="tx1"/>
            </w14:solidFill>
          </w14:textFill>
        </w:rPr>
        <w:t>马昭君,董建梅,柴莉莉,等.2008—2020年江苏省连云港市结直肠癌发病趋势及年龄变化特征分析[J].肿瘤学杂志,2025,31(08):689-696.</w:t>
      </w:r>
    </w:p>
    <w:p w14:paraId="74321FB9">
      <w:pPr>
        <w:numPr>
          <w:ilvl w:val="0"/>
          <w:numId w:val="0"/>
        </w:numPr>
        <w:jc w:val="both"/>
        <w:rPr>
          <w:rFonts w:hint="default" w:ascii="Times New Roman" w:hAnsi="Times New Roman" w:eastAsia="方正仿宋_GBK" w:cs="Times New Roman"/>
          <w:color w:val="000000" w:themeColor="text1"/>
          <w:sz w:val="21"/>
          <w:szCs w:val="21"/>
          <w:highlight w:val="none"/>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14:textFill>
            <w14:solidFill>
              <w14:schemeClr w14:val="tx1"/>
            </w14:solidFill>
          </w14:textFill>
        </w:rPr>
        <w:t>MA Z J, DONG J M, CHAI L L, et al. Trends of Incidence and Age at Onset of Colorectal Cancer in Lianyungang City, Jiangsu Province from 2008 to 2020[J]. Journal of Chinese Oncology, 2025, 31(08): 689-696.</w:t>
      </w:r>
    </w:p>
    <w:p w14:paraId="6755E908">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[14]</w:t>
      </w: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李晓娜,张婕,王德征.2003—2021年天津市北辰区结直肠癌死亡率及疾病负担趋势分析[J].中国慢性病预防与控制,2024,32(12):905-909.</w:t>
      </w:r>
    </w:p>
    <w:p w14:paraId="67EE06D5">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LI X N, ZHANG J, WANG D Z. Analysis on trend of mortality and disease burden for colorectal cancer from 2003 to 2021 in Beichen district of Tianjin[J]. Chinese Journal of Prevention and Control of Chronic Diseases, 2024, 32(12): 905-909.</w:t>
      </w:r>
    </w:p>
    <w:p w14:paraId="44937C14">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[15]</w:t>
      </w: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练佳韦,刘颖春,余红平.结直肠癌的全球流行情况、危险因素及归因疾病负担研究进展[J].中国癌症防治杂志,2024,16(01):1-9.</w:t>
      </w:r>
    </w:p>
    <w:p w14:paraId="01E39F41">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LIAN J W, LIU Y C, YU H P. Colorectal cancer: global epidemiology, risk factors and advances in attributed disease burden[J]. Chinese Journal of Oncology Prevention and Treatment, 2024, 16(01): 1-9.</w:t>
      </w:r>
    </w:p>
    <w:p w14:paraId="5DB0339F">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[16]</w:t>
      </w: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庄峰,姜帆,李丽丽,等.山东省肿瘤登记地区2019年结直肠癌发病和死亡情况与2015-2019年变化趋势分析[J].中华肿瘤防治杂志,2025,32(01):18-27.</w:t>
      </w:r>
    </w:p>
    <w:p w14:paraId="279CCE05">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ZHUANG F, JIANG F, LI L L, et al. Colorectal cancer incidence and mortality in Shandong Province in 2019 and trend analysis from 2015 to 2019[J]. Chinese Journal of Cancer Prevention and Treatment, 2025, 32(01): 18-27.</w:t>
      </w:r>
    </w:p>
    <w:p w14:paraId="10762389">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[17]董学思,罗姿麟,雷林,等.男性结直肠癌超额发病风险中已知危险因素的解释效果分析[J].中国肿瘤,2021,30(12):901-904.</w:t>
      </w:r>
    </w:p>
    <w:p w14:paraId="2F638083">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DONG X S，LUO Z L，LEI L，et al. Explanatory effects of</w:t>
      </w: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known risk factors in excess incidence risk of colorectal</w:t>
      </w: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 xml:space="preserve"> </w:t>
      </w: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cancer in men[J]. China Cancer，2021，30(12)：901-904.</w:t>
      </w:r>
    </w:p>
    <w:p w14:paraId="5F8ED83A">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[18]</w:t>
      </w: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陈红雨，秦明芳，杨永芳，等．云南省成年居民慢性病危险因素流行情况及聚类特征分析［J］．中国慢性病预防与控制，2022，30( 11) : 806－810．</w:t>
      </w:r>
    </w:p>
    <w:p w14:paraId="32558DC6">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CHEN H Y, QIN M F, YANG Y F, et al. Analysis of the prevalence and clustering characteristics of risk factors for chronic disease among adults in Yunnan Province[J]. Chinese Journal of Prevention and Control of Chronic Diseases, 2022, 30(11): 806-810.</w:t>
      </w:r>
    </w:p>
    <w:p w14:paraId="606CCD35">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w:t>
      </w: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19</w:t>
      </w: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 xml:space="preserve">]Rodríguez-Santiago Y, Garay-Canales CA, Nava-Castro KE, Morales-Montor J. Sexual dimorphism in colorectal cancer: molecular mechanisms and treatment strategies. Biol Sex Differ. 2024 Jun 12;15(1):48. </w:t>
      </w:r>
    </w:p>
    <w:p w14:paraId="46973818">
      <w:pPr>
        <w:numPr>
          <w:ilvl w:val="0"/>
          <w:numId w:val="0"/>
        </w:numPr>
        <w:jc w:val="both"/>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[20]付宏晨,成会荣,唐娴,等.2020年云南省肿瘤登记地区结直肠癌发病和死亡情况及2012—2020年趋势分析[J].实用肿瘤学杂志,2025,39(04):288-293.</w:t>
      </w:r>
    </w:p>
    <w:p w14:paraId="0CFB7750">
      <w:pPr>
        <w:numPr>
          <w:ilvl w:val="0"/>
          <w:numId w:val="0"/>
        </w:numPr>
        <w:jc w:val="both"/>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FU H C, CHENG H R, TANG X, et al. Analysis for the incidence and mortality of colorectal cancer in cancer registration areas of Yunnan Province in 2020, and the trend from 2012 to 2020[J]. Practical Oncology Journal, 2025, 39(04): 288-293.</w:t>
      </w:r>
    </w:p>
    <w:p w14:paraId="377E4ABA">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[21]</w:t>
      </w: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卫佳慧,赵优冬,张桓伟,等.结直肠癌非遗传危险因素研究进展.海军军医大学学报,2025,46(1):32-39.14.</w:t>
      </w:r>
    </w:p>
    <w:p w14:paraId="76106182">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t>WEI J H, ZHAO Y D, ZHANG H W, et al. Non-genetic risk factors of colorectal cancer: research progress[J]. Academic Journal of Naval Medical University, 2025, 46(1): 32-39.</w:t>
      </w:r>
    </w:p>
    <w:p w14:paraId="40B73B3B">
      <w:pPr>
        <w:numPr>
          <w:ilvl w:val="0"/>
          <w:numId w:val="0"/>
        </w:numPr>
        <w:jc w:val="both"/>
        <w:rPr>
          <w:rFonts w:hint="default"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方正仿宋_GBK" w:cs="Times New Roman"/>
          <w:color w:val="000000" w:themeColor="text1"/>
          <w:kern w:val="0"/>
          <w:sz w:val="21"/>
          <w:szCs w:val="21"/>
          <w:highlight w:val="none"/>
          <w:lang w:val="en-US" w:eastAsia="zh-CN" w:bidi="ar"/>
          <w14:textFill>
            <w14:solidFill>
              <w14:schemeClr w14:val="tx1"/>
            </w14:solidFill>
          </w14:textFill>
        </w:rPr>
        <w:t>[22]</w:t>
      </w: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马学莹,李娜,赵航,等.1990年和2021年中国结直肠癌发病和死亡分析及其危险因素研究.实用肿瘤杂志,2025,40(2):114-119.</w:t>
      </w:r>
    </w:p>
    <w:p w14:paraId="67809B89">
      <w:pPr>
        <w:numPr>
          <w:ilvl w:val="0"/>
          <w:numId w:val="0"/>
        </w:numPr>
        <w:jc w:val="both"/>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MA X Y, LI N, ZHAO H, et al. Analysis of incidence and mortality of colorectal cancer in China in 1990 and 2021 and its risk factors[J]. Journal of Practical Oncology, 2025, 40(2): 114-119.</w:t>
      </w:r>
    </w:p>
    <w:p w14:paraId="59EC94C1">
      <w:pPr>
        <w:numPr>
          <w:ilvl w:val="0"/>
          <w:numId w:val="0"/>
        </w:numPr>
        <w:jc w:val="both"/>
        <w:rPr>
          <w:rFonts w:hint="eastAsia" w:ascii="Times New Roman" w:hAnsi="Times New Roman" w:eastAsia="方正仿宋_GBK" w:cs="Times New Roman"/>
          <w:color w:val="000000" w:themeColor="text1"/>
          <w:sz w:val="21"/>
          <w:szCs w:val="21"/>
          <w:highlight w:val="none"/>
          <w14:textFill>
            <w14:solidFill>
              <w14:schemeClr w14:val="tx1"/>
            </w14:solidFill>
          </w14:textFill>
        </w:rPr>
      </w:pP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[23]</w:t>
      </w:r>
      <w:r>
        <w:rPr>
          <w:rFonts w:hint="eastAsia" w:ascii="Times New Roman" w:hAnsi="Times New Roman" w:eastAsia="方正仿宋_GBK" w:cs="Times New Roman"/>
          <w:color w:val="000000" w:themeColor="text1"/>
          <w:sz w:val="21"/>
          <w:szCs w:val="21"/>
          <w:highlight w:val="none"/>
          <w14:textFill>
            <w14:solidFill>
              <w14:schemeClr w14:val="tx1"/>
            </w14:solidFill>
          </w14:textFill>
        </w:rPr>
        <w:t>夏昌发，陈万青.中国恶性肿瘤负担归因于人口老龄化的比例及趋势分析［J］.中华肿瘤杂志，2022，44（1）：79-85.</w:t>
      </w:r>
    </w:p>
    <w:p w14:paraId="329EA4BE">
      <w:pPr>
        <w:numPr>
          <w:ilvl w:val="0"/>
          <w:numId w:val="0"/>
        </w:numPr>
        <w:jc w:val="both"/>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方正仿宋_GBK" w:cs="Times New Roman"/>
          <w:color w:val="000000" w:themeColor="text1"/>
          <w:sz w:val="21"/>
          <w:szCs w:val="21"/>
          <w:highlight w:val="none"/>
          <w:lang w:val="en-US" w:eastAsia="zh-CN"/>
          <w14:textFill>
            <w14:solidFill>
              <w14:schemeClr w14:val="tx1"/>
            </w14:solidFill>
          </w14:textFill>
        </w:rPr>
        <w:t>XIA C F，CHEN W Q. Fractions and trends of cancer burden attributable to population ageing in China[J]. Chinese Journal of Oncology，2022，44(1)：79-85.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23DF2630-7DBC-4FE2-A7D7-5FAB4558EA8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ZHJC4o-12">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楷体">
    <w:panose1 w:val="02010609060101010101"/>
    <w:charset w:val="86"/>
    <w:family w:val="auto"/>
    <w:pitch w:val="default"/>
    <w:sig w:usb0="800002BF" w:usb1="38CF7CFA" w:usb2="00000016" w:usb3="00000000" w:csb0="00040001" w:csb1="00000000"/>
    <w:embedRegular r:id="rId2" w:fontKey="{F1925938-1158-477C-805F-D37B68E0508E}"/>
  </w:font>
  <w:font w:name="方正黑体_GBK">
    <w:panose1 w:val="03000509000000000000"/>
    <w:charset w:val="86"/>
    <w:family w:val="auto"/>
    <w:pitch w:val="default"/>
    <w:sig w:usb0="00000001" w:usb1="080E0000" w:usb2="00000000" w:usb3="00000000" w:csb0="00040000" w:csb1="00000000"/>
    <w:embedRegular r:id="rId3" w:fontKey="{9545BBAE-3A6D-425D-82C0-BA34DBB2B1C3}"/>
  </w:font>
  <w:font w:name="方正仿宋_GBK">
    <w:panose1 w:val="03000509000000000000"/>
    <w:charset w:val="86"/>
    <w:family w:val="auto"/>
    <w:pitch w:val="default"/>
    <w:sig w:usb0="00000001" w:usb1="080E0000" w:usb2="00000000" w:usb3="00000000" w:csb0="00040000" w:csb1="00000000"/>
    <w:embedRegular r:id="rId4" w:fontKey="{D77DDAC5-BB33-4D9F-A95D-EA9714CBE3FA}"/>
  </w:font>
  <w:font w:name="ZHWQmG-22">
    <w:altName w:val="ESRI AMFM Electric"/>
    <w:panose1 w:val="00000000000000000000"/>
    <w:charset w:val="00"/>
    <w:family w:val="auto"/>
    <w:pitch w:val="default"/>
    <w:sig w:usb0="00000000" w:usb1="00000000" w:usb2="00000000" w:usb3="00000000" w:csb0="00000000" w:csb1="00000000"/>
  </w:font>
  <w:font w:name="ZHWQmG-21">
    <w:altName w:val="ESRI AMFM Electric"/>
    <w:panose1 w:val="00000000000000000000"/>
    <w:charset w:val="00"/>
    <w:family w:val="auto"/>
    <w:pitch w:val="default"/>
    <w:sig w:usb0="00000000" w:usb1="00000000" w:usb2="00000000" w:usb3="00000000" w:csb0="00000000" w:csb1="00000000"/>
  </w:font>
  <w:font w:name="ESRI AMFM Electric">
    <w:panose1 w:val="02000400000000000000"/>
    <w:charset w:val="00"/>
    <w:family w:val="auto"/>
    <w:pitch w:val="default"/>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A249AA"/>
    <w:rsid w:val="02032F7E"/>
    <w:rsid w:val="07084ABC"/>
    <w:rsid w:val="087B5F6E"/>
    <w:rsid w:val="091A4380"/>
    <w:rsid w:val="09741732"/>
    <w:rsid w:val="09BD59C8"/>
    <w:rsid w:val="09F1658C"/>
    <w:rsid w:val="0B9D6080"/>
    <w:rsid w:val="0D117448"/>
    <w:rsid w:val="0DD95C10"/>
    <w:rsid w:val="0EAC3FC4"/>
    <w:rsid w:val="0EE461C2"/>
    <w:rsid w:val="0F5A4B2F"/>
    <w:rsid w:val="15285ED7"/>
    <w:rsid w:val="16B33ED8"/>
    <w:rsid w:val="17835182"/>
    <w:rsid w:val="17950030"/>
    <w:rsid w:val="18DB3408"/>
    <w:rsid w:val="1BEE3C6A"/>
    <w:rsid w:val="1D273471"/>
    <w:rsid w:val="1F024CF0"/>
    <w:rsid w:val="1F474A0A"/>
    <w:rsid w:val="202C7D88"/>
    <w:rsid w:val="21595FC5"/>
    <w:rsid w:val="216E5F4F"/>
    <w:rsid w:val="220B35B7"/>
    <w:rsid w:val="2250024F"/>
    <w:rsid w:val="22C2583A"/>
    <w:rsid w:val="23CD191B"/>
    <w:rsid w:val="25646D54"/>
    <w:rsid w:val="25C970A1"/>
    <w:rsid w:val="2DEB18CF"/>
    <w:rsid w:val="306663EC"/>
    <w:rsid w:val="310201A3"/>
    <w:rsid w:val="31FD5791"/>
    <w:rsid w:val="330634DA"/>
    <w:rsid w:val="345C697D"/>
    <w:rsid w:val="367902F7"/>
    <w:rsid w:val="370100F0"/>
    <w:rsid w:val="3A3F654C"/>
    <w:rsid w:val="3A766838"/>
    <w:rsid w:val="3B375F3D"/>
    <w:rsid w:val="3C717C91"/>
    <w:rsid w:val="3CEB5E12"/>
    <w:rsid w:val="3DF33A4F"/>
    <w:rsid w:val="43057CEC"/>
    <w:rsid w:val="499C5B93"/>
    <w:rsid w:val="4AEB051F"/>
    <w:rsid w:val="4B6E1EA4"/>
    <w:rsid w:val="539E0D4B"/>
    <w:rsid w:val="53B93E24"/>
    <w:rsid w:val="54BC7EF3"/>
    <w:rsid w:val="55BB7BC2"/>
    <w:rsid w:val="5A6F0209"/>
    <w:rsid w:val="5BDE576D"/>
    <w:rsid w:val="5F176F5E"/>
    <w:rsid w:val="5F823EE6"/>
    <w:rsid w:val="5FEE4DD6"/>
    <w:rsid w:val="604104BE"/>
    <w:rsid w:val="61434079"/>
    <w:rsid w:val="618F05F8"/>
    <w:rsid w:val="63E37D56"/>
    <w:rsid w:val="64DD1060"/>
    <w:rsid w:val="65E843DA"/>
    <w:rsid w:val="6928507D"/>
    <w:rsid w:val="692A0F15"/>
    <w:rsid w:val="6ACB03C0"/>
    <w:rsid w:val="6C8079E3"/>
    <w:rsid w:val="6C8920AD"/>
    <w:rsid w:val="6EDB627B"/>
    <w:rsid w:val="6EEE3AC1"/>
    <w:rsid w:val="6FFF3EB6"/>
    <w:rsid w:val="789563F6"/>
    <w:rsid w:val="78AE456F"/>
    <w:rsid w:val="78DC2674"/>
    <w:rsid w:val="7B7444C0"/>
    <w:rsid w:val="7C95557C"/>
    <w:rsid w:val="7CA44918"/>
    <w:rsid w:val="7DFC32FA"/>
    <w:rsid w:val="7E6629BE"/>
    <w:rsid w:val="7EFD153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jc w:val="left"/>
    </w:pPr>
    <w:rPr>
      <w:rFonts w:asciiTheme="minorHAnsi" w:hAnsiTheme="minorHAnsi" w:eastAsiaTheme="minorEastAsia" w:cstheme="minorBidi"/>
      <w:kern w:val="0"/>
      <w:sz w:val="24"/>
      <w:szCs w:val="24"/>
      <w:lang w:val="en-US" w:eastAsia="zh-CN" w:bidi="ar"/>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character" w:styleId="4">
    <w:name w:val="Hyperlink"/>
    <w:basedOn w:val="3"/>
    <w:semiHidden/>
    <w:unhideWhenUsed/>
    <w:qFormat/>
    <w:uiPriority w:val="99"/>
    <w:rPr>
      <w:color w:val="0000FF"/>
      <w:u w:val="single"/>
    </w:rPr>
  </w:style>
  <w:style w:type="character" w:customStyle="1" w:styleId="5">
    <w:name w:val="font41"/>
    <w:basedOn w:val="3"/>
    <w:qFormat/>
    <w:uiPriority w:val="0"/>
    <w:rPr>
      <w:rFonts w:hint="eastAsia" w:ascii="宋体" w:hAnsi="宋体" w:eastAsia="宋体" w:cs="宋体"/>
      <w:color w:val="231F20"/>
      <w:sz w:val="18"/>
      <w:szCs w:val="18"/>
      <w:u w:val="none"/>
    </w:rPr>
  </w:style>
  <w:style w:type="character" w:customStyle="1" w:styleId="6">
    <w:name w:val="font31"/>
    <w:basedOn w:val="3"/>
    <w:qFormat/>
    <w:uiPriority w:val="0"/>
    <w:rPr>
      <w:rFonts w:hint="default" w:ascii="ZHJC4o-12" w:hAnsi="ZHJC4o-12" w:eastAsia="ZHJC4o-12" w:cs="ZHJC4o-12"/>
      <w:color w:val="231F20"/>
      <w:sz w:val="18"/>
      <w:szCs w:val="18"/>
      <w:u w: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chart" Target="charts/chart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4" Type="http://schemas.microsoft.com/office/2011/relationships/chartColorStyle" Target="colors1.xml"/><Relationship Id="rId3" Type="http://schemas.microsoft.com/office/2011/relationships/chartStyle" Target="style1.xml"/><Relationship Id="rId2" Type="http://schemas.openxmlformats.org/officeDocument/2006/relationships/themeOverride" Target="../theme/themeOverride1.xml"/><Relationship Id="rId1" Type="http://schemas.openxmlformats.org/officeDocument/2006/relationships/oleObject" Target="file:///C:\Users\&#32852;&#24819;\Desktop\&#32959;&#30244;&#36235;&#21183;9.26\&#32467;&#30452;&#32928;&#30284;&#25968;&#25454;&#20998;&#2651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0.0932915813561363"/>
          <c:y val="0.0312641594925238"/>
          <c:w val="0.81389859087077"/>
          <c:h val="0.76425011327594"/>
        </c:manualLayout>
      </c:layout>
      <c:barChart>
        <c:barDir val="col"/>
        <c:grouping val="clustered"/>
        <c:varyColors val="0"/>
        <c:ser>
          <c:idx val="0"/>
          <c:order val="0"/>
          <c:tx>
            <c:strRef>
              <c:f>[结直肠癌数据分析.xlsx]Sheet1!$B$23</c:f>
              <c:strCache>
                <c:ptCount val="1"/>
                <c:pt idx="0">
                  <c:v>Incident Cases</c:v>
                </c:pt>
              </c:strCache>
            </c:strRef>
          </c:tx>
          <c:spPr>
            <a:pattFill prst="pct5">
              <a:fgClr>
                <a:sysClr val="windowText" lastClr="000000">
                  <a:lumMod val="95000"/>
                  <a:lumOff val="5000"/>
                </a:sysClr>
              </a:fgClr>
              <a:bgClr>
                <a:sysClr val="window" lastClr="FFFFFF"/>
              </a:bgClr>
            </a:pattFill>
            <a:ln w="3175" cmpd="sng">
              <a:solidFill>
                <a:sysClr val="windowText" lastClr="000000">
                  <a:lumMod val="95000"/>
                  <a:lumOff val="5000"/>
                </a:sysClr>
              </a:solidFill>
              <a:prstDash val="solid"/>
            </a:ln>
            <a:effectLst/>
            <a:sp3d contourW="3175"/>
          </c:spPr>
          <c:invertIfNegative val="0"/>
          <c:dLbls>
            <c:delete val="1"/>
          </c:dLbls>
          <c:cat>
            <c:strRef>
              <c:f>[结直肠癌数据分析.xlsx]Sheet1!$C$22:$U$22</c:f>
              <c:strCache>
                <c:ptCount val="19"/>
                <c:pt idx="0" c:formatCode="@">
                  <c:v>0</c:v>
                </c:pt>
                <c:pt idx="1" c:formatCode="@">
                  <c:v>1-4</c:v>
                </c:pt>
                <c:pt idx="2" c:formatCode="@">
                  <c:v>5-9</c:v>
                </c:pt>
                <c:pt idx="3" c:formatCode="@">
                  <c:v>10-14</c:v>
                </c:pt>
                <c:pt idx="4" c:formatCode="@">
                  <c:v>15-19</c:v>
                </c:pt>
                <c:pt idx="5" c:formatCode="@">
                  <c:v>20-24</c:v>
                </c:pt>
                <c:pt idx="6" c:formatCode="@">
                  <c:v>25-29</c:v>
                </c:pt>
                <c:pt idx="7" c:formatCode="@">
                  <c:v>30-34</c:v>
                </c:pt>
                <c:pt idx="8" c:formatCode="@">
                  <c:v>35-39</c:v>
                </c:pt>
                <c:pt idx="9" c:formatCode="@">
                  <c:v>40-44</c:v>
                </c:pt>
                <c:pt idx="10" c:formatCode="@">
                  <c:v>45-49</c:v>
                </c:pt>
                <c:pt idx="11" c:formatCode="@">
                  <c:v>50-54</c:v>
                </c:pt>
                <c:pt idx="12" c:formatCode="@">
                  <c:v>55-59</c:v>
                </c:pt>
                <c:pt idx="13" c:formatCode="@">
                  <c:v>60-64</c:v>
                </c:pt>
                <c:pt idx="14" c:formatCode="@">
                  <c:v>65-69</c:v>
                </c:pt>
                <c:pt idx="15" c:formatCode="@">
                  <c:v>70-74</c:v>
                </c:pt>
                <c:pt idx="16" c:formatCode="@">
                  <c:v>75-79</c:v>
                </c:pt>
                <c:pt idx="17" c:formatCode="@">
                  <c:v>80-84</c:v>
                </c:pt>
                <c:pt idx="18" c:formatCode="@">
                  <c:v>85+</c:v>
                </c:pt>
              </c:strCache>
            </c:strRef>
          </c:cat>
          <c:val>
            <c:numRef>
              <c:f>[结直肠癌数据分析.xlsx]Sheet1!$C$23:$U$23</c:f>
              <c:numCache>
                <c:formatCode>General</c:formatCode>
                <c:ptCount val="19"/>
                <c:pt idx="0">
                  <c:v>0</c:v>
                </c:pt>
                <c:pt idx="1">
                  <c:v>1</c:v>
                </c:pt>
                <c:pt idx="2">
                  <c:v>0</c:v>
                </c:pt>
                <c:pt idx="3">
                  <c:v>1</c:v>
                </c:pt>
                <c:pt idx="4">
                  <c:v>8</c:v>
                </c:pt>
                <c:pt idx="5">
                  <c:v>15</c:v>
                </c:pt>
                <c:pt idx="6">
                  <c:v>39</c:v>
                </c:pt>
                <c:pt idx="7">
                  <c:v>92</c:v>
                </c:pt>
                <c:pt idx="8">
                  <c:v>90</c:v>
                </c:pt>
                <c:pt idx="9">
                  <c:v>154</c:v>
                </c:pt>
                <c:pt idx="10">
                  <c:v>342</c:v>
                </c:pt>
                <c:pt idx="11">
                  <c:v>568</c:v>
                </c:pt>
                <c:pt idx="12">
                  <c:v>753</c:v>
                </c:pt>
                <c:pt idx="13">
                  <c:v>782</c:v>
                </c:pt>
                <c:pt idx="14">
                  <c:v>1053</c:v>
                </c:pt>
                <c:pt idx="15">
                  <c:v>834</c:v>
                </c:pt>
                <c:pt idx="16">
                  <c:v>927</c:v>
                </c:pt>
                <c:pt idx="17">
                  <c:v>664</c:v>
                </c:pt>
                <c:pt idx="18">
                  <c:v>421</c:v>
                </c:pt>
              </c:numCache>
            </c:numRef>
          </c:val>
        </c:ser>
        <c:ser>
          <c:idx val="1"/>
          <c:order val="1"/>
          <c:tx>
            <c:strRef>
              <c:f>[结直肠癌数据分析.xlsx]Sheet1!$B$24</c:f>
              <c:strCache>
                <c:ptCount val="1"/>
                <c:pt idx="0">
                  <c:v>Death Cases</c:v>
                </c:pt>
              </c:strCache>
            </c:strRef>
          </c:tx>
          <c:spPr>
            <a:pattFill prst="pct30">
              <a:fgClr>
                <a:sysClr val="window" lastClr="FFFFFF">
                  <a:lumMod val="50000"/>
                </a:sysClr>
              </a:fgClr>
              <a:bgClr>
                <a:sysClr val="window" lastClr="FFFFFF"/>
              </a:bgClr>
            </a:pattFill>
            <a:ln w="6350" cmpd="sng">
              <a:solidFill>
                <a:sysClr val="window" lastClr="FFFFFF">
                  <a:lumMod val="50000"/>
                </a:sysClr>
              </a:solidFill>
              <a:prstDash val="solid"/>
            </a:ln>
            <a:effectLst/>
            <a:sp3d contourW="6350"/>
          </c:spPr>
          <c:invertIfNegative val="0"/>
          <c:dPt>
            <c:idx val="16"/>
            <c:invertIfNegative val="0"/>
            <c:bubble3D val="0"/>
          </c:dPt>
          <c:dLbls>
            <c:delete val="1"/>
          </c:dLbls>
          <c:cat>
            <c:strRef>
              <c:f>[结直肠癌数据分析.xlsx]Sheet1!$C$22:$U$22</c:f>
              <c:strCache>
                <c:ptCount val="19"/>
                <c:pt idx="0" c:formatCode="@">
                  <c:v>0</c:v>
                </c:pt>
                <c:pt idx="1" c:formatCode="@">
                  <c:v>1-4</c:v>
                </c:pt>
                <c:pt idx="2" c:formatCode="@">
                  <c:v>5-9</c:v>
                </c:pt>
                <c:pt idx="3" c:formatCode="@">
                  <c:v>10-14</c:v>
                </c:pt>
                <c:pt idx="4" c:formatCode="@">
                  <c:v>15-19</c:v>
                </c:pt>
                <c:pt idx="5" c:formatCode="@">
                  <c:v>20-24</c:v>
                </c:pt>
                <c:pt idx="6" c:formatCode="@">
                  <c:v>25-29</c:v>
                </c:pt>
                <c:pt idx="7" c:formatCode="@">
                  <c:v>30-34</c:v>
                </c:pt>
                <c:pt idx="8" c:formatCode="@">
                  <c:v>35-39</c:v>
                </c:pt>
                <c:pt idx="9" c:formatCode="@">
                  <c:v>40-44</c:v>
                </c:pt>
                <c:pt idx="10" c:formatCode="@">
                  <c:v>45-49</c:v>
                </c:pt>
                <c:pt idx="11" c:formatCode="@">
                  <c:v>50-54</c:v>
                </c:pt>
                <c:pt idx="12" c:formatCode="@">
                  <c:v>55-59</c:v>
                </c:pt>
                <c:pt idx="13" c:formatCode="@">
                  <c:v>60-64</c:v>
                </c:pt>
                <c:pt idx="14" c:formatCode="@">
                  <c:v>65-69</c:v>
                </c:pt>
                <c:pt idx="15" c:formatCode="@">
                  <c:v>70-74</c:v>
                </c:pt>
                <c:pt idx="16" c:formatCode="@">
                  <c:v>75-79</c:v>
                </c:pt>
                <c:pt idx="17" c:formatCode="@">
                  <c:v>80-84</c:v>
                </c:pt>
                <c:pt idx="18" c:formatCode="@">
                  <c:v>85+</c:v>
                </c:pt>
              </c:strCache>
            </c:strRef>
          </c:cat>
          <c:val>
            <c:numRef>
              <c:f>[结直肠癌数据分析.xlsx]Sheet1!$C$24:$U$24</c:f>
              <c:numCache>
                <c:formatCode>General</c:formatCode>
                <c:ptCount val="19"/>
                <c:pt idx="0">
                  <c:v>0</c:v>
                </c:pt>
                <c:pt idx="1">
                  <c:v>0</c:v>
                </c:pt>
                <c:pt idx="2">
                  <c:v>0</c:v>
                </c:pt>
                <c:pt idx="3">
                  <c:v>1</c:v>
                </c:pt>
                <c:pt idx="4">
                  <c:v>5</c:v>
                </c:pt>
                <c:pt idx="5">
                  <c:v>3</c:v>
                </c:pt>
                <c:pt idx="6">
                  <c:v>7</c:v>
                </c:pt>
                <c:pt idx="7">
                  <c:v>27</c:v>
                </c:pt>
                <c:pt idx="8">
                  <c:v>30</c:v>
                </c:pt>
                <c:pt idx="9">
                  <c:v>44</c:v>
                </c:pt>
                <c:pt idx="10">
                  <c:v>103</c:v>
                </c:pt>
                <c:pt idx="11">
                  <c:v>161</c:v>
                </c:pt>
                <c:pt idx="12">
                  <c:v>212</c:v>
                </c:pt>
                <c:pt idx="13">
                  <c:v>261</c:v>
                </c:pt>
                <c:pt idx="14">
                  <c:v>358</c:v>
                </c:pt>
                <c:pt idx="15">
                  <c:v>357</c:v>
                </c:pt>
                <c:pt idx="16">
                  <c:v>539</c:v>
                </c:pt>
                <c:pt idx="17">
                  <c:v>519</c:v>
                </c:pt>
                <c:pt idx="18">
                  <c:v>463</c:v>
                </c:pt>
              </c:numCache>
            </c:numRef>
          </c:val>
        </c:ser>
        <c:dLbls>
          <c:showLegendKey val="0"/>
          <c:showVal val="0"/>
          <c:showCatName val="0"/>
          <c:showSerName val="0"/>
          <c:showPercent val="0"/>
          <c:showBubbleSize val="0"/>
        </c:dLbls>
        <c:gapWidth val="120"/>
        <c:overlap val="0"/>
        <c:axId val="575189438"/>
        <c:axId val="665996948"/>
      </c:barChart>
      <c:lineChart>
        <c:grouping val="standard"/>
        <c:varyColors val="0"/>
        <c:ser>
          <c:idx val="2"/>
          <c:order val="2"/>
          <c:tx>
            <c:strRef>
              <c:f>[结直肠癌数据分析.xlsx]Sheet1!$B$25</c:f>
              <c:strCache>
                <c:ptCount val="1"/>
                <c:pt idx="0">
                  <c:v>Incidence Rate</c:v>
                </c:pt>
              </c:strCache>
            </c:strRef>
          </c:tx>
          <c:spPr>
            <a:ln w="28575" cap="rnd">
              <a:solidFill>
                <a:sysClr val="windowText" lastClr="000000">
                  <a:lumMod val="95000"/>
                  <a:lumOff val="5000"/>
                </a:sysClr>
              </a:solidFill>
              <a:round/>
            </a:ln>
            <a:effectLst/>
          </c:spPr>
          <c:marker>
            <c:symbol val="circle"/>
            <c:size val="8"/>
            <c:spPr>
              <a:solidFill>
                <a:sysClr val="windowText" lastClr="000000">
                  <a:lumMod val="95000"/>
                  <a:lumOff val="5000"/>
                  <a:alpha val="98000"/>
                </a:sysClr>
              </a:solidFill>
              <a:ln w="19050" cap="sq">
                <a:noFill/>
                <a:bevel/>
              </a:ln>
              <a:effectLst/>
            </c:spPr>
          </c:marker>
          <c:dLbls>
            <c:delete val="1"/>
          </c:dLbls>
          <c:cat>
            <c:strRef>
              <c:f>[结直肠癌数据分析.xlsx]Sheet1!$C$22:$U$22</c:f>
              <c:strCache>
                <c:ptCount val="19"/>
                <c:pt idx="0" c:formatCode="@">
                  <c:v>0</c:v>
                </c:pt>
                <c:pt idx="1" c:formatCode="@">
                  <c:v>1-4</c:v>
                </c:pt>
                <c:pt idx="2" c:formatCode="@">
                  <c:v>5-9</c:v>
                </c:pt>
                <c:pt idx="3" c:formatCode="@">
                  <c:v>10-14</c:v>
                </c:pt>
                <c:pt idx="4" c:formatCode="@">
                  <c:v>15-19</c:v>
                </c:pt>
                <c:pt idx="5" c:formatCode="@">
                  <c:v>20-24</c:v>
                </c:pt>
                <c:pt idx="6" c:formatCode="@">
                  <c:v>25-29</c:v>
                </c:pt>
                <c:pt idx="7" c:formatCode="@">
                  <c:v>30-34</c:v>
                </c:pt>
                <c:pt idx="8" c:formatCode="@">
                  <c:v>35-39</c:v>
                </c:pt>
                <c:pt idx="9" c:formatCode="@">
                  <c:v>40-44</c:v>
                </c:pt>
                <c:pt idx="10" c:formatCode="@">
                  <c:v>45-49</c:v>
                </c:pt>
                <c:pt idx="11" c:formatCode="@">
                  <c:v>50-54</c:v>
                </c:pt>
                <c:pt idx="12" c:formatCode="@">
                  <c:v>55-59</c:v>
                </c:pt>
                <c:pt idx="13" c:formatCode="@">
                  <c:v>60-64</c:v>
                </c:pt>
                <c:pt idx="14" c:formatCode="@">
                  <c:v>65-69</c:v>
                </c:pt>
                <c:pt idx="15" c:formatCode="@">
                  <c:v>70-74</c:v>
                </c:pt>
                <c:pt idx="16" c:formatCode="@">
                  <c:v>75-79</c:v>
                </c:pt>
                <c:pt idx="17" c:formatCode="@">
                  <c:v>80-84</c:v>
                </c:pt>
                <c:pt idx="18" c:formatCode="@">
                  <c:v>85+</c:v>
                </c:pt>
              </c:strCache>
            </c:strRef>
          </c:cat>
          <c:val>
            <c:numRef>
              <c:f>[结直肠癌数据分析.xlsx]Sheet1!$C$25:$U$25</c:f>
              <c:numCache>
                <c:formatCode>0.00_ </c:formatCode>
                <c:ptCount val="19"/>
                <c:pt idx="0">
                  <c:v>0</c:v>
                </c:pt>
                <c:pt idx="1">
                  <c:v>0.0635756604398546</c:v>
                </c:pt>
                <c:pt idx="2">
                  <c:v>0</c:v>
                </c:pt>
                <c:pt idx="3">
                  <c:v>0.0366600898465482</c:v>
                </c:pt>
                <c:pt idx="4">
                  <c:v>0.446622473372926</c:v>
                </c:pt>
                <c:pt idx="5">
                  <c:v>0.86902063112913</c:v>
                </c:pt>
                <c:pt idx="6">
                  <c:v>1.4852192126434</c:v>
                </c:pt>
                <c:pt idx="7">
                  <c:v>2.85826929929839</c:v>
                </c:pt>
                <c:pt idx="8">
                  <c:v>3.66462641983915</c:v>
                </c:pt>
                <c:pt idx="9">
                  <c:v>7.13674985923456</c:v>
                </c:pt>
                <c:pt idx="10">
                  <c:v>13.3564793570144</c:v>
                </c:pt>
                <c:pt idx="11">
                  <c:v>19.2993060744226</c:v>
                </c:pt>
                <c:pt idx="12">
                  <c:v>31.8522663966204</c:v>
                </c:pt>
                <c:pt idx="13">
                  <c:v>44.4211167309694</c:v>
                </c:pt>
                <c:pt idx="14">
                  <c:v>64.6360828937814</c:v>
                </c:pt>
                <c:pt idx="15">
                  <c:v>81.354424354042</c:v>
                </c:pt>
                <c:pt idx="16">
                  <c:v>119.18751912529</c:v>
                </c:pt>
                <c:pt idx="17">
                  <c:v>119.256943035053</c:v>
                </c:pt>
                <c:pt idx="18">
                  <c:v>97.9539034979548</c:v>
                </c:pt>
              </c:numCache>
            </c:numRef>
          </c:val>
          <c:smooth val="0"/>
        </c:ser>
        <c:ser>
          <c:idx val="3"/>
          <c:order val="3"/>
          <c:tx>
            <c:strRef>
              <c:f>[结直肠癌数据分析.xlsx]Sheet1!$B$26</c:f>
              <c:strCache>
                <c:ptCount val="1"/>
                <c:pt idx="0">
                  <c:v>Mortality Rate</c:v>
                </c:pt>
              </c:strCache>
            </c:strRef>
          </c:tx>
          <c:spPr>
            <a:ln w="28575" cap="rnd">
              <a:solidFill>
                <a:sysClr val="window" lastClr="FFFFFF">
                  <a:lumMod val="50000"/>
                </a:sysClr>
              </a:solidFill>
              <a:round/>
            </a:ln>
            <a:effectLst/>
          </c:spPr>
          <c:marker>
            <c:symbol val="square"/>
            <c:size val="8"/>
            <c:spPr>
              <a:solidFill>
                <a:sysClr val="window" lastClr="FFFFFF">
                  <a:lumMod val="50000"/>
                </a:sysClr>
              </a:solidFill>
              <a:ln w="9525">
                <a:noFill/>
                <a:round/>
              </a:ln>
              <a:effectLst/>
            </c:spPr>
          </c:marker>
          <c:dLbls>
            <c:delete val="1"/>
          </c:dLbls>
          <c:cat>
            <c:strRef>
              <c:f>[结直肠癌数据分析.xlsx]Sheet1!$C$22:$U$22</c:f>
              <c:strCache>
                <c:ptCount val="19"/>
                <c:pt idx="0" c:formatCode="@">
                  <c:v>0</c:v>
                </c:pt>
                <c:pt idx="1" c:formatCode="@">
                  <c:v>1-4</c:v>
                </c:pt>
                <c:pt idx="2" c:formatCode="@">
                  <c:v>5-9</c:v>
                </c:pt>
                <c:pt idx="3" c:formatCode="@">
                  <c:v>10-14</c:v>
                </c:pt>
                <c:pt idx="4" c:formatCode="@">
                  <c:v>15-19</c:v>
                </c:pt>
                <c:pt idx="5" c:formatCode="@">
                  <c:v>20-24</c:v>
                </c:pt>
                <c:pt idx="6" c:formatCode="@">
                  <c:v>25-29</c:v>
                </c:pt>
                <c:pt idx="7" c:formatCode="@">
                  <c:v>30-34</c:v>
                </c:pt>
                <c:pt idx="8" c:formatCode="@">
                  <c:v>35-39</c:v>
                </c:pt>
                <c:pt idx="9" c:formatCode="@">
                  <c:v>40-44</c:v>
                </c:pt>
                <c:pt idx="10" c:formatCode="@">
                  <c:v>45-49</c:v>
                </c:pt>
                <c:pt idx="11" c:formatCode="@">
                  <c:v>50-54</c:v>
                </c:pt>
                <c:pt idx="12" c:formatCode="@">
                  <c:v>55-59</c:v>
                </c:pt>
                <c:pt idx="13" c:formatCode="@">
                  <c:v>60-64</c:v>
                </c:pt>
                <c:pt idx="14" c:formatCode="@">
                  <c:v>65-69</c:v>
                </c:pt>
                <c:pt idx="15" c:formatCode="@">
                  <c:v>70-74</c:v>
                </c:pt>
                <c:pt idx="16" c:formatCode="@">
                  <c:v>75-79</c:v>
                </c:pt>
                <c:pt idx="17" c:formatCode="@">
                  <c:v>80-84</c:v>
                </c:pt>
                <c:pt idx="18" c:formatCode="@">
                  <c:v>85+</c:v>
                </c:pt>
              </c:strCache>
            </c:strRef>
          </c:cat>
          <c:val>
            <c:numRef>
              <c:f>[结直肠癌数据分析.xlsx]Sheet1!$C$26:$U$26</c:f>
              <c:numCache>
                <c:formatCode>0.00_ </c:formatCode>
                <c:ptCount val="19"/>
                <c:pt idx="0">
                  <c:v>0</c:v>
                </c:pt>
                <c:pt idx="1">
                  <c:v>0</c:v>
                </c:pt>
                <c:pt idx="2">
                  <c:v>0</c:v>
                </c:pt>
                <c:pt idx="3">
                  <c:v>0.0366600898465482</c:v>
                </c:pt>
                <c:pt idx="4">
                  <c:v>0.279139045858079</c:v>
                </c:pt>
                <c:pt idx="5">
                  <c:v>0.173804126225826</c:v>
                </c:pt>
                <c:pt idx="6">
                  <c:v>0.266577807397534</c:v>
                </c:pt>
                <c:pt idx="7">
                  <c:v>0.838839903054962</c:v>
                </c:pt>
                <c:pt idx="8">
                  <c:v>1.22154213994638</c:v>
                </c:pt>
                <c:pt idx="9">
                  <c:v>2.03907138835273</c:v>
                </c:pt>
                <c:pt idx="10">
                  <c:v>4.02256542038738</c:v>
                </c:pt>
                <c:pt idx="11">
                  <c:v>5.4704018978557</c:v>
                </c:pt>
                <c:pt idx="12">
                  <c:v>8.9677031554894</c:v>
                </c:pt>
                <c:pt idx="13">
                  <c:v>14.8259737426893</c:v>
                </c:pt>
                <c:pt idx="14">
                  <c:v>21.9750405279902</c:v>
                </c:pt>
                <c:pt idx="15">
                  <c:v>34.8243758925575</c:v>
                </c:pt>
                <c:pt idx="16">
                  <c:v>69.3010494158912</c:v>
                </c:pt>
                <c:pt idx="17">
                  <c:v>93.2143877036034</c:v>
                </c:pt>
                <c:pt idx="18">
                  <c:v>107.7260268873</c:v>
                </c:pt>
              </c:numCache>
            </c:numRef>
          </c:val>
          <c:smooth val="0"/>
        </c:ser>
        <c:dLbls>
          <c:showLegendKey val="0"/>
          <c:showVal val="0"/>
          <c:showCatName val="0"/>
          <c:showSerName val="0"/>
          <c:showPercent val="0"/>
          <c:showBubbleSize val="0"/>
        </c:dLbls>
        <c:marker val="1"/>
        <c:smooth val="0"/>
        <c:axId val="924760502"/>
        <c:axId val="824852081"/>
      </c:lineChart>
      <c:catAx>
        <c:axId val="575189438"/>
        <c:scaling>
          <c:orientation val="minMax"/>
        </c:scaling>
        <c:delete val="0"/>
        <c:axPos val="b"/>
        <c:title>
          <c:tx>
            <c:rich>
              <a:bodyPr rot="0" spcFirstLastPara="0" vertOverflow="ellipsis" vert="horz" wrap="square" anchor="ctr" anchorCtr="1"/>
              <a:lstStyle/>
              <a:p>
                <a:pPr defTabSz="914400">
                  <a:defRPr lang="zh-CN" sz="10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Age group (years old)</a:t>
                </a:r>
                <a:endParaRPr>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370987591485728"/>
              <c:y val="0.928727590730214"/>
            </c:manualLayout>
          </c:layout>
          <c:overlay val="0"/>
          <c:spPr>
            <a:noFill/>
            <a:ln>
              <a:noFill/>
            </a:ln>
            <a:effectLst/>
          </c:spPr>
        </c:title>
        <c:majorTickMark val="in"/>
        <c:minorTickMark val="none"/>
        <c:tickLblPos val="nextTo"/>
        <c:spPr>
          <a:noFill/>
          <a:ln w="9525" cap="flat" cmpd="sng" algn="ctr">
            <a:solidFill>
              <a:sysClr val="windowText" lastClr="000000">
                <a:lumMod val="65000"/>
                <a:lumOff val="35000"/>
              </a:sysClr>
            </a:solidFill>
            <a:round/>
          </a:ln>
          <a:effectLst/>
        </c:spPr>
        <c:txPr>
          <a:bodyPr rot="-6000000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665996948"/>
        <c:crosses val="autoZero"/>
        <c:auto val="1"/>
        <c:lblAlgn val="ctr"/>
        <c:lblOffset val="100"/>
        <c:noMultiLvlLbl val="0"/>
      </c:catAx>
      <c:valAx>
        <c:axId val="665996948"/>
        <c:scaling>
          <c:orientation val="minMax"/>
        </c:scaling>
        <c:delete val="0"/>
        <c:axPos val="l"/>
        <c:title>
          <c:tx>
            <c:rich>
              <a:bodyPr rot="-5400000" spcFirstLastPara="0" vertOverflow="ellipsis" vert="horz" wrap="square" anchor="ctr" anchorCtr="1"/>
              <a:lstStyle/>
              <a:p>
                <a:pPr defTabSz="914400">
                  <a:defRPr lang="zh-CN" sz="10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Cases</a:t>
                </a:r>
                <a:endParaRPr>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00554016620498615"/>
              <c:y val="0.327835271522478"/>
            </c:manualLayout>
          </c:layout>
          <c:overlay val="0"/>
          <c:spPr>
            <a:noFill/>
            <a:ln>
              <a:noFill/>
            </a:ln>
            <a:effectLst/>
          </c:spPr>
        </c:title>
        <c:numFmt formatCode="General" sourceLinked="1"/>
        <c:majorTickMark val="in"/>
        <c:minorTickMark val="none"/>
        <c:tickLblPos val="nextTo"/>
        <c:spPr>
          <a:noFill/>
          <a:ln w="9525" cmpd="sng">
            <a:solidFill>
              <a:sysClr val="windowText" lastClr="000000">
                <a:lumMod val="75000"/>
                <a:lumOff val="25000"/>
              </a:sysClr>
            </a:solidFill>
            <a:prstDash val="solid"/>
          </a:ln>
          <a:effectLst/>
        </c:spPr>
        <c:txPr>
          <a:bodyPr rot="-6000000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575189438"/>
        <c:crosses val="autoZero"/>
        <c:crossBetween val="between"/>
      </c:valAx>
      <c:catAx>
        <c:axId val="924760502"/>
        <c:scaling>
          <c:orientation val="minMax"/>
        </c:scaling>
        <c:delete val="1"/>
        <c:axPos val="b"/>
        <c:majorTickMark val="out"/>
        <c:minorTickMark val="none"/>
        <c:tickLblPos val="nextTo"/>
        <c:txPr>
          <a:bodyPr rot="-6000000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824852081"/>
        <c:crosses val="autoZero"/>
        <c:auto val="1"/>
        <c:lblAlgn val="ctr"/>
        <c:lblOffset val="100"/>
        <c:noMultiLvlLbl val="0"/>
      </c:catAx>
      <c:valAx>
        <c:axId val="824852081"/>
        <c:scaling>
          <c:orientation val="minMax"/>
        </c:scaling>
        <c:delete val="0"/>
        <c:axPos val="r"/>
        <c:title>
          <c:tx>
            <c:rich>
              <a:bodyPr rot="-5400000" spcFirstLastPara="0" vertOverflow="ellipsis" vert="horz" wrap="square" anchor="ctr" anchorCtr="1"/>
              <a:lstStyle/>
              <a:p>
                <a:pPr defTabSz="914400">
                  <a:defRPr lang="zh-CN" sz="10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r>
                  <a:rPr lang="en-US" altLang="zh-CN">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Rate (1/10</a:t>
                </a:r>
                <a:r>
                  <a:rPr lang="en-US" altLang="zh-CN" baseline="30000">
                    <a:solidFill>
                      <a:schemeClr val="tx1"/>
                    </a:solidFill>
                    <a:uFillTx/>
                    <a:ea typeface="Times New Roman" panose="02020603050405020304" charset="0"/>
                    <a:cs typeface="Times New Roman" panose="02020603050405020304" charset="0"/>
                    <a:sym typeface="Times New Roman" panose="02020603050405020304" charset="0"/>
                  </a:rPr>
                  <a:t>5 </a:t>
                </a:r>
                <a:r>
                  <a:rPr lang="en-US" altLang="zh-CN">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rPr>
                  <a:t>)</a:t>
                </a:r>
                <a:endParaRPr lang="en-US" altLang="zh-CN">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endParaRPr>
              </a:p>
            </c:rich>
          </c:tx>
          <c:layout>
            <c:manualLayout>
              <c:xMode val="edge"/>
              <c:yMode val="edge"/>
              <c:x val="0.960737082982055"/>
              <c:y val="0.290258269143634"/>
            </c:manualLayout>
          </c:layout>
          <c:overlay val="0"/>
          <c:spPr>
            <a:noFill/>
            <a:ln>
              <a:noFill/>
            </a:ln>
            <a:effectLst/>
          </c:spPr>
        </c:title>
        <c:numFmt formatCode="0_);[Red]\(0\)" sourceLinked="0"/>
        <c:majorTickMark val="in"/>
        <c:minorTickMark val="none"/>
        <c:tickLblPos val="nextTo"/>
        <c:spPr>
          <a:noFill/>
          <a:ln>
            <a:solidFill>
              <a:sysClr val="windowText" lastClr="000000">
                <a:lumMod val="85000"/>
                <a:lumOff val="15000"/>
              </a:sysClr>
            </a:solidFill>
          </a:ln>
          <a:effectLst/>
        </c:spPr>
        <c:txPr>
          <a:bodyPr rot="-6000000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crossAx val="924760502"/>
        <c:crosses val="max"/>
        <c:crossBetween val="between"/>
      </c:valAx>
      <c:spPr>
        <a:noFill/>
        <a:ln>
          <a:noFill/>
        </a:ln>
        <a:effectLst/>
      </c:spPr>
    </c:plotArea>
    <c:legend>
      <c:legendPos val="b"/>
      <c:legendEntry>
        <c:idx val="0"/>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1"/>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2"/>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egendEntry>
        <c:idx val="3"/>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Entry>
      <c:layout>
        <c:manualLayout>
          <c:xMode val="edge"/>
          <c:yMode val="edge"/>
          <c:x val="0.151150186679513"/>
          <c:y val="0.0575441776166742"/>
          <c:w val="0.247621341683729"/>
          <c:h val="0.183507023108292"/>
        </c:manualLayout>
      </c:layout>
      <c:overlay val="1"/>
      <c:spPr>
        <a:noFill/>
        <a:ln>
          <a:noFill/>
        </a:ln>
        <a:effectLst/>
      </c:spPr>
      <c:txPr>
        <a:bodyPr rot="0" spcFirstLastPara="0" vertOverflow="ellipsis" vert="horz" wrap="square" anchor="ctr" anchorCtr="1"/>
        <a:lstStyle/>
        <a:p>
          <a:pPr>
            <a:defRPr lang="zh-CN" sz="900" b="0" i="0" u="none" strike="noStrike" kern="1200" baseline="0">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legend>
    <c:plotVisOnly val="1"/>
    <c:dispBlanksAs val="gap"/>
    <c:showDLblsOverMax val="0"/>
    <c:extLst>
      <c:ext uri="{0b15fc19-7d7d-44ad-8c2d-2c3a37ce22c3}">
        <chartProps xmlns="https://web.wps.cn/et/2018/main" chartId="{ff0e4444-0684-4d54-b738-dfc937614c11}"/>
      </c:ext>
    </c:extLst>
  </c:chart>
  <c:spPr>
    <a:solidFill>
      <a:sysClr val="window" lastClr="FFFFFF"/>
    </a:solidFill>
    <a:ln w="9525" cap="flat" cmpd="sng" algn="ctr">
      <a:noFill/>
      <a:round/>
    </a:ln>
    <a:effectLst/>
  </c:spPr>
  <c:txPr>
    <a:bodyPr/>
    <a:lstStyle/>
    <a:p>
      <a:pPr>
        <a:defRPr lang="zh-CN">
          <a:solidFill>
            <a:schemeClr val="tx1"/>
          </a:solidFill>
          <a:latin typeface="Times New Roman" panose="02020603050405020304" charset="0"/>
          <a:ea typeface="Times New Roman" panose="02020603050405020304" charset="0"/>
          <a:cs typeface="Times New Roman" panose="02020603050405020304" charset="0"/>
          <a:sym typeface="Times New Roman" panose="02020603050405020304" charset="0"/>
        </a:defRPr>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10298">
  <cs:axisTitle>
    <cs:lnRef idx="0"/>
    <cs:fillRef idx="0"/>
    <cs:effectRef idx="0"/>
    <cs:fontRef idx="minor">
      <a:sysClr val="windowText" lastClr="000000">
        <a:lumMod val="65000"/>
        <a:lumOff val="35000"/>
      </a:sysClr>
    </cs:fontRef>
    <cs:defRPr sz="1000" kern="1200"/>
  </cs:axisTitle>
  <cs:categoryAxis>
    <cs:lnRef idx="0"/>
    <cs:fillRef idx="0"/>
    <cs:effectRef idx="0"/>
    <cs:fontRef idx="minor">
      <a:sysClr val="windowText" lastClr="000000">
        <a:lumMod val="65000"/>
        <a:lumOff val="35000"/>
      </a:sysClr>
    </cs:fontRef>
    <cs:spPr>
      <a:ln w="9525" cap="flat" cmpd="sng" algn="ctr">
        <a:solidFill>
          <a:sysClr val="windowText" lastClr="000000">
            <a:lumMod val="15000"/>
            <a:lumOff val="85000"/>
          </a:sysClr>
        </a:solidFill>
        <a:round/>
      </a:ln>
    </cs:spPr>
    <cs:defRPr sz="900" kern="1200"/>
  </cs:categoryAxis>
  <cs:chartArea mods="allowNoFillOverride allowNoLineOverride">
    <cs:lnRef idx="0"/>
    <cs:fillRef idx="0"/>
    <cs:effectRef idx="0"/>
    <cs:fontRef idx="minor">
      <a:sysClr val="windowText" lastClr="000000"/>
    </cs:fontRef>
    <cs:spPr>
      <a:solidFill>
        <a:sysClr val="window" lastClr="FFFFFF"/>
      </a:solidFill>
      <a:ln w="9525" cap="flat" cmpd="sng" algn="ctr">
        <a:solidFill>
          <a:sysClr val="windowText" lastClr="000000">
            <a:lumMod val="15000"/>
            <a:lumOff val="85000"/>
          </a:sysClr>
        </a:solidFill>
        <a:round/>
      </a:ln>
    </cs:spPr>
    <cs:defRPr sz="1000" kern="1200"/>
  </cs:chartArea>
  <cs:dataLabel>
    <cs:lnRef idx="0"/>
    <cs:fillRef idx="0"/>
    <cs:effectRef idx="0"/>
    <cs:fontRef idx="minor">
      <a:sysClr val="windowText" lastClr="000000">
        <a:lumMod val="75000"/>
        <a:lumOff val="25000"/>
      </a:sysClr>
    </cs:fontRef>
    <cs:defRPr sz="1000" kern="1200"/>
  </cs:dataLabel>
  <cs:dataLabelCallout>
    <cs:lnRef idx="0"/>
    <cs:fillRef idx="0"/>
    <cs:effectRef idx="0"/>
    <cs:fontRef idx="minor">
      <a:sysClr val="windowText" lastClr="000000">
        <a:lumMod val="65000"/>
        <a:lumOff val="35000"/>
      </a:sysClr>
    </cs:fontRef>
    <cs:spPr>
      <a:solidFill>
        <a:sysClr val="window" lastClr="FFFFFF"/>
      </a:solidFill>
      <a:ln>
        <a:solidFill>
          <a:sysClr val="windowText" lastClr="000000">
            <a:lumMod val="25000"/>
            <a:lumOff val="75000"/>
          </a:sysClr>
        </a:solidFill>
      </a:ln>
    </cs:spPr>
    <cs:defRPr sz="1000" kern="1200"/>
    <cs:bodyPr rot="0" spcFirstLastPara="1" vertOverflow="clip" horzOverflow="clip" vert="horz" wrap="square" lIns="36576" tIns="18288" rIns="36576" bIns="18288" anchor="ctr" anchorCtr="1">
      <a:spAutoFit/>
    </cs:bodyPr>
  </cs:dataLabelCallout>
  <cs:dataPoint>
    <cs:lnRef idx="0">
      <cs:styleClr val="auto"/>
    </cs:lnRef>
    <cs:fillRef idx="1">
      <cs:styleClr val="auto"/>
    </cs:fillRef>
    <cs:effectRef idx="0"/>
    <cs:fontRef idx="minor">
      <a:sysClr val="windowText" lastClr="000000"/>
    </cs:fontRef>
    <cs:spPr>
      <a:ln>
        <a:noFill/>
      </a:ln>
      <a:effectLst/>
    </cs:spPr>
  </cs:dataPoint>
  <cs:dataPoint3D>
    <cs:lnRef idx="0"/>
    <cs:fillRef idx="1">
      <cs:styleClr val="auto"/>
    </cs:fillRef>
    <cs:effectRef idx="0"/>
    <cs:fontRef idx="minor">
      <a:sysClr val="windowText" lastClr="000000"/>
    </cs:fontRef>
  </cs:dataPoint3D>
  <cs:dataPointLine>
    <cs:lnRef idx="0">
      <cs:styleClr val="auto"/>
    </cs:lnRef>
    <cs:fillRef idx="1"/>
    <cs:effectRef idx="0"/>
    <cs:fontRef idx="minor">
      <a:sysClr val="windowText" lastClr="000000"/>
    </cs:fontRef>
    <cs:spPr>
      <a:ln w="28575" cap="rnd">
        <a:solidFill>
          <a:schemeClr val="phClr"/>
        </a:solidFill>
        <a:round/>
      </a:ln>
    </cs:spPr>
  </cs:dataPointLine>
  <cs:dataPointMarker>
    <cs:lnRef idx="0">
      <cs:styleClr val="auto"/>
    </cs:lnRef>
    <cs:fillRef idx="1">
      <cs:styleClr val="auto"/>
    </cs:fillRef>
    <cs:effectRef idx="0"/>
    <cs:fontRef idx="minor">
      <a:sysClr val="windowText" lastClr="000000"/>
    </cs:fontRef>
    <cs:spPr>
      <a:ln w="9525">
        <a:solidFill>
          <a:schemeClr val="phClr"/>
        </a:solidFill>
      </a:ln>
    </cs:spPr>
  </cs:dataPointMarker>
  <cs:dataPointMarkerLayout symbol="circle" size="5"/>
  <cs:dataPointWireframe>
    <cs:lnRef idx="0">
      <cs:styleClr val="auto"/>
    </cs:lnRef>
    <cs:fillRef idx="1"/>
    <cs:effectRef idx="0"/>
    <cs:fontRef idx="minor">
      <a:sysClr val="windowText" lastClr="000000"/>
    </cs:fontRef>
    <cs:spPr>
      <a:ln w="9525" cap="rnd">
        <a:solidFill>
          <a:schemeClr val="phClr"/>
        </a:solidFill>
        <a:round/>
      </a:ln>
    </cs:spPr>
  </cs:dataPointWireframe>
  <cs:dataTable>
    <cs:lnRef idx="0"/>
    <cs:fillRef idx="0"/>
    <cs:effectRef idx="0"/>
    <cs:fontRef idx="minor">
      <a:sysClr val="windowText" lastClr="000000">
        <a:lumMod val="65000"/>
        <a:lumOff val="35000"/>
      </a:sysClr>
    </cs:fontRef>
    <cs:spPr>
      <a:noFill/>
      <a:ln w="9525" cap="flat" cmpd="sng" algn="ctr">
        <a:solidFill>
          <a:sysClr val="windowText" lastClr="000000">
            <a:lumMod val="15000"/>
            <a:lumOff val="85000"/>
          </a:sysClr>
        </a:solidFill>
        <a:round/>
      </a:ln>
    </cs:spPr>
    <cs:defRPr sz="900" kern="1200"/>
  </cs:dataTable>
  <cs:downBar>
    <cs:lnRef idx="0"/>
    <cs:fillRef idx="0"/>
    <cs:effectRef idx="0"/>
    <cs:fontRef idx="minor">
      <a:sysClr val="windowText" lastClr="000000"/>
    </cs:fontRef>
    <cs:spPr>
      <a:solidFill>
        <a:sysClr val="windowText" lastClr="000000">
          <a:lumMod val="75000"/>
          <a:lumOff val="25000"/>
        </a:sysClr>
      </a:solidFill>
      <a:ln w="9525" cap="flat" cmpd="sng" algn="ctr">
        <a:solidFill>
          <a:sysClr val="windowText" lastClr="000000">
            <a:lumMod val="65000"/>
            <a:lumOff val="35000"/>
          </a:sysClr>
        </a:solidFill>
        <a:round/>
      </a:ln>
    </cs:spPr>
  </cs:downBar>
  <cs:dropLine>
    <cs:lnRef idx="0"/>
    <cs:fillRef idx="0"/>
    <cs:effectRef idx="0"/>
    <cs:fontRef idx="minor">
      <a:sysClr val="windowText" lastClr="000000"/>
    </cs:fontRef>
    <cs:spPr>
      <a:ln w="9525" cap="flat" cmpd="sng" algn="ctr">
        <a:solidFill>
          <a:sysClr val="windowText" lastClr="000000">
            <a:lumMod val="35000"/>
            <a:lumOff val="65000"/>
          </a:sysClr>
        </a:solidFill>
        <a:round/>
      </a:ln>
    </cs:spPr>
  </cs:dropLine>
  <cs:errorBar>
    <cs:lnRef idx="0"/>
    <cs:fillRef idx="0"/>
    <cs:effectRef idx="0"/>
    <cs:fontRef idx="minor">
      <a:sysClr val="windowText" lastClr="000000"/>
    </cs:fontRef>
    <cs:spPr>
      <a:ln w="9525" cap="flat" cmpd="sng" algn="ctr">
        <a:solidFill>
          <a:sysClr val="windowText" lastClr="000000">
            <a:lumMod val="65000"/>
            <a:lumOff val="35000"/>
          </a:sysClr>
        </a:solidFill>
        <a:round/>
      </a:ln>
    </cs:spPr>
  </cs:errorBar>
  <cs:floor>
    <cs:lnRef idx="0"/>
    <cs:fillRef idx="0"/>
    <cs:effectRef idx="0"/>
    <cs:fontRef idx="minor">
      <a:sysClr val="windowText" lastClr="000000"/>
    </cs:fontRef>
    <cs:spPr>
      <a:noFill/>
      <a:ln>
        <a:noFill/>
      </a:ln>
    </cs:spPr>
  </cs:floor>
  <cs:gridlineMajor>
    <cs:lnRef idx="0"/>
    <cs:fillRef idx="0"/>
    <cs:effectRef idx="0"/>
    <cs:fontRef idx="minor">
      <a:sysClr val="windowText" lastClr="000000"/>
    </cs:fontRef>
    <cs:spPr>
      <a:ln w="9525" cap="flat" cmpd="sng" algn="ctr">
        <a:solidFill>
          <a:sysClr val="window" lastClr="FFFFFF">
            <a:lumMod val="90200"/>
          </a:sysClr>
        </a:solidFill>
        <a:round/>
      </a:ln>
    </cs:spPr>
  </cs:gridlineMajor>
  <cs:gridlineMinor>
    <cs:lnRef idx="0"/>
    <cs:fillRef idx="0"/>
    <cs:effectRef idx="0"/>
    <cs:fontRef idx="minor">
      <a:sysClr val="windowText" lastClr="000000"/>
    </cs:fontRef>
    <cs:spPr>
      <a:ln w="9525" cap="flat" cmpd="sng" algn="ctr">
        <a:solidFill>
          <a:sysClr val="windowText" lastClr="000000">
            <a:lumMod val="5000"/>
            <a:lumOff val="95000"/>
          </a:sysClr>
        </a:solidFill>
        <a:round/>
      </a:ln>
    </cs:spPr>
  </cs:gridlineMinor>
  <cs:hiLoLine>
    <cs:lnRef idx="0"/>
    <cs:fillRef idx="0"/>
    <cs:effectRef idx="0"/>
    <cs:fontRef idx="minor">
      <a:sysClr val="windowText" lastClr="000000"/>
    </cs:fontRef>
    <cs:spPr>
      <a:ln w="9525" cap="flat" cmpd="sng" algn="ctr">
        <a:solidFill>
          <a:sysClr val="windowText" lastClr="000000">
            <a:lumMod val="75000"/>
            <a:lumOff val="25000"/>
          </a:sysClr>
        </a:solidFill>
        <a:round/>
      </a:ln>
    </cs:spPr>
  </cs:hiLoLine>
  <cs:leaderLine>
    <cs:lnRef idx="0"/>
    <cs:fillRef idx="0"/>
    <cs:effectRef idx="0"/>
    <cs:fontRef idx="minor">
      <a:sysClr val="windowText" lastClr="000000"/>
    </cs:fontRef>
    <cs:spPr>
      <a:ln w="9525" cap="flat" cmpd="sng" algn="ctr">
        <a:solidFill>
          <a:sysClr val="windowText" lastClr="000000">
            <a:lumMod val="35000"/>
            <a:lumOff val="65000"/>
          </a:sysClr>
        </a:solidFill>
        <a:round/>
      </a:ln>
    </cs:spPr>
  </cs:leaderLine>
  <cs:legend>
    <cs:lnRef idx="0"/>
    <cs:fillRef idx="0"/>
    <cs:effectRef idx="0"/>
    <cs:fontRef idx="minor">
      <a:sysClr val="windowText" lastClr="000000">
        <a:lumMod val="65000"/>
        <a:lumOff val="35000"/>
      </a:sysClr>
    </cs:fontRef>
    <cs:defRPr sz="900" kern="1200"/>
  </cs:legend>
  <cs:plotArea mods="allowNoFillOverride allowNoLineOverride">
    <cs:lnRef idx="0"/>
    <cs:fillRef idx="0"/>
    <cs:effectRef idx="0"/>
    <cs:fontRef idx="minor">
      <a:sysClr val="windowText" lastClr="000000"/>
    </cs:fontRef>
  </cs:plotArea>
  <cs:plotArea3D mods="allowNoFillOverride allowNoLineOverride">
    <cs:lnRef idx="0"/>
    <cs:fillRef idx="0"/>
    <cs:effectRef idx="0"/>
    <cs:fontRef idx="minor">
      <a:sysClr val="windowText" lastClr="000000"/>
    </cs:fontRef>
  </cs:plotArea3D>
  <cs:seriesAxis>
    <cs:lnRef idx="0"/>
    <cs:fillRef idx="0"/>
    <cs:effectRef idx="0"/>
    <cs:fontRef idx="minor">
      <a:sysClr val="windowText" lastClr="000000">
        <a:lumMod val="65000"/>
        <a:lumOff val="35000"/>
      </a:sysClr>
    </cs:fontRef>
    <cs:spPr>
      <a:ln w="9525" cap="flat" cmpd="sng" algn="ctr">
        <a:solidFill>
          <a:sysClr val="windowText" lastClr="000000">
            <a:lumMod val="15000"/>
            <a:lumOff val="85000"/>
          </a:sysClr>
        </a:solidFill>
        <a:round/>
      </a:ln>
    </cs:spPr>
    <cs:defRPr sz="900" kern="1200"/>
  </cs:seriesAxis>
  <cs:seriesLine>
    <cs:lnRef idx="0"/>
    <cs:fillRef idx="0"/>
    <cs:effectRef idx="0"/>
    <cs:fontRef idx="minor">
      <a:sysClr val="windowText" lastClr="000000"/>
    </cs:fontRef>
    <cs:spPr>
      <a:ln w="9525" cap="flat" cmpd="sng" algn="ctr">
        <a:solidFill>
          <a:sysClr val="windowText" lastClr="000000">
            <a:lumMod val="35000"/>
            <a:lumOff val="65000"/>
          </a:sysClr>
        </a:solidFill>
        <a:round/>
      </a:ln>
    </cs:spPr>
  </cs:seriesLine>
  <cs:title>
    <cs:lnRef idx="0"/>
    <cs:fillRef idx="0"/>
    <cs:effectRef idx="0"/>
    <cs:fontRef idx="minor">
      <a:sysClr val="windowText" lastClr="000000">
        <a:lumMod val="75000"/>
        <a:lumOff val="25000"/>
      </a:sysClr>
    </cs:fontRef>
    <cs:defRPr sz="1400" b="1" kern="1200" baseline="0"/>
  </cs:title>
  <cs:trendline>
    <cs:lnRef idx="0">
      <cs:styleClr val="auto"/>
    </cs:lnRef>
    <cs:fillRef idx="0"/>
    <cs:effectRef idx="0"/>
    <cs:fontRef idx="minor">
      <a:sysClr val="windowText" lastClr="000000"/>
    </cs:fontRef>
    <cs:spPr>
      <a:ln w="19050" cap="rnd">
        <a:solidFill>
          <a:schemeClr val="phClr"/>
        </a:solidFill>
        <a:prstDash val="sysDot"/>
      </a:ln>
    </cs:spPr>
  </cs:trendline>
  <cs:trendlineLabel>
    <cs:lnRef idx="0"/>
    <cs:fillRef idx="0"/>
    <cs:effectRef idx="0"/>
    <cs:fontRef idx="minor">
      <a:sysClr val="windowText" lastClr="000000">
        <a:lumMod val="65000"/>
        <a:lumOff val="35000"/>
      </a:sysClr>
    </cs:fontRef>
    <cs:defRPr sz="900" kern="1200"/>
  </cs:trendlineLabel>
  <cs:upBar>
    <cs:lnRef idx="0"/>
    <cs:fillRef idx="0"/>
    <cs:effectRef idx="0"/>
    <cs:fontRef idx="minor">
      <a:sysClr val="windowText" lastClr="000000"/>
    </cs:fontRef>
    <cs:spPr>
      <a:solidFill>
        <a:sysClr val="window" lastClr="FFFFFF"/>
      </a:solidFill>
      <a:ln w="9525" cap="flat" cmpd="sng" algn="ctr">
        <a:solidFill>
          <a:sysClr val="windowText" lastClr="000000">
            <a:lumMod val="65000"/>
            <a:lumOff val="35000"/>
          </a:sysClr>
        </a:solidFill>
        <a:round/>
      </a:ln>
    </cs:spPr>
  </cs:upBar>
  <cs:valueAxis>
    <cs:lnRef idx="0"/>
    <cs:fillRef idx="0"/>
    <cs:effectRef idx="0"/>
    <cs:fontRef idx="minor">
      <a:sysClr val="windowText" lastClr="000000">
        <a:lumMod val="65000"/>
        <a:lumOff val="35000"/>
      </a:sysClr>
    </cs:fontRef>
    <cs:defRPr sz="900" kern="1200"/>
  </cs:valueAxis>
  <cs:wall>
    <cs:lnRef idx="0"/>
    <cs:fillRef idx="0"/>
    <cs:effectRef idx="0"/>
    <cs:fontRef idx="minor">
      <a:sysClr val="windowText" lastClr="000000"/>
    </cs:fontRef>
    <cs:spPr>
      <a:noFill/>
      <a:ln>
        <a:noFill/>
      </a:ln>
    </cs:spPr>
  </cs:wall>
</cs:chartStyl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word/theme/themeOverride1.xml><?xml version="1.0" encoding="utf-8"?>
<a:themeOverride xmlns:a="http://schemas.openxmlformats.org/drawingml/2006/main">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7c995d8c-6204-4753-bbeb-03cff4ca0725</errorID>
      <errorWord>(</errorWord>
      <group>L1_Format</group>
      <groupName>格式问题</groupName>
      <ability>L2_HalfPunc</ability>
      <abilityName>全半角检查</abilityName>
      <candidateList>
        <item>（</item>
      </candidateList>
      <explain>文本全半角错误。</explain>
      <paraID>26A6D046</paraID>
      <start>17</start>
      <end>18</end>
      <status>modified</status>
      <modifiedWord>（</modifiedWord>
      <trackRevisions>false</trackRevisions>
    </reviewItem>
    <reviewItem>
      <errorID>a9810cb8-d3ce-40ff-8145-9461a8090991</errorID>
      <errorWord>)</errorWord>
      <group>L1_Format</group>
      <groupName>格式问题</groupName>
      <ability>L2_HalfPunc</ability>
      <abilityName>全半角检查</abilityName>
      <candidateList>
        <item>）</item>
      </candidateList>
      <explain>文本全半角错误。</explain>
      <paraID>26A6D046</paraID>
      <start>34</start>
      <end>35</end>
      <status>unmodified</status>
      <modifiedWord/>
      <trackRevisions>false</trackRevisions>
    </reviewItem>
    <reviewItem>
      <errorID>b8f07bbe-9dee-4229-b4c3-8dbb124fefdc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1C38986</paraID>
      <start>175</start>
      <end>176</end>
      <status>unmodified</status>
      <modifiedWord/>
      <trackRevisions>false</trackRevisions>
    </reviewItem>
    <reviewItem>
      <errorID>1ae0189c-158b-4e32-a8f3-4c1255385563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1C38986</paraID>
      <start>221</start>
      <end>222</end>
      <status>unmodified</status>
      <modifiedWord/>
      <trackRevisions>false</trackRevisions>
    </reviewItem>
    <reviewItem>
      <errorID>bd58c136-0cc3-4ac3-9bbd-03367151fbf9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1C38986</paraID>
      <start>277</start>
      <end>278</end>
      <status>unmodified</status>
      <modifiedWord/>
      <trackRevisions>false</trackRevisions>
    </reviewItem>
    <reviewItem>
      <errorID>c07a9394-1be5-4b32-a092-742c17464ff5</errorID>
      <errorWord>：</errorWord>
      <group>L1_Format</group>
      <groupName>格式问题</groupName>
      <ability>L2_HalfPunc</ability>
      <abilityName>全半角检查</abilityName>
      <candidateList>
        <item>: </item>
      </candidateList>
      <explain>文本全半角错误。</explain>
      <paraID>41EA58EE</paraID>
      <start>5</start>
      <end>6</end>
      <status>unmodified</status>
      <modifiedWord/>
      <trackRevisions>false</trackRevisions>
    </reviewItem>
    <reviewItem>
      <errorID>d18af8a7-3946-4056-a660-b59a1653ccac</errorID>
      <errorWord>：</errorWord>
      <group>L1_Format</group>
      <groupName>格式问题</groupName>
      <ability>L2_HalfPunc</ability>
      <abilityName>全半角检查</abilityName>
      <candidateList>
        <item>: </item>
      </candidateList>
      <explain>文本全半角错误。</explain>
      <paraID>41EA58EE</paraID>
      <start>9</start>
      <end>10</end>
      <status>unmodified</status>
      <modifiedWord/>
      <trackRevisions>false</trackRevisions>
    </reviewItem>
    <reviewItem>
      <errorID>4e6d3fd1-43e4-4356-9cc8-abdf75166d51</errorID>
      <errorWord>；</errorWord>
      <group>L1_Format</group>
      <groupName>格式问题</groupName>
      <ability>L2_HalfPunc</ability>
      <abilityName>全半角检查</abilityName>
      <candidateList>
        <item>; </item>
      </candidateList>
      <explain>文本全半角错误。</explain>
      <paraID>41EA58EE</paraID>
      <start>38</start>
      <end>39</end>
      <status>unmodified</status>
      <modifiedWord/>
      <trackRevisions>false</trackRevisions>
    </reviewItem>
    <reviewItem>
      <errorID>66ff686a-c7ac-4433-8817-6506169cc2d3</errorID>
      <errorWord>：</errorWord>
      <group>L1_Format</group>
      <groupName>格式问题</groupName>
      <ability>L2_HalfPunc</ability>
      <abilityName>全半角检查</abilityName>
      <candidateList>
        <item>: </item>
      </candidateList>
      <explain>文本全半角错误。</explain>
      <paraID>41EA58EE</paraID>
      <start>43</start>
      <end>44</end>
      <status>unmodified</status>
      <modifiedWord/>
      <trackRevisions>false</trackRevisions>
    </reviewItem>
    <reviewItem>
      <errorID>e4720aec-084e-44c1-9e87-949979781286</errorID>
      <errorWord>；</errorWord>
      <group>L1_Format</group>
      <groupName>格式问题</groupName>
      <ability>L2_HalfPunc</ability>
      <abilityName>全半角检查</abilityName>
      <candidateList>
        <item>; </item>
      </candidateList>
      <explain>文本全半角错误。</explain>
      <paraID>41EA58EE</paraID>
      <start>84</start>
      <end>85</end>
      <status>unmodified</status>
      <modifiedWord/>
      <trackRevisions>false</trackRevisions>
    </reviewItem>
    <reviewItem>
      <errorID>b838a53a-4ea4-4264-930a-6bbdbdea2f96</errorID>
      <errorWord>：</errorWord>
      <group>L1_Format</group>
      <groupName>格式问题</groupName>
      <ability>L2_HalfPunc</ability>
      <abilityName>全半角检查</abilityName>
      <candidateList>
        <item>: </item>
      </candidateList>
      <explain>文本全半角错误。</explain>
      <paraID>41EA58EE</paraID>
      <start>89</start>
      <end>90</end>
      <status>unmodified</status>
      <modifiedWord/>
      <trackRevisions>false</trackRevisions>
    </reviewItem>
    <reviewItem>
      <errorID>74bf967a-b8ec-45d5-8675-406fc333eaae</errorID>
      <errorWord>’</errorWord>
      <group>L1_Punc</group>
      <groupName>标点问题</groupName>
      <ability>L2_Punc</ability>
      <abilityName>标点符号检查</abilityName>
      <candidateList/>
      <explain/>
      <paraID>42E67904</paraID>
      <start>115</start>
      <end>116</end>
      <status>unmodified</status>
      <modifiedWord/>
      <trackRevisions>false</trackRevisions>
    </reviewItem>
    <reviewItem>
      <errorID>6b102eb3-36d6-4fb9-b23d-0bdf992e807b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7EA6D16C</paraID>
      <start>30</start>
      <end>31</end>
      <status>unmodified</status>
      <modifiedWord/>
      <trackRevisions>false</trackRevisions>
    </reviewItem>
    <reviewItem>
      <errorID>7e666a80-0a0a-40fe-9f0a-4e57d3804617</errorID>
      <errorWord>（</errorWord>
      <group>L1_Format</group>
      <groupName>格式问题</groupName>
      <ability>L2_HalfPunc</ability>
      <abilityName>全半角检查</abilityName>
      <candidateList>
        <item>(</item>
      </candidateList>
      <explain>文本全半角错误。</explain>
      <paraID>1B921521</paraID>
      <start>0</start>
      <end>1</end>
      <status>unmodified</status>
      <modifiedWord/>
      <trackRevisions>false</trackRevisions>
    </reviewItem>
    <reviewItem>
      <errorID>748af675-2c42-42fd-9695-71bc0b541120</errorID>
      <errorWord>）</errorWord>
      <group>L1_Format</group>
      <groupName>格式问题</groupName>
      <ability>L2_HalfPunc</ability>
      <abilityName>全半角检查</abilityName>
      <candidateList>
        <item>)</item>
      </candidateList>
      <explain>文本全半角错误。</explain>
      <paraID>1B921521</paraID>
      <start>6</start>
      <end>7</end>
      <status>unmodified</status>
      <modifiedWord/>
      <trackRevisions>false</trackRevisions>
    </reviewItem>
    <reviewItem>
      <errorID>43f41b5d-f49d-437f-a2cd-36b0244b3fdd</errorID>
      <errorWord>（</errorWord>
      <group>L1_Format</group>
      <groupName>格式问题</groupName>
      <ability>L2_HalfPunc</ability>
      <abilityName>全半角检查</abilityName>
      <candidateList>
        <item>(</item>
      </candidateList>
      <explain>文本全半角错误。</explain>
      <paraID>1BEF675C</paraID>
      <start>4</start>
      <end>5</end>
      <status>unmodified</status>
      <modifiedWord/>
      <trackRevisions>false</trackRevisions>
    </reviewItem>
    <reviewItem>
      <errorID>1a49492e-9f64-40af-9a4f-ce3605342530</errorID>
      <errorWord>）</errorWord>
      <group>L1_Format</group>
      <groupName>格式问题</groupName>
      <ability>L2_HalfPunc</ability>
      <abilityName>全半角检查</abilityName>
      <candidateList>
        <item>)</item>
      </candidateList>
      <explain>文本全半角错误。</explain>
      <paraID>1BEF675C</paraID>
      <start>11</start>
      <end>12</end>
      <status>unmodified</status>
      <modifiedWord/>
      <trackRevisions>false</trackRevisions>
    </reviewItem>
    <reviewItem>
      <errorID>742b40ad-ac67-4593-92d7-71148234bae6</errorID>
      <errorWord>（</errorWord>
      <group>L1_Format</group>
      <groupName>格式问题</groupName>
      <ability>L2_HalfPunc</ability>
      <abilityName>全半角检查</abilityName>
      <candidateList>
        <item>(</item>
      </candidateList>
      <explain>文本全半角错误。</explain>
      <paraID>26074101</paraID>
      <start>4</start>
      <end>5</end>
      <status>unmodified</status>
      <modifiedWord/>
      <trackRevisions>false</trackRevisions>
    </reviewItem>
    <reviewItem>
      <errorID>bf405e12-41b7-47cf-9415-2443714c0ae9</errorID>
      <errorWord>）</errorWord>
      <group>L1_Format</group>
      <groupName>格式问题</groupName>
      <ability>L2_HalfPunc</ability>
      <abilityName>全半角检查</abilityName>
      <candidateList>
        <item>)</item>
      </candidateList>
      <explain>文本全半角错误。</explain>
      <paraID>26074101</paraID>
      <start>11</start>
      <end>12</end>
      <status>unmodified</status>
      <modifiedWord/>
      <trackRevisions>false</trackRevisions>
    </reviewItem>
    <reviewItem>
      <errorID>dfc3c15a-75e4-498d-be29-8852a53453c4</errorID>
      <errorWord>（</errorWord>
      <group>L1_Format</group>
      <groupName>格式问题</groupName>
      <ability>L2_HalfPunc</ability>
      <abilityName>全半角检查</abilityName>
      <candidateList>
        <item>(</item>
      </candidateList>
      <explain>文本全半角错误。</explain>
      <paraID>637C9266</paraID>
      <start>0</start>
      <end>1</end>
      <status>unmodified</status>
      <modifiedWord/>
      <trackRevisions>false</trackRevisions>
    </reviewItem>
    <reviewItem>
      <errorID>3a341d8c-7847-4894-ae79-8e4cbbe9821b</errorID>
      <errorWord>）（</errorWord>
      <group>L1_Format</group>
      <groupName>格式问题</groupName>
      <ability>L2_HalfPunc</ability>
      <abilityName>全半角检查</abilityName>
      <candidateList>
        <item>)(</item>
      </candidateList>
      <explain>文本全半角错误。</explain>
      <paraID>637C9266</paraID>
      <start>15</start>
      <end>17</end>
      <status>unmodified</status>
      <modifiedWord/>
      <trackRevisions>false</trackRevisions>
    </reviewItem>
    <reviewItem>
      <errorID>af81009f-fcec-4931-b128-7fac49f7968b</errorID>
      <errorWord>）</errorWord>
      <group>L1_Format</group>
      <groupName>格式问题</groupName>
      <ability>L2_HalfPunc</ability>
      <abilityName>全半角检查</abilityName>
      <candidateList>
        <item>)</item>
      </candidateList>
      <explain>文本全半角错误。</explain>
      <paraID>637C9266</paraID>
      <start>18</start>
      <end>19</end>
      <status>unmodified</status>
      <modifiedWord/>
      <trackRevisions>false</trackRevisions>
    </reviewItem>
    <reviewItem>
      <errorID>2fc4a448-59dc-44f8-a5bb-d138b4c17ea8</errorID>
      <errorWord>：</errorWord>
      <group>L1_Format</group>
      <groupName>格式问题</groupName>
      <ability>L2_HalfPunc</ability>
      <abilityName>全半角检查</abilityName>
      <candidateList>
        <item>: </item>
      </candidateList>
      <explain>文本全半角错误。</explain>
      <paraID>19897234</paraID>
      <start>5</start>
      <end>6</end>
      <status>unmodified</status>
      <modifiedWord/>
      <trackRevisions>false</trackRevisions>
    </reviewItem>
    <reviewItem>
      <errorID>b88d601b-3bca-4b8d-bfd9-e35c56ac8283</errorID>
      <errorWord>：</errorWord>
      <group>L1_Format</group>
      <groupName>格式问题</groupName>
      <ability>L2_HalfPunc</ability>
      <abilityName>全半角检查</abilityName>
      <candidateList>
        <item>: </item>
      </candidateList>
      <explain>文本全半角错误。</explain>
      <paraID>19897234</paraID>
      <start>10</start>
      <end>11</end>
      <status>unmodified</status>
      <modifiedWord/>
      <trackRevisions>false</trackRevisions>
    </reviewItem>
    <reviewItem>
      <errorID>e14f255f-0893-42e3-a73a-e0ed487e2b12</errorID>
      <errorWord>；</errorWord>
      <group>L1_Format</group>
      <groupName>格式问题</groupName>
      <ability>L2_HalfPunc</ability>
      <abilityName>全半角检查</abilityName>
      <candidateList>
        <item>; </item>
      </candidateList>
      <explain>文本全半角错误。</explain>
      <paraID>19897234</paraID>
      <start>63</start>
      <end>64</end>
      <status>unmodified</status>
      <modifiedWord/>
      <trackRevisions>false</trackRevisions>
    </reviewItem>
    <reviewItem>
      <errorID>929928a1-fe19-4bed-a6aa-2aac5e554222</errorID>
      <errorWord>：</errorWord>
      <group>L1_Format</group>
      <groupName>格式问题</groupName>
      <ability>L2_HalfPunc</ability>
      <abilityName>全半角检查</abilityName>
      <candidateList>
        <item>: </item>
      </candidateList>
      <explain>文本全半角错误。</explain>
      <paraID>19897234</paraID>
      <start>68</start>
      <end>69</end>
      <status>unmodified</status>
      <modifiedWord/>
      <trackRevisions>false</trackRevisions>
    </reviewItem>
    <reviewItem>
      <errorID>faf4a7a2-ef9f-4e7e-bf4a-f0e9afa2329a</errorID>
      <errorWord>中</errorWord>
      <group>L1_Word</group>
      <groupName>字词问题</groupName>
      <ability>L2_Typo</ability>
      <abilityName>字词错误</abilityName>
      <candidateList>
        <item>肿</item>
      </candidateList>
      <explain/>
      <paraID>64A33B3C</paraID>
      <start>21</start>
      <end>22</end>
      <status>unmodified</status>
      <modifiedWord/>
      <trackRevisions>false</trackRevisions>
    </reviewItem>
    <reviewItem>
      <errorID>794cf325-f98d-496b-a9c9-bc84153a8977</errorID>
      <errorWord>（</errorWord>
      <group>L1_Format</group>
      <groupName>格式问题</groupName>
      <ability>L2_HalfPunc</ability>
      <abilityName>全半角检查</abilityName>
      <candidateList>
        <item>(</item>
      </candidateList>
      <explain>文本全半角错误。</explain>
      <paraID>226E90FC</paraID>
      <start>79</start>
      <end>80</end>
      <status>unmodified</status>
      <modifiedWord/>
      <trackRevisions>false</trackRevisions>
    </reviewItem>
    <reviewItem>
      <errorID>f2a9f459-26ad-4d06-a696-1ba1dec8c779</errorID>
      <errorWord>）</errorWord>
      <group>L1_Format</group>
      <groupName>格式问题</groupName>
      <ability>L2_HalfPunc</ability>
      <abilityName>全半角检查</abilityName>
      <candidateList>
        <item>)</item>
      </candidateList>
      <explain>文本全半角错误。</explain>
      <paraID>226E90FC</paraID>
      <start>85</start>
      <end>86</end>
      <status>unmodified</status>
      <modifiedWord/>
      <trackRevisions>false</trackRevisions>
    </reviewItem>
    <reviewItem>
      <errorID>9031990d-bcbf-40af-8904-deca09d46bf3</errorID>
      <errorWord>（</errorWord>
      <group>L1_Format</group>
      <groupName>格式问题</groupName>
      <ability>L2_HalfPunc</ability>
      <abilityName>全半角检查</abilityName>
      <candidateList>
        <item>(</item>
      </candidateList>
      <explain>文本全半角错误。</explain>
      <paraID> 19C5830</paraID>
      <start>4</start>
      <end>5</end>
      <status>unmodified</status>
      <modifiedWord/>
      <trackRevisions>false</trackRevisions>
    </reviewItem>
    <reviewItem>
      <errorID>8ac977f4-b4f3-4474-8175-d41631f521e9</errorID>
      <errorWord>）</errorWord>
      <group>L1_Format</group>
      <groupName>格式问题</groupName>
      <ability>L2_HalfPunc</ability>
      <abilityName>全半角检查</abilityName>
      <candidateList>
        <item>)</item>
      </candidateList>
      <explain>文本全半角错误。</explain>
      <paraID> 19C5830</paraID>
      <start>6</start>
      <end>7</end>
      <status>unmodified</status>
      <modifiedWord/>
      <trackRevisions>false</trackRevisions>
    </reviewItem>
    <reviewItem>
      <errorID>63a18124-c7b4-439b-b9f1-562e3d114ba0</errorID>
      <errorWord>（</errorWord>
      <group>L1_Format</group>
      <groupName>格式问题</groupName>
      <ability>L2_HalfPunc</ability>
      <abilityName>全半角检查</abilityName>
      <candidateList>
        <item>(</item>
      </candidateList>
      <explain>文本全半角错误。</explain>
      <paraID>366350D5</paraID>
      <start>5</start>
      <end>6</end>
      <status>unmodified</status>
      <modifiedWord/>
      <trackRevisions>false</trackRevisions>
    </reviewItem>
    <reviewItem>
      <errorID>79089b9c-86e8-4a2b-8004-75caec228d68</errorID>
      <errorWord>）</errorWord>
      <group>L1_Format</group>
      <groupName>格式问题</groupName>
      <ability>L2_HalfPunc</ability>
      <abilityName>全半角检查</abilityName>
      <candidateList>
        <item>)</item>
      </candidateList>
      <explain>文本全半角错误。</explain>
      <paraID>366350D5</paraID>
      <start>7</start>
      <end>8</end>
      <status>unmodified</status>
      <modifiedWord/>
      <trackRevisions>false</trackRevisions>
    </reviewItem>
    <reviewItem>
      <errorID>8613fbf6-508e-4721-9d37-da9353360066</errorID>
      <errorWord>：</errorWord>
      <group>L1_Format</group>
      <groupName>格式问题</groupName>
      <ability>L2_HalfPunc</ability>
      <abilityName>全半角检查</abilityName>
      <candidateList>
        <item>: </item>
      </candidateList>
      <explain>文本全半角错误。</explain>
      <paraID>3B78A4AA</paraID>
      <start>5</start>
      <end>6</end>
      <status>unmodified</status>
      <modifiedWord/>
      <trackRevisions>false</trackRevisions>
    </reviewItem>
    <reviewItem>
      <errorID>c671094a-d57c-4b3b-a04b-9e794eb02e6f</errorID>
      <errorWord>：</errorWord>
      <group>L1_Format</group>
      <groupName>格式问题</groupName>
      <ability>L2_HalfPunc</ability>
      <abilityName>全半角检查</abilityName>
      <candidateList>
        <item>: </item>
      </candidateList>
      <explain>文本全半角错误。</explain>
      <paraID>3B78A4AA</paraID>
      <start>11</start>
      <end>12</end>
      <status>unmodified</status>
      <modifiedWord/>
      <trackRevisions>false</trackRevisions>
    </reviewItem>
    <reviewItem>
      <errorID>9cc22c4a-4c1e-453b-9fb3-59f3b741e0c6</errorID>
      <errorWord>；</errorWord>
      <group>L1_Format</group>
      <groupName>格式问题</groupName>
      <ability>L2_HalfPunc</ability>
      <abilityName>全半角检查</abilityName>
      <candidateList>
        <item>; </item>
      </candidateList>
      <explain>文本全半角错误。</explain>
      <paraID>3B78A4AA</paraID>
      <start>74</start>
      <end>75</end>
      <status>unmodified</status>
      <modifiedWord/>
      <trackRevisions>false</trackRevisions>
    </reviewItem>
    <reviewItem>
      <errorID>d970dc9e-a11b-41bc-8df8-1eceb8501ad4</errorID>
      <errorWord>：</errorWord>
      <group>L1_Format</group>
      <groupName>格式问题</groupName>
      <ability>L2_HalfPunc</ability>
      <abilityName>全半角检查</abilityName>
      <candidateList>
        <item>: </item>
      </candidateList>
      <explain>文本全半角错误。</explain>
      <paraID>3B78A4AA</paraID>
      <start>79</start>
      <end>80</end>
      <status>unmodified</status>
      <modifiedWord/>
      <trackRevisions>false</trackRevisions>
    </reviewItem>
    <reviewItem>
      <errorID>7f0c4e24-fcec-40c1-8cd3-e53d5b18c87b</errorID>
      <errorWord>；</errorWord>
      <group>L1_Format</group>
      <groupName>格式问题</groupName>
      <ability>L2_HalfPunc</ability>
      <abilityName>全半角检查</abilityName>
      <candidateList>
        <item>; </item>
      </candidateList>
      <explain>文本全半角错误。</explain>
      <paraID>3B78A4AA</paraID>
      <start>112</start>
      <end>113</end>
      <status>unmodified</status>
      <modifiedWord/>
      <trackRevisions>false</trackRevisions>
    </reviewItem>
    <reviewItem>
      <errorID>b06a739e-4094-44cb-9c82-be24b53c0ece</errorID>
      <errorWord>：</errorWord>
      <group>L1_Format</group>
      <groupName>格式问题</groupName>
      <ability>L2_HalfPunc</ability>
      <abilityName>全半角检查</abilityName>
      <candidateList>
        <item>: </item>
      </candidateList>
      <explain>文本全半角错误。</explain>
      <paraID>3B78A4AA</paraID>
      <start>115</start>
      <end>116</end>
      <status>unmodified</status>
      <modifiedWord/>
      <trackRevisions>false</trackRevisions>
    </reviewItem>
    <reviewItem>
      <errorID>532442af-a290-4c32-b72d-1bbffa9f99cc</errorID>
      <errorWord>（</errorWord>
      <group>L1_Format</group>
      <groupName>格式问题</groupName>
      <ability>L2_HalfPunc</ability>
      <abilityName>全半角检查</abilityName>
      <candidateList>
        <item>(</item>
      </candidateList>
      <explain>文本全半角错误。</explain>
      <paraID>7DA9C0F3</paraID>
      <start>91</start>
      <end>92</end>
      <status>unmodified</status>
      <modifiedWord/>
      <trackRevisions>false</trackRevisions>
    </reviewItem>
    <reviewItem>
      <errorID>540f4c48-91cf-4f1c-92bc-8a0d3a998205</errorID>
      <errorWord>）</errorWord>
      <group>L1_Format</group>
      <groupName>格式问题</groupName>
      <ability>L2_HalfPunc</ability>
      <abilityName>全半角检查</abilityName>
      <candidateList>
        <item>)</item>
      </candidateList>
      <explain>文本全半角错误。</explain>
      <paraID>7DA9C0F3</paraID>
      <start>97</start>
      <end>98</end>
      <status>unmodified</status>
      <modifiedWord/>
      <trackRevisions>false</trackRevisions>
    </reviewItem>
    <reviewItem>
      <errorID>91ebb93e-02f6-4ab4-ab8f-f0a6fbcf2c17</errorID>
      <errorWord>（</errorWord>
      <group>L1_Format</group>
      <groupName>格式问题</groupName>
      <ability>L2_HalfPunc</ability>
      <abilityName>全半角检查</abilityName>
      <candidateList>
        <item>(</item>
      </candidateList>
      <explain>文本全半角错误。</explain>
      <paraID>5E79E11A</paraID>
      <start>4</start>
      <end>5</end>
      <status>unmodified</status>
      <modifiedWord/>
      <trackRevisions>false</trackRevisions>
    </reviewItem>
    <reviewItem>
      <errorID>f02fb23b-be9e-449c-a250-2e7f9d0efeda</errorID>
      <errorWord>）</errorWord>
      <group>L1_Format</group>
      <groupName>格式问题</groupName>
      <ability>L2_HalfPunc</ability>
      <abilityName>全半角检查</abilityName>
      <candidateList>
        <item>)</item>
      </candidateList>
      <explain>文本全半角错误。</explain>
      <paraID>5E79E11A</paraID>
      <start>6</start>
      <end>7</end>
      <status>unmodified</status>
      <modifiedWord/>
      <trackRevisions>false</trackRevisions>
    </reviewItem>
    <reviewItem>
      <errorID>21d352e5-b7d9-4c57-99f8-08f5746d7469</errorID>
      <errorWord>（</errorWord>
      <group>L1_Format</group>
      <groupName>格式问题</groupName>
      <ability>L2_HalfPunc</ability>
      <abilityName>全半角检查</abilityName>
      <candidateList>
        <item>(</item>
      </candidateList>
      <explain>文本全半角错误。</explain>
      <paraID>28004645</paraID>
      <start>5</start>
      <end>6</end>
      <status>unmodified</status>
      <modifiedWord/>
      <trackRevisions>false</trackRevisions>
    </reviewItem>
    <reviewItem>
      <errorID>0384422f-126c-4e7e-ab95-418b4e8e7bed</errorID>
      <errorWord>）</errorWord>
      <group>L1_Format</group>
      <groupName>格式问题</groupName>
      <ability>L2_HalfPunc</ability>
      <abilityName>全半角检查</abilityName>
      <candidateList>
        <item>)</item>
      </candidateList>
      <explain>文本全半角错误。</explain>
      <paraID>28004645</paraID>
      <start>7</start>
      <end>8</end>
      <status>unmodified</status>
      <modifiedWord/>
      <trackRevisions>false</trackRevisions>
    </reviewItem>
    <reviewItem>
      <errorID>92322463-7e07-47e1-add2-bdef9e8a8963</errorID>
      <errorWord>：</errorWord>
      <group>L1_Format</group>
      <groupName>格式问题</groupName>
      <ability>L2_HalfPunc</ability>
      <abilityName>全半角检查</abilityName>
      <candidateList>
        <item>: </item>
      </candidateList>
      <explain>文本全半角错误。</explain>
      <paraID>3210CF7B</paraID>
      <start>5</start>
      <end>6</end>
      <status>unmodified</status>
      <modifiedWord/>
      <trackRevisions>false</trackRevisions>
    </reviewItem>
    <reviewItem>
      <errorID>9e03e37f-1781-44f4-a7db-ccffea2e08e5</errorID>
      <errorWord>：</errorWord>
      <group>L1_Format</group>
      <groupName>格式问题</groupName>
      <ability>L2_HalfPunc</ability>
      <abilityName>全半角检查</abilityName>
      <candidateList>
        <item>: </item>
      </candidateList>
      <explain>文本全半角错误。</explain>
      <paraID>3210CF7B</paraID>
      <start>10</start>
      <end>11</end>
      <status>unmodified</status>
      <modifiedWord/>
      <trackRevisions>false</trackRevisions>
    </reviewItem>
    <reviewItem>
      <errorID>27cad449-36a8-47fa-a342-dcba0b38aaed</errorID>
      <errorWord>；</errorWord>
      <group>L1_Format</group>
      <groupName>格式问题</groupName>
      <ability>L2_HalfPunc</ability>
      <abilityName>全半角检查</abilityName>
      <candidateList>
        <item>; </item>
      </candidateList>
      <explain>文本全半角错误。</explain>
      <paraID>3210CF7B</paraID>
      <start>43</start>
      <end>44</end>
      <status>unmodified</status>
      <modifiedWord/>
      <trackRevisions>false</trackRevisions>
    </reviewItem>
    <reviewItem>
      <errorID>dd236677-23cd-4c64-a810-a44e29cecf73</errorID>
      <errorWord>：</errorWord>
      <group>L1_Format</group>
      <groupName>格式问题</groupName>
      <ability>L2_HalfPunc</ability>
      <abilityName>全半角检查</abilityName>
      <candidateList>
        <item>: </item>
      </candidateList>
      <explain>文本全半角错误。</explain>
      <paraID>3210CF7B</paraID>
      <start>46</start>
      <end>47</end>
      <status>unmodified</status>
      <modifiedWord/>
      <trackRevisions>false</trackRevisions>
    </reviewItem>
    <reviewItem>
      <errorID>a69b7b0c-d2b0-47dd-a2be-f4a21a3ca982</errorID>
      <errorWord>（</errorWord>
      <group>L1_Format</group>
      <groupName>格式问题</groupName>
      <ability>L2_HalfPunc</ability>
      <abilityName>全半角检查</abilityName>
      <candidateList>
        <item>(</item>
      </candidateList>
      <explain>文本全半角错误。</explain>
      <paraID> A7218B7</paraID>
      <start>79</start>
      <end>80</end>
      <status>unmodified</status>
      <modifiedWord/>
      <trackRevisions>false</trackRevisions>
    </reviewItem>
    <reviewItem>
      <errorID>c5c7aef8-4e4e-4bb0-ac18-24ff004b33e5</errorID>
      <errorWord>）</errorWord>
      <group>L1_Format</group>
      <groupName>格式问题</groupName>
      <ability>L2_HalfPunc</ability>
      <abilityName>全半角检查</abilityName>
      <candidateList>
        <item>)</item>
      </candidateList>
      <explain>文本全半角错误。</explain>
      <paraID> A7218B7</paraID>
      <start>85</start>
      <end>86</end>
      <status>unmodified</status>
      <modifiedWord/>
      <trackRevisions>false</trackRevisions>
    </reviewItem>
    <reviewItem>
      <errorID>71e04dab-e134-4080-b2e1-e3da3172b343</errorID>
      <errorWord>（</errorWord>
      <group>L1_Format</group>
      <groupName>格式问题</groupName>
      <ability>L2_HalfPunc</ability>
      <abilityName>全半角检查</abilityName>
      <candidateList>
        <item>(</item>
      </candidateList>
      <explain>文本全半角错误。</explain>
      <paraID>54053FCE</paraID>
      <start>4</start>
      <end>5</end>
      <status>unmodified</status>
      <modifiedWord/>
      <trackRevisions>false</trackRevisions>
    </reviewItem>
    <reviewItem>
      <errorID>092b2e6f-02cd-48ac-b702-7ca7821651c8</errorID>
      <errorWord>）</errorWord>
      <group>L1_Format</group>
      <groupName>格式问题</groupName>
      <ability>L2_HalfPunc</ability>
      <abilityName>全半角检查</abilityName>
      <candidateList>
        <item>)</item>
      </candidateList>
      <explain>文本全半角错误。</explain>
      <paraID>54053FCE</paraID>
      <start>6</start>
      <end>7</end>
      <status>unmodified</status>
      <modifiedWord/>
      <trackRevisions>false</trackRevisions>
    </reviewItem>
    <reviewItem>
      <errorID>02ac0ea1-602b-481a-a3a7-eb2c6e3c2a90</errorID>
      <errorWord>（</errorWord>
      <group>L1_Format</group>
      <groupName>格式问题</groupName>
      <ability>L2_HalfPunc</ability>
      <abilityName>全半角检查</abilityName>
      <candidateList>
        <item>(</item>
      </candidateList>
      <explain>文本全半角错误。</explain>
      <paraID>78A8569A</paraID>
      <start>5</start>
      <end>6</end>
      <status>unmodified</status>
      <modifiedWord/>
      <trackRevisions>false</trackRevisions>
    </reviewItem>
    <reviewItem>
      <errorID>e3479be9-0f57-4af8-ad9d-b02ede186d8e</errorID>
      <errorWord>）</errorWord>
      <group>L1_Format</group>
      <groupName>格式问题</groupName>
      <ability>L2_HalfPunc</ability>
      <abilityName>全半角检查</abilityName>
      <candidateList>
        <item>)</item>
      </candidateList>
      <explain>文本全半角错误。</explain>
      <paraID>78A8569A</paraID>
      <start>7</start>
      <end>8</end>
      <status>unmodified</status>
      <modifiedWord/>
      <trackRevisions>false</trackRevisions>
    </reviewItem>
    <reviewItem>
      <errorID>c91bfb43-567e-4ca4-a23f-7bf91f6de682</errorID>
      <errorWord>：</errorWord>
      <group>L1_Format</group>
      <groupName>格式问题</groupName>
      <ability>L2_HalfPunc</ability>
      <abilityName>全半角检查</abilityName>
      <candidateList>
        <item>: </item>
      </candidateList>
      <explain>文本全半角错误。</explain>
      <paraID>72F33F72</paraID>
      <start>5</start>
      <end>6</end>
      <status>unmodified</status>
      <modifiedWord/>
      <trackRevisions>false</trackRevisions>
    </reviewItem>
    <reviewItem>
      <errorID>f308d78b-223e-4ce7-8b7e-26bcb89dbb00</errorID>
      <errorWord>：</errorWord>
      <group>L1_Format</group>
      <groupName>格式问题</groupName>
      <ability>L2_HalfPunc</ability>
      <abilityName>全半角检查</abilityName>
      <candidateList>
        <item>: </item>
      </candidateList>
      <explain>文本全半角错误。</explain>
      <paraID>72F33F72</paraID>
      <start>11</start>
      <end>12</end>
      <status>unmodified</status>
      <modifiedWord/>
      <trackRevisions>false</trackRevisions>
    </reviewItem>
    <reviewItem>
      <errorID>cab2e917-7fb6-45a9-b85a-d408ce0b6089</errorID>
      <errorWord>；</errorWord>
      <group>L1_Format</group>
      <groupName>格式问题</groupName>
      <ability>L2_HalfPunc</ability>
      <abilityName>全半角检查</abilityName>
      <candidateList>
        <item>; </item>
      </candidateList>
      <explain>文本全半角错误。</explain>
      <paraID>72F33F72</paraID>
      <start>74</start>
      <end>75</end>
      <status>unmodified</status>
      <modifiedWord/>
      <trackRevisions>false</trackRevisions>
    </reviewItem>
    <reviewItem>
      <errorID>0316aeb8-8090-4f18-b34d-2669fc2ed7b2</errorID>
      <errorWord>：</errorWord>
      <group>L1_Format</group>
      <groupName>格式问题</groupName>
      <ability>L2_HalfPunc</ability>
      <abilityName>全半角检查</abilityName>
      <candidateList>
        <item>: </item>
      </candidateList>
      <explain>文本全半角错误。</explain>
      <paraID>72F33F72</paraID>
      <start>79</start>
      <end>80</end>
      <status>unmodified</status>
      <modifiedWord/>
      <trackRevisions>false</trackRevisions>
    </reviewItem>
    <reviewItem>
      <errorID>39856d0f-5330-4ef1-9626-bd892a7f5546</errorID>
      <errorWord>；</errorWord>
      <group>L1_Format</group>
      <groupName>格式问题</groupName>
      <ability>L2_HalfPunc</ability>
      <abilityName>全半角检查</abilityName>
      <candidateList>
        <item>; </item>
      </candidateList>
      <explain>文本全半角错误。</explain>
      <paraID>72F33F72</paraID>
      <start>112</start>
      <end>113</end>
      <status>unmodified</status>
      <modifiedWord/>
      <trackRevisions>false</trackRevisions>
    </reviewItem>
    <reviewItem>
      <errorID>55104ab0-cbdc-4eb9-a198-7ab95d7ce43f</errorID>
      <errorWord>：</errorWord>
      <group>L1_Format</group>
      <groupName>格式问题</groupName>
      <ability>L2_HalfPunc</ability>
      <abilityName>全半角检查</abilityName>
      <candidateList>
        <item>: </item>
      </candidateList>
      <explain>文本全半角错误。</explain>
      <paraID>72F33F72</paraID>
      <start>115</start>
      <end>116</end>
      <status>unmodified</status>
      <modifiedWord/>
      <trackRevisions>false</trackRevisions>
    </reviewItem>
    <reviewItem>
      <errorID>97c2e9b9-987d-450b-803f-c429fd41c828</errorID>
      <errorWord>（</errorWord>
      <group>L1_Format</group>
      <groupName>格式问题</groupName>
      <ability>L2_HalfPunc</ability>
      <abilityName>全半角检查</abilityName>
      <candidateList>
        <item>(</item>
      </candidateList>
      <explain>文本全半角错误。</explain>
      <paraID>63117BBD</paraID>
      <start>91</start>
      <end>92</end>
      <status>unmodified</status>
      <modifiedWord/>
      <trackRevisions>false</trackRevisions>
    </reviewItem>
    <reviewItem>
      <errorID>0b8dbac8-ec86-48f9-828a-e49d80061c82</errorID>
      <errorWord>）</errorWord>
      <group>L1_Format</group>
      <groupName>格式问题</groupName>
      <ability>L2_HalfPunc</ability>
      <abilityName>全半角检查</abilityName>
      <candidateList>
        <item>)</item>
      </candidateList>
      <explain>文本全半角错误。</explain>
      <paraID>63117BBD</paraID>
      <start>97</start>
      <end>98</end>
      <status>unmodified</status>
      <modifiedWord/>
      <trackRevisions>false</trackRevisions>
    </reviewItem>
    <reviewItem>
      <errorID>e97a8bf5-c3be-4c41-ac35-bdd2a3a265a9</errorID>
      <errorWord>（</errorWord>
      <group>L1_Format</group>
      <groupName>格式问题</groupName>
      <ability>L2_HalfPunc</ability>
      <abilityName>全半角检查</abilityName>
      <candidateList>
        <item>(</item>
      </candidateList>
      <explain>文本全半角错误。</explain>
      <paraID>42B298E0</paraID>
      <start>4</start>
      <end>5</end>
      <status>unmodified</status>
      <modifiedWord/>
      <trackRevisions>false</trackRevisions>
    </reviewItem>
    <reviewItem>
      <errorID>b27f9f7d-9cd1-46b0-b696-151bdbbbcf71</errorID>
      <errorWord>）</errorWord>
      <group>L1_Format</group>
      <groupName>格式问题</groupName>
      <ability>L2_HalfPunc</ability>
      <abilityName>全半角检查</abilityName>
      <candidateList>
        <item>)</item>
      </candidateList>
      <explain>文本全半角错误。</explain>
      <paraID>42B298E0</paraID>
      <start>6</start>
      <end>7</end>
      <status>unmodified</status>
      <modifiedWord/>
      <trackRevisions>false</trackRevisions>
    </reviewItem>
    <reviewItem>
      <errorID>4aaeca30-ae90-4dfc-a6e2-a3e7e3da48a8</errorID>
      <errorWord>（</errorWord>
      <group>L1_Format</group>
      <groupName>格式问题</groupName>
      <ability>L2_HalfPunc</ability>
      <abilityName>全半角检查</abilityName>
      <candidateList>
        <item>(</item>
      </candidateList>
      <explain>文本全半角错误。</explain>
      <paraID>70008A09</paraID>
      <start>5</start>
      <end>6</end>
      <status>unmodified</status>
      <modifiedWord/>
      <trackRevisions>false</trackRevisions>
    </reviewItem>
    <reviewItem>
      <errorID>49720be4-71ed-4a96-a2d3-92d63def90af</errorID>
      <errorWord>）</errorWord>
      <group>L1_Format</group>
      <groupName>格式问题</groupName>
      <ability>L2_HalfPunc</ability>
      <abilityName>全半角检查</abilityName>
      <candidateList>
        <item>)</item>
      </candidateList>
      <explain>文本全半角错误。</explain>
      <paraID>70008A09</paraID>
      <start>7</start>
      <end>8</end>
      <status>unmodified</status>
      <modifiedWord/>
      <trackRevisions>false</trackRevisions>
    </reviewItem>
    <reviewItem>
      <errorID>cb8bebef-d6ad-49b4-947a-474774500945</errorID>
      <errorWord>：</errorWord>
      <group>L1_Format</group>
      <groupName>格式问题</groupName>
      <ability>L2_HalfPunc</ability>
      <abilityName>全半角检查</abilityName>
      <candidateList>
        <item>: </item>
      </candidateList>
      <explain>文本全半角错误。</explain>
      <paraID>5FC1FA30</paraID>
      <start>5</start>
      <end>6</end>
      <status>unmodified</status>
      <modifiedWord/>
      <trackRevisions>false</trackRevisions>
    </reviewItem>
    <reviewItem>
      <errorID>b637b369-2aad-4640-9505-0750c5390477</errorID>
      <errorWord>：</errorWord>
      <group>L1_Format</group>
      <groupName>格式问题</groupName>
      <ability>L2_HalfPunc</ability>
      <abilityName>全半角检查</abilityName>
      <candidateList>
        <item>: </item>
      </candidateList>
      <explain>文本全半角错误。</explain>
      <paraID>5FC1FA30</paraID>
      <start>10</start>
      <end>11</end>
      <status>unmodified</status>
      <modifiedWord/>
      <trackRevisions>false</trackRevisions>
    </reviewItem>
    <reviewItem>
      <errorID>a1842f45-7411-4528-b09b-4afe042a18c3</errorID>
      <errorWord>；</errorWord>
      <group>L1_Format</group>
      <groupName>格式问题</groupName>
      <ability>L2_HalfPunc</ability>
      <abilityName>全半角检查</abilityName>
      <candidateList>
        <item>; </item>
      </candidateList>
      <explain>文本全半角错误。</explain>
      <paraID>5FC1FA30</paraID>
      <start>43</start>
      <end>44</end>
      <status>unmodified</status>
      <modifiedWord/>
      <trackRevisions>false</trackRevisions>
    </reviewItem>
    <reviewItem>
      <errorID>962f33d7-d1ce-4cc5-94d5-83905e7b4ea6</errorID>
      <errorWord>：</errorWord>
      <group>L1_Format</group>
      <groupName>格式问题</groupName>
      <ability>L2_HalfPunc</ability>
      <abilityName>全半角检查</abilityName>
      <candidateList>
        <item>: </item>
      </candidateList>
      <explain>文本全半角错误。</explain>
      <paraID>5FC1FA30</paraID>
      <start>46</start>
      <end>47</end>
      <status>unmodified</status>
      <modifiedWord/>
      <trackRevisions>false</trackRevisions>
    </reviewItem>
    <reviewItem>
      <errorID>a97047c8-3b94-4358-a3bd-5d035735d87d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3A89FEE1</paraID>
      <start>6</start>
      <end>7</end>
      <status>unmodified</status>
      <modifiedWord/>
      <trackRevisions>false</trackRevisions>
    </reviewItem>
    <reviewItem>
      <errorID>f09ac6b6-75e7-493e-91ca-ece14b59840c</errorID>
      <errorWord>（</errorWord>
      <group>L1_Format</group>
      <groupName>格式问题</groupName>
      <ability>L2_HalfPunc</ability>
      <abilityName>全半角检查</abilityName>
      <candidateList>
        <item>(</item>
      </candidateList>
      <explain>文本全半角错误。</explain>
      <paraID> DA23C6E</paraID>
      <start>4</start>
      <end>5</end>
      <status>unmodified</status>
      <modifiedWord/>
      <trackRevisions>false</trackRevisions>
    </reviewItem>
    <reviewItem>
      <errorID>2bf99c94-4a91-47e0-a920-9e83bfccdde6</errorID>
      <errorWord>）</errorWord>
      <group>L1_Format</group>
      <groupName>格式问题</groupName>
      <ability>L2_HalfPunc</ability>
      <abilityName>全半角检查</abilityName>
      <candidateList>
        <item>)</item>
      </candidateList>
      <explain>文本全半角错误。</explain>
      <paraID> DA23C6E</paraID>
      <start>6</start>
      <end>7</end>
      <status>unmodified</status>
      <modifiedWord/>
      <trackRevisions>false</trackRevisions>
    </reviewItem>
    <reviewItem>
      <errorID>b8f51731-c585-4878-b2df-6d7ca9fe83c2</errorID>
      <errorWord>（</errorWord>
      <group>L1_Format</group>
      <groupName>格式问题</groupName>
      <ability>L2_HalfPunc</ability>
      <abilityName>全半角检查</abilityName>
      <candidateList>
        <item>(</item>
      </candidateList>
      <explain>文本全半角错误。</explain>
      <paraID> 6538A9D</paraID>
      <start>18</start>
      <end>19</end>
      <status>unmodified</status>
      <modifiedWord/>
      <trackRevisions>false</trackRevisions>
    </reviewItem>
    <reviewItem>
      <errorID>1688354e-6c62-4533-a11e-b191c84dfba7</errorID>
      <errorWord>）</errorWord>
      <group>L1_Format</group>
      <groupName>格式问题</groupName>
      <ability>L2_HalfPunc</ability>
      <abilityName>全半角检查</abilityName>
      <candidateList>
        <item>)</item>
      </candidateList>
      <explain>文本全半角错误。</explain>
      <paraID> 6538A9D</paraID>
      <start>25</start>
      <end>26</end>
      <status>unmodified</status>
      <modifiedWord/>
      <trackRevisions>false</trackRevisions>
    </reviewItem>
    <reviewItem>
      <errorID>5582adf9-7a24-4fc1-86fd-bc3ca7bd0c2a</errorID>
      <errorWord>：</errorWord>
      <group>L1_Format</group>
      <groupName>格式问题</groupName>
      <ability>L2_HalfPunc</ability>
      <abilityName>全半角检查</abilityName>
      <candidateList>
        <item>: </item>
      </candidateList>
      <explain>文本全半角错误。</explain>
      <paraID>16DDD0E9</paraID>
      <start>5</start>
      <end>6</end>
      <status>unmodified</status>
      <modifiedWord/>
      <trackRevisions>false</trackRevisions>
    </reviewItem>
    <reviewItem>
      <errorID>ea3c8165-9e6e-49d2-bec6-cb9e978f3e8a</errorID>
      <errorWord>：</errorWord>
      <group>L1_Format</group>
      <groupName>格式问题</groupName>
      <ability>L2_HalfPunc</ability>
      <abilityName>全半角检查</abilityName>
      <candidateList>
        <item>: </item>
      </candidateList>
      <explain>文本全半角错误。</explain>
      <paraID>16DDD0E9</paraID>
      <start>10</start>
      <end>11</end>
      <status>unmodified</status>
      <modifiedWord/>
      <trackRevisions>false</trackRevisions>
    </reviewItem>
    <reviewItem>
      <errorID>69cea0d5-3ccc-4a62-9673-ebe68c0b7ab8</errorID>
      <errorWord>（</errorWord>
      <group>L1_Format</group>
      <groupName>格式问题</groupName>
      <ability>L2_HalfPunc</ability>
      <abilityName>全半角检查</abilityName>
      <candidateList>
        <item>(</item>
      </candidateList>
      <explain>文本全半角错误。</explain>
      <paraID>56281A36</paraID>
      <start>4</start>
      <end>5</end>
      <status>unmodified</status>
      <modifiedWord/>
      <trackRevisions>false</trackRevisions>
    </reviewItem>
    <reviewItem>
      <errorID>5cb3000b-5304-4020-8dca-dee284427fd6</errorID>
      <errorWord>）</errorWord>
      <group>L1_Format</group>
      <groupName>格式问题</groupName>
      <ability>L2_HalfPunc</ability>
      <abilityName>全半角检查</abilityName>
      <candidateList>
        <item>)</item>
      </candidateList>
      <explain>文本全半角错误。</explain>
      <paraID>56281A36</paraID>
      <start>6</start>
      <end>7</end>
      <status>unmodified</status>
      <modifiedWord/>
      <trackRevisions>false</trackRevisions>
    </reviewItem>
    <reviewItem>
      <errorID>5217210f-de77-4983-99fe-6803ff83ac49</errorID>
      <errorWord>（</errorWord>
      <group>L1_Format</group>
      <groupName>格式问题</groupName>
      <ability>L2_HalfPunc</ability>
      <abilityName>全半角检查</abilityName>
      <candidateList>
        <item>(</item>
      </candidateList>
      <explain>文本全半角错误。</explain>
      <paraID>54F368D8</paraID>
      <start>18</start>
      <end>19</end>
      <status>unmodified</status>
      <modifiedWord/>
      <trackRevisions>false</trackRevisions>
    </reviewItem>
    <reviewItem>
      <errorID>21e40750-1b78-4115-90c6-55215059053c</errorID>
      <errorWord>）</errorWord>
      <group>L1_Format</group>
      <groupName>格式问题</groupName>
      <ability>L2_HalfPunc</ability>
      <abilityName>全半角检查</abilityName>
      <candidateList>
        <item>)</item>
      </candidateList>
      <explain>文本全半角错误。</explain>
      <paraID>54F368D8</paraID>
      <start>25</start>
      <end>26</end>
      <status>unmodified</status>
      <modifiedWord/>
      <trackRevisions>false</trackRevisions>
    </reviewItem>
    <reviewItem>
      <errorID>97ef545d-4a2b-42e7-9f9b-1bcc1f0c151f</errorID>
      <errorWord>：</errorWord>
      <group>L1_Format</group>
      <groupName>格式问题</groupName>
      <ability>L2_HalfPunc</ability>
      <abilityName>全半角检查</abilityName>
      <candidateList>
        <item>: </item>
      </candidateList>
      <explain>文本全半角错误。</explain>
      <paraID>4903DB76</paraID>
      <start>5</start>
      <end>6</end>
      <status>unmodified</status>
      <modifiedWord/>
      <trackRevisions>false</trackRevisions>
    </reviewItem>
    <reviewItem>
      <errorID>252c2140-7773-48d8-8632-83e429446588</errorID>
      <errorWord>：</errorWord>
      <group>L1_Format</group>
      <groupName>格式问题</groupName>
      <ability>L2_HalfPunc</ability>
      <abilityName>全半角检查</abilityName>
      <candidateList>
        <item>: </item>
      </candidateList>
      <explain>文本全半角错误。</explain>
      <paraID>4903DB76</paraID>
      <start>10</start>
      <end>11</end>
      <status>unmodified</status>
      <modifiedWord/>
      <trackRevisions>false</trackRevisions>
    </reviewItem>
    <reviewItem>
      <errorID>da1b9aff-3c9c-470f-bec1-2e7c7be9f6e0</errorID>
      <errorWord>：</errorWord>
      <group>L1_Format</group>
      <groupName>格式问题</groupName>
      <ability>L2_HalfPunc</ability>
      <abilityName>全半角检查</abilityName>
      <candidateList>
        <item>: </item>
      </candidateList>
      <explain>文本全半角错误。</explain>
      <paraID>4903DB76</paraID>
      <start>48</start>
      <end>49</end>
      <status>unmodified</status>
      <modifiedWord/>
      <trackRevisions>false</trackRevisions>
    </reviewItem>
    <reviewItem>
      <errorID>d1dc9801-56c2-4545-9080-5fedf3661a37</errorID>
      <errorWord>：</errorWord>
      <group>L1_Format</group>
      <groupName>格式问题</groupName>
      <ability>L2_HalfPunc</ability>
      <abilityName>全半角检查</abilityName>
      <candidateList>
        <item>: </item>
      </candidateList>
      <explain>文本全半角错误。</explain>
      <paraID>4903DB76</paraID>
      <start>118</start>
      <end>119</end>
      <status>unmodified</status>
      <modifiedWord/>
      <trackRevisions>false</trackRevisions>
    </reviewItem>
    <reviewItem>
      <errorID>63246525-3378-460b-aadd-92e2d20e4af0</errorID>
      <errorWord>加强</errorWord>
      <group>L1_Grammar</group>
      <groupName>语法问题</groupName>
      <ability>L2_Grammar</ability>
      <abilityName>语法错误</abilityName>
      <candidateList>
        <item>加大</item>
      </candidateList>
      <explain>“加强～力度”搭配不当，建议修改为“加大～力度”。</explain>
      <paraID>7DAD2BA7</paraID>
      <start>116</start>
      <end>118</end>
      <status>modified</status>
      <modifiedWord>加大</modifiedWord>
      <trackRevisions>false</trackRevisions>
    </reviewItem>
    <reviewItem>
      <errorID>d0f011c6-9eea-420a-b9b8-57f91c8aaecf</errorID>
      <errorWord>，</errorWord>
      <group>L1_Format</group>
      <groupName>格式问题</groupName>
      <ability>L2_HalfPunc</ability>
      <abilityName>全半角检查</abilityName>
      <candidateList>
        <item>, </item>
      </candidateList>
      <explain>文本全半角错误。</explain>
      <paraID>79329F87</paraID>
      <start>7</start>
      <end>8</end>
      <status>unmodified</status>
      <modifiedWord/>
      <trackRevisions>false</trackRevisions>
    </reviewItem>
    <reviewItem>
      <errorID>249392a2-ce2f-466d-83d8-9f17a9bb5333</errorID>
      <errorWord>，</errorWord>
      <group>L1_Format</group>
      <groupName>格式问题</groupName>
      <ability>L2_HalfPunc</ability>
      <abilityName>全半角检查</abilityName>
      <candidateList>
        <item>, </item>
      </candidateList>
      <explain>文本全半角错误。</explain>
      <paraID>79329F87</paraID>
      <start>12</start>
      <end>13</end>
      <status>unmodified</status>
      <modifiedWord/>
      <trackRevisions>false</trackRevisions>
    </reviewItem>
    <reviewItem>
      <errorID>b9aa1c6d-fecc-4d0c-8d22-e3144ef6fc6b</errorID>
      <errorWord>，</errorWord>
      <group>L1_Format</group>
      <groupName>格式问题</groupName>
      <ability>L2_HalfPunc</ability>
      <abilityName>全半角检查</abilityName>
      <candidateList>
        <item>, </item>
      </candidateList>
      <explain>文本全半角错误。</explain>
      <paraID>79329F87</paraID>
      <start>20</start>
      <end>21</end>
      <status>unmodified</status>
      <modifiedWord/>
      <trackRevisions>false</trackRevisions>
    </reviewItem>
    <reviewItem>
      <errorID>558c74b5-0c50-4aa1-a561-7456dbd1efec</errorID>
      <errorWord>：</errorWord>
      <group>L1_Format</group>
      <groupName>格式问题</groupName>
      <ability>L2_HalfPunc</ability>
      <abilityName>全半角检查</abilityName>
      <candidateList>
        <item>:</item>
      </candidateList>
      <explain>文本全半角错误。</explain>
      <paraID>79329F87</paraID>
      <start>156</start>
      <end>157</end>
      <status>unmodified</status>
      <modifiedWord/>
      <trackRevisions>false</trackRevisions>
    </reviewItem>
    <reviewItem>
      <errorID>7e4e1056-4408-4ac4-ac29-fdd09d9b1e94</errorID>
      <errorWord>’</errorWord>
      <group>L1_Punc</group>
      <groupName>标点问题</groupName>
      <ability>L2_Punc</ability>
      <abilityName>标点符号检查</abilityName>
      <candidateList/>
      <explain/>
      <paraID>59240214</paraID>
      <start>92</start>
      <end>93</end>
      <status>unmodified</status>
      <modifiedWord/>
      <trackRevisions>false</trackRevisions>
    </reviewItem>
    <reviewItem>
      <errorID>d137c649-00b0-406c-87cd-2924ffe65df7</errorID>
      <errorWord>,</errorWord>
      <group>L1_Format</group>
      <groupName>格式问题</groupName>
      <ability>L2_HalfPunc</ability>
      <abilityName>全半角检查</abilityName>
      <candidateList>
        <item>，</item>
      </candidateList>
      <explain>文本全半角错误。</explain>
      <paraID>6C44F974</paraID>
      <start>5</start>
      <end>6</end>
      <status>unmodified</status>
      <modifiedWord/>
      <trackRevisions>false</trackRevisions>
    </reviewItem>
    <reviewItem>
      <errorID>e681e030-d946-46e9-8836-ea51bfdb0194</errorID>
      <errorWord>,</errorWord>
      <group>L1_Format</group>
      <groupName>格式问题</groupName>
      <ability>L2_HalfPunc</ability>
      <abilityName>全半角检查</abilityName>
      <candidateList>
        <item>，</item>
      </candidateList>
      <explain>文本全半角错误。</explain>
      <paraID>6C44F974</paraID>
      <start>9</start>
      <end>10</end>
      <status>unmodified</status>
      <modifiedWord/>
      <trackRevisions>false</trackRevisions>
    </reviewItem>
    <reviewItem>
      <errorID>3c6c99c1-2195-4ed4-a267-82994934ad90</errorID>
      <errorWord>,</errorWord>
      <group>L1_Format</group>
      <groupName>格式问题</groupName>
      <ability>L2_HalfPunc</ability>
      <abilityName>全半角检查</abilityName>
      <candidateList>
        <item>，</item>
      </candidateList>
      <explain>文本全半角错误。</explain>
      <paraID>6C44F974</paraID>
      <start>13</start>
      <end>14</end>
      <status>unmodified</status>
      <modifiedWord/>
      <trackRevisions>false</trackRevisions>
    </reviewItem>
    <reviewItem>
      <errorID>67920a1d-dda9-4fcc-850d-b5eab141aeae</errorID>
      <errorWord>.</errorWord>
      <group>L1_Format</group>
      <groupName>格式问题</groupName>
      <ability>L2_HalfPunc</ability>
      <abilityName>全半角检查</abilityName>
      <candidateList>
        <item>。</item>
      </candidateList>
      <explain>文本全半角错误。</explain>
      <paraID>6C44F974</paraID>
      <start>15</start>
      <end>16</end>
      <status>unmodified</status>
      <modifiedWord/>
      <trackRevisions>false</trackRevisions>
    </reviewItem>
    <reviewItem>
      <errorID>daff8290-3485-47f1-8672-052f9007473b</errorID>
      <errorWord>.</errorWord>
      <group>L1_Format</group>
      <groupName>格式问题</groupName>
      <ability>L2_HalfPunc</ability>
      <abilityName>全半角检查</abilityName>
      <candidateList>
        <item>。</item>
      </candidateList>
      <explain>文本全半角错误。</explain>
      <paraID>6C44F974</paraID>
      <start>52</start>
      <end>53</end>
      <status>unmodified</status>
      <modifiedWord/>
      <trackRevisions>false</trackRevisions>
    </reviewItem>
    <reviewItem>
      <errorID>895edcfb-b8c7-4333-9fb4-7d46632fe5c4</errorID>
      <errorWord>,</errorWord>
      <group>L1_Format</group>
      <groupName>格式问题</groupName>
      <ability>L2_HalfPunc</ability>
      <abilityName>全半角检查</abilityName>
      <candidateList>
        <item>，</item>
      </candidateList>
      <explain>文本全半角错误。</explain>
      <paraID>6C44F974</paraID>
      <start>61</start>
      <end>62</end>
      <status>unmodified</status>
      <modifiedWord/>
      <trackRevisions>false</trackRevisions>
    </reviewItem>
    <reviewItem>
      <errorID>ee603a6c-0bb3-4d5b-9d99-2e622b41bb45</errorID>
      <errorWord>)</errorWord>
      <group>L1_Format</group>
      <groupName>格式问题</groupName>
      <ability>L2_HalfPunc</ability>
      <abilityName>全半角检查</abilityName>
      <candidateList>
        <item>）</item>
      </candidateList>
      <explain>文本全半角错误。</explain>
      <paraID>43338E3D</paraID>
      <start>66</start>
      <end>67</end>
      <status>unmodified</status>
      <modifiedWord/>
      <trackRevisions>false</trackRevisions>
    </reviewItem>
    <reviewItem>
      <errorID>fe063551-5246-4e1d-8cb4-51f00340dbba</errorID>
      <errorWord>，</errorWord>
      <group>L1_Format</group>
      <groupName>格式问题</groupName>
      <ability>L2_HalfPunc</ability>
      <abilityName>全半角检查</abilityName>
      <candidateList>
        <item>, </item>
      </candidateList>
      <explain>文本全半角错误。</explain>
      <paraID>4BCFEB39</paraID>
      <start>7</start>
      <end>8</end>
      <status>unmodified</status>
      <modifiedWord/>
      <trackRevisions>false</trackRevisions>
    </reviewItem>
    <reviewItem>
      <errorID>af265db8-6044-4663-baca-b1d009958061</errorID>
      <errorWord>，</errorWord>
      <group>L1_Format</group>
      <groupName>格式问题</groupName>
      <ability>L2_HalfPunc</ability>
      <abilityName>全半角检查</abilityName>
      <candidateList>
        <item>, </item>
      </candidateList>
      <explain>文本全半角错误。</explain>
      <paraID>4BCFEB39</paraID>
      <start>14</start>
      <end>15</end>
      <status>unmodified</status>
      <modifiedWord/>
      <trackRevisions>false</trackRevisions>
    </reviewItem>
    <reviewItem>
      <errorID>b5e29d62-d4cc-489d-a956-6327366f27d5</errorID>
      <errorWord>，</errorWord>
      <group>L1_Format</group>
      <groupName>格式问题</groupName>
      <ability>L2_HalfPunc</ability>
      <abilityName>全半角检查</abilityName>
      <candidateList>
        <item>, </item>
      </candidateList>
      <explain>文本全半角错误。</explain>
      <paraID>4BCFEB39</paraID>
      <start>23</start>
      <end>24</end>
      <status>unmodified</status>
      <modifiedWord/>
      <trackRevisions>false</trackRevisions>
    </reviewItem>
    <reviewItem>
      <errorID>ca483963-1ab8-4299-854d-06dae7a504ee</errorID>
      <errorWord>：</errorWord>
      <group>L1_Format</group>
      <groupName>格式问题</groupName>
      <ability>L2_HalfPunc</ability>
      <abilityName>全半角检查</abilityName>
      <candidateList>
        <item>:</item>
      </candidateList>
      <explain>文本全半角错误。</explain>
      <paraID>4BCFEB39</paraID>
      <start>171</start>
      <end>172</end>
      <status>unmodified</status>
      <modifiedWord/>
      <trackRevisions>false</trackRevisions>
    </reviewItem>
    <reviewItem>
      <errorID>3407530d-9be8-4dff-b3e8-7fd15c309e99</errorID>
      <errorWord>)</errorWord>
      <group>L1_Format</group>
      <groupName>格式问题</groupName>
      <ability>L2_HalfPunc</ability>
      <abilityName>全半角检查</abilityName>
      <candidateList>
        <item>）</item>
      </candidateList>
      <explain>文本全半角错误。</explain>
      <paraID>17157263</paraID>
      <start>58</start>
      <end>59</end>
      <status>unmodified</status>
      <modifiedWord/>
      <trackRevisions>false</trackRevisions>
    </reviewItem>
    <reviewItem>
      <errorID>67aa0409-647a-4cfc-8631-3fbab25f83cc</errorID>
      <errorWord>，</errorWord>
      <group>L1_Format</group>
      <groupName>格式问题</groupName>
      <ability>L2_HalfPunc</ability>
      <abilityName>全半角检查</abilityName>
      <candidateList>
        <item>, </item>
      </candidateList>
      <explain>文本全半角错误。</explain>
      <paraID>652193CF</paraID>
      <start>7</start>
      <end>8</end>
      <status>unmodified</status>
      <modifiedWord/>
      <trackRevisions>false</trackRevisions>
    </reviewItem>
    <reviewItem>
      <errorID>45ca499a-b917-4f49-bcba-67b82f926613</errorID>
      <errorWord>，</errorWord>
      <group>L1_Format</group>
      <groupName>格式问题</groupName>
      <ability>L2_HalfPunc</ability>
      <abilityName>全半角检查</abilityName>
      <candidateList>
        <item>, </item>
      </candidateList>
      <explain>文本全半角错误。</explain>
      <paraID>652193CF</paraID>
      <start>16</start>
      <end>17</end>
      <status>unmodified</status>
      <modifiedWord/>
      <trackRevisions>false</trackRevisions>
    </reviewItem>
    <reviewItem>
      <errorID>22c52ccd-e780-466e-ad29-dce5184668a9</errorID>
      <errorWord>，</errorWord>
      <group>L1_Format</group>
      <groupName>格式问题</groupName>
      <ability>L2_HalfPunc</ability>
      <abilityName>全半角检查</abilityName>
      <candidateList>
        <item>, </item>
      </candidateList>
      <explain>文本全半角错误。</explain>
      <paraID>652193CF</paraID>
      <start>21</start>
      <end>22</end>
      <status>unmodified</status>
      <modifiedWord/>
      <trackRevisions>false</trackRevisions>
    </reviewItem>
    <reviewItem>
      <errorID>1bfbb430-bc08-4b57-8526-8df6d5ab025d</errorID>
      <errorWord>：</errorWord>
      <group>L1_Format</group>
      <groupName>格式问题</groupName>
      <ability>L2_HalfPunc</ability>
      <abilityName>全半角检查</abilityName>
      <candidateList>
        <item>:</item>
      </candidateList>
      <explain>文本全半角错误。</explain>
      <paraID>652193CF</paraID>
      <start>154</start>
      <end>155</end>
      <status>unmodified</status>
      <modifiedWord/>
      <trackRevisions>false</trackRevisions>
    </reviewItem>
    <reviewItem>
      <errorID>d7144119-cf99-4884-867d-2a0bc781d125</errorID>
      <errorWord>，</errorWord>
      <group>L1_Format</group>
      <groupName>格式问题</groupName>
      <ability>L2_HalfPunc</ability>
      <abilityName>全半角检查</abilityName>
      <candidateList>
        <item>, </item>
      </candidateList>
      <explain>文本全半角错误。</explain>
      <paraID>63611625</paraID>
      <start>8</start>
      <end>9</end>
      <status>unmodified</status>
      <modifiedWord/>
      <trackRevisions>false</trackRevisions>
    </reviewItem>
    <reviewItem>
      <errorID>448f9f3a-1414-42bd-8674-5b470d498983</errorID>
      <errorWord>，</errorWord>
      <group>L1_Format</group>
      <groupName>格式问题</groupName>
      <ability>L2_HalfPunc</ability>
      <abilityName>全半角检查</abilityName>
      <candidateList>
        <item>, </item>
      </candidateList>
      <explain>文本全半角错误。</explain>
      <paraID>63611625</paraID>
      <start>17</start>
      <end>18</end>
      <status>unmodified</status>
      <modifiedWord/>
      <trackRevisions>false</trackRevisions>
    </reviewItem>
    <reviewItem>
      <errorID>dd951ba8-12d2-495b-b7a5-263d90ab0054</errorID>
      <errorWord>，</errorWord>
      <group>L1_Format</group>
      <groupName>格式问题</groupName>
      <ability>L2_HalfPunc</ability>
      <abilityName>全半角检查</abilityName>
      <candidateList>
        <item>, </item>
      </candidateList>
      <explain>文本全半角错误。</explain>
      <paraID>63611625</paraID>
      <start>27</start>
      <end>28</end>
      <status>unmodified</status>
      <modifiedWord/>
      <trackRevisions>false</trackRevisions>
    </reviewItem>
    <reviewItem>
      <errorID>9ee7438b-2375-426d-bcb1-cd971c93d00d</errorID>
      <errorWord>：</errorWord>
      <group>L1_Format</group>
      <groupName>格式问题</groupName>
      <ability>L2_HalfPunc</ability>
      <abilityName>全半角检查</abilityName>
      <candidateList>
        <item>:</item>
      </candidateList>
      <explain>文本全半角错误。</explain>
      <paraID>63611625</paraID>
      <start>153</start>
      <end>154</end>
      <status>unmodified</status>
      <modifiedWord/>
      <trackRevisions>false</trackRevisions>
    </reviewItem>
    <reviewItem>
      <errorID>65f3e6e4-fee1-40a4-8118-c25b2f12c8e6</errorID>
      <errorWord>，</errorWord>
      <group>L1_Format</group>
      <groupName>格式问题</groupName>
      <ability>L2_HalfPunc</ability>
      <abilityName>全半角检查</abilityName>
      <candidateList>
        <item>, </item>
      </candidateList>
      <explain>文本全半角错误。</explain>
      <paraID>2F638083</paraID>
      <start>8</start>
      <end>9</end>
      <status>unmodified</status>
      <modifiedWord/>
      <trackRevisions>false</trackRevisions>
    </reviewItem>
    <reviewItem>
      <errorID>d43d41ed-0138-4792-88f2-72d629ae4a80</errorID>
      <errorWord>，</errorWord>
      <group>L1_Format</group>
      <groupName>格式问题</groupName>
      <ability>L2_HalfPunc</ability>
      <abilityName>全半角检查</abilityName>
      <candidateList>
        <item>, </item>
      </candidateList>
      <explain>文本全半角错误。</explain>
      <paraID>2F638083</paraID>
      <start>16</start>
      <end>17</end>
      <status>unmodified</status>
      <modifiedWord/>
      <trackRevisions>false</trackRevisions>
    </reviewItem>
    <reviewItem>
      <errorID>c2fd16b1-a29a-43f7-973d-c617cd90fc0d</errorID>
      <errorWord>，</errorWord>
      <group>L1_Format</group>
      <groupName>格式问题</groupName>
      <ability>L2_HalfPunc</ability>
      <abilityName>全半角检查</abilityName>
      <candidateList>
        <item>, </item>
      </candidateList>
      <explain>文本全半角错误。</explain>
      <paraID>2F638083</paraID>
      <start>22</start>
      <end>23</end>
      <status>unmodified</status>
      <modifiedWord/>
      <trackRevisions>false</trackRevisions>
    </reviewItem>
    <reviewItem>
      <errorID>bdab8032-ea06-4450-8275-c47d115ab291</errorID>
      <errorWord>：</errorWord>
      <group>L1_Format</group>
      <groupName>格式问题</groupName>
      <ability>L2_HalfPunc</ability>
      <abilityName>全半角检查</abilityName>
      <candidateList>
        <item>:</item>
      </candidateList>
      <explain>文本全半角错误。</explain>
      <paraID>2F638083</paraID>
      <start>153</start>
      <end>154</end>
      <status>unmodified</status>
      <modifiedWord/>
      <trackRevisions>false</trackRevisions>
    </reviewItem>
    <reviewItem>
      <errorID>ed79d2d3-0fb0-47f9-b157-bd444d5e5395</errorID>
      <errorWord>．</errorWord>
      <group>L1_Format</group>
      <groupName>格式问题</groupName>
      <ability>L2_HalfPunc</ability>
      <abilityName>全半角检查</abilityName>
      <candidateList>
        <item>。</item>
      </candidateList>
      <explain>文本全半角错误。</explain>
      <paraID>5F8ED83A</paraID>
      <start>17</start>
      <end>18</end>
      <status>unmodified</status>
      <modifiedWord/>
      <trackRevisions>false</trackRevisions>
    </reviewItem>
    <reviewItem>
      <errorID>f6e065c7-c332-4d48-92f6-f1570dbfacee</errorID>
      <errorWord>．</errorWord>
      <group>L1_Format</group>
      <groupName>格式问题</groupName>
      <ability>L2_HalfPunc</ability>
      <abilityName>全半角检查</abilityName>
      <candidateList>
        <item>。</item>
      </candidateList>
      <explain>文本全半角错误。</explain>
      <paraID>5F8ED83A</paraID>
      <start>46</start>
      <end>47</end>
      <status>unmodified</status>
      <modifiedWord/>
      <trackRevisions>false</trackRevisions>
    </reviewItem>
    <reviewItem>
      <errorID>a0ad7faa-350e-4afb-8cd8-a876db2f40e9</errorID>
      <errorWord>,</errorWord>
      <group>L1_Format</group>
      <groupName>格式问题</groupName>
      <ability>L2_HalfPunc</ability>
      <abilityName>全半角检查</abilityName>
      <candidateList>
        <item>，</item>
      </candidateList>
      <explain>文本全半角错误。</explain>
      <paraID>377E4ABA</paraID>
      <start>7</start>
      <end>8</end>
      <status>unmodified</status>
      <modifiedWord/>
      <trackRevisions>false</trackRevisions>
    </reviewItem>
    <reviewItem>
      <errorID>091218a9-790a-44d0-87d2-cb43224829f1</errorID>
      <errorWord>,</errorWord>
      <group>L1_Format</group>
      <groupName>格式问题</groupName>
      <ability>L2_HalfPunc</ability>
      <abilityName>全半角检查</abilityName>
      <candidateList>
        <item>，</item>
      </candidateList>
      <explain>文本全半角错误。</explain>
      <paraID>377E4ABA</paraID>
      <start>11</start>
      <end>12</end>
      <status>unmodified</status>
      <modifiedWord/>
      <trackRevisions>false</trackRevisions>
    </reviewItem>
    <reviewItem>
      <errorID>9fdbdafb-4d0d-49da-a1ac-7a519a9638c3</errorID>
      <errorWord>,</errorWord>
      <group>L1_Format</group>
      <groupName>格式问题</groupName>
      <ability>L2_HalfPunc</ability>
      <abilityName>全半角检查</abilityName>
      <candidateList>
        <item>，</item>
      </candidateList>
      <explain>文本全半角错误。</explain>
      <paraID>377E4ABA</paraID>
      <start>15</start>
      <end>16</end>
      <status>unmodified</status>
      <modifiedWord/>
      <trackRevisions>false</trackRevisions>
    </reviewItem>
    <reviewItem>
      <errorID>a42c725b-27c0-4ca0-9fdd-9d1884fa8724</errorID>
      <errorWord>.</errorWord>
      <group>L1_Format</group>
      <groupName>格式问题</groupName>
      <ability>L2_HalfPunc</ability>
      <abilityName>全半角检查</abilityName>
      <candidateList>
        <item>。</item>
      </candidateList>
      <explain>文本全半角错误。</explain>
      <paraID>377E4ABA</paraID>
      <start>17</start>
      <end>18</end>
      <status>unmodified</status>
      <modifiedWord/>
      <trackRevisions>false</trackRevisions>
    </reviewItem>
    <reviewItem>
      <errorID>dfb05231-aaaa-49d8-bc83-f0a8f2d5dea0</errorID>
      <errorWord>.</errorWord>
      <group>L1_Format</group>
      <groupName>格式问题</groupName>
      <ability>L2_HalfPunc</ability>
      <abilityName>全半角检查</abilityName>
      <candidateList>
        <item>。</item>
      </candidateList>
      <explain>文本全半角错误。</explain>
      <paraID>377E4ABA</paraID>
      <start>33</start>
      <end>34</end>
      <status>unmodified</status>
      <modifiedWord/>
      <trackRevisions>false</trackRevisions>
    </reviewItem>
    <reviewItem>
      <errorID>9cb6d5b8-3201-4858-8670-664c9145ea05</errorID>
      <errorWord>,</errorWord>
      <group>L1_Format</group>
      <groupName>格式问题</groupName>
      <ability>L2_HalfPunc</ability>
      <abilityName>全半角检查</abilityName>
      <candidateList>
        <item>，</item>
      </candidateList>
      <explain>文本全半角错误。</explain>
      <paraID>377E4ABA</paraID>
      <start>42</start>
      <end>43</end>
      <status>unmodified</status>
      <modifiedWord/>
      <trackRevisions>false</trackRevisions>
    </reviewItem>
    <reviewItem>
      <errorID>5398ede2-12f6-4e34-9fa3-c210782cf11e</errorID>
      <errorWord>,</errorWord>
      <group>L1_Format</group>
      <groupName>格式问题</groupName>
      <ability>L2_HalfPunc</ability>
      <abilityName>全半角检查</abilityName>
      <candidateList>
        <item>，</item>
      </candidateList>
      <explain>文本全半角错误。</explain>
      <paraID>40B73B3B</paraID>
      <start>7</start>
      <end>8</end>
      <status>unmodified</status>
      <modifiedWord/>
      <trackRevisions>false</trackRevisions>
    </reviewItem>
    <reviewItem>
      <errorID>0f83e363-6035-4d48-8198-f863af7a5e24</errorID>
      <errorWord>,</errorWord>
      <group>L1_Format</group>
      <groupName>格式问题</groupName>
      <ability>L2_HalfPunc</ability>
      <abilityName>全半角检查</abilityName>
      <candidateList>
        <item>，</item>
      </candidateList>
      <explain>文本全半角错误。</explain>
      <paraID>40B73B3B</paraID>
      <start>10</start>
      <end>11</end>
      <status>unmodified</status>
      <modifiedWord/>
      <trackRevisions>false</trackRevisions>
    </reviewItem>
    <reviewItem>
      <errorID>ad4afb2d-a187-4fb5-8eca-7d7aafa392e9</errorID>
      <errorWord>,</errorWord>
      <group>L1_Format</group>
      <groupName>格式问题</groupName>
      <ability>L2_HalfPunc</ability>
      <abilityName>全半角检查</abilityName>
      <candidateList>
        <item>，</item>
      </candidateList>
      <explain>文本全半角错误。</explain>
      <paraID>40B73B3B</paraID>
      <start>13</start>
      <end>14</end>
      <status>unmodified</status>
      <modifiedWord/>
      <trackRevisions>false</trackRevisions>
    </reviewItem>
    <reviewItem>
      <errorID>ad1da787-3182-4298-a441-31a33de990c3</errorID>
      <errorWord>.</errorWord>
      <group>L1_Format</group>
      <groupName>格式问题</groupName>
      <ability>L2_HalfPunc</ability>
      <abilityName>全半角检查</abilityName>
      <candidateList>
        <item>。</item>
      </candidateList>
      <explain>文本全半角错误。</explain>
      <paraID>40B73B3B</paraID>
      <start>15</start>
      <end>16</end>
      <status>unmodified</status>
      <modifiedWord/>
      <trackRevisions>false</trackRevisions>
    </reviewItem>
    <reviewItem>
      <errorID>eed29f88-91ba-4994-929b-1c6b5f2ab8ed</errorID>
      <errorWord>及其</errorWord>
      <group>L1_Word</group>
      <groupName>字词问题</groupName>
      <ability>L2_Typo</ability>
      <abilityName>字词错误</abilityName>
      <candidateList>
        <item>极其</item>
      </candidateList>
      <explain>〈副〉非常；极端：～重视｜～光荣｜受到了～深刻的教育。</explain>
      <paraID>40B73B3B</paraID>
      <start>40</start>
      <end>42</end>
      <status>unmodified</status>
      <modifiedWord/>
      <trackRevisions>false</trackRevisions>
    </reviewItem>
    <reviewItem>
      <errorID>946e52eb-e8b1-4a32-a55a-1cdccb0ca804</errorID>
      <errorWord>.</errorWord>
      <group>L1_Format</group>
      <groupName>格式问题</groupName>
      <ability>L2_HalfPunc</ability>
      <abilityName>全半角检查</abilityName>
      <candidateList>
        <item>。</item>
      </candidateList>
      <explain>文本全半角错误。</explain>
      <paraID>40B73B3B</paraID>
      <start>48</start>
      <end>49</end>
      <status>unmodified</status>
      <modifiedWord/>
      <trackRevisions>false</trackRevisions>
    </reviewItem>
    <reviewItem>
      <errorID>7c8ab806-31c8-4979-b504-f31bb2ed81c0</errorID>
      <errorWord>,</errorWord>
      <group>L1_Format</group>
      <groupName>格式问题</groupName>
      <ability>L2_HalfPunc</ability>
      <abilityName>全半角检查</abilityName>
      <candidateList>
        <item>，</item>
      </candidateList>
      <explain>文本全半角错误。</explain>
      <paraID>40B73B3B</paraID>
      <start>55</start>
      <end>56</end>
      <status>unmodified</status>
      <modifiedWord/>
      <trackRevisions>false</trackRevisions>
    </reviewItem>
    <reviewItem>
      <errorID>d33138da-9e76-4611-aa08-f0d0ac54c1ad</errorID>
      <errorWord>，</errorWord>
      <group>L1_Format</group>
      <groupName>格式问题</groupName>
      <ability>L2_HalfPunc</ability>
      <abilityName>全半角检查</abilityName>
      <candidateList>
        <item>, </item>
      </candidateList>
      <explain>文本全半角错误。</explain>
      <paraID>329EA4BE</paraID>
      <start>7</start>
      <end>8</end>
      <status>unmodified</status>
      <modifiedWord/>
      <trackRevisions>false</trackRevisions>
    </reviewItem>
    <reviewItem>
      <errorID>abdde50f-c933-4265-b89e-85781cc22c91</errorID>
      <errorWord>：</errorWord>
      <group>L1_Format</group>
      <groupName>格式问题</groupName>
      <ability>L2_HalfPunc</ability>
      <abilityName>全半角检查</abilityName>
      <candidateList>
        <item>:</item>
      </candidateList>
      <explain>文本全半角错误。</explain>
      <paraID>329EA4BE</paraID>
      <start>141</start>
      <end>142</end>
      <status>unmodified</status>
      <modifiedWord/>
      <trackRevisions>false</trackRevisions>
    </reviewItem>
  </reviewItems>
  <config/>
</contractReview>
</file>

<file path=customXml/itemProps1.xml><?xml version="1.0" encoding="utf-8"?>
<ds:datastoreItem xmlns:ds="http://schemas.openxmlformats.org/officeDocument/2006/customXml" ds:itemID="{0130cb1e-efc9-4edd-89dc-d371c3a1d17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2925</Words>
  <Characters>6480</Characters>
  <Lines>0</Lines>
  <Paragraphs>0</Paragraphs>
  <TotalTime>9</TotalTime>
  <ScaleCrop>false</ScaleCrop>
  <LinksUpToDate>false</LinksUpToDate>
  <CharactersWithSpaces>7009</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2025-09-22T09:57:00Z</dcterms:created>
  <dc:creator>联想</dc:creator>
  <cp:lastModifiedBy>WPS_1701096800</cp:lastModifiedBy>
  <cp:lastPrinted>2025-10-24T03:31:00Z</cp:lastPrinted>
  <dcterms:modified xsi:type="dcterms:W3CDTF">2026-01-14T03:06:48Z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eyJoZGlkIjoiNDE5OTcxYWZkYzNjOTIxZDVlYTc5NjhlNzEzMGZjYWYiLCJ1c2VySWQiOiIxNTYwMzgyNzAzIn0=</vt:lpwstr>
  </property>
  <property fmtid="{D5CDD505-2E9C-101B-9397-08002B2CF9AE}" pid="4" name="ICV">
    <vt:lpwstr>98D537287F44435DAD82FBF873047ADB_12</vt:lpwstr>
  </property>
</Properties>
</file>